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IPsecTrace — MACHINE LEARNING EXPERIMENTS &amp; RESULTS</w:t>
      </w:r>
    </w:p>
    <w:p>
      <w:pPr>
        <w:spacing w:after="160"/>
      </w:pPr>
      <w:r>
        <w:rPr>
          <w:rFonts w:ascii="Calibri" w:hAnsi="Calibri"/>
          <w:i/>
          <w:color w:val="4A5568"/>
          <w:sz w:val="21"/>
        </w:rPr>
        <w:t>Authoritative 6-Model Benchmark, Multi-View Fusion Gains, Ablations, and Negative Findings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Benchmark Overview</w:t>
      </w:r>
    </w:p>
    <w:p>
      <w:r>
        <w:t>Systematic evaluation of six model configurations on the leak-free native IPsec benchmark.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5: Model Accuracy Comparison across 5-Fold Evaluation.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6: Confusion Matrix for Winning Hybrid Model 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A5568"/>
        <w:sz w:val="16"/>
      </w:rPr>
      <w:t>CONFIDENTIAL &amp; PROPRIETARY — IPsecTrace CORE BENCHMARK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A5568"/>
        <w:sz w:val="17"/>
      </w:rPr>
      <w:t>IPsecTrace Research Documentation | IPsecTrace — MACHINE LEARNING EXPERIMENTS &amp;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