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34"/>
        </w:rPr>
        <w:t>IPsecTrace — SECURITY ANALYSIS &amp; REAL-PCAP EVIDENCE</w:t>
      </w:r>
    </w:p>
    <w:p>
      <w:pPr>
        <w:spacing w:after="160"/>
      </w:pPr>
      <w:r>
        <w:rPr>
          <w:rFonts w:ascii="Calibri" w:hAnsi="Calibri"/>
          <w:i/>
          <w:color w:val="4A5568"/>
          <w:sz w:val="21"/>
        </w:rPr>
        <w:t>Deterministic Cryptographic Auditing, Real-PCAP Dynamic Evidence, and OOD Attribution</w:t>
      </w:r>
    </w:p>
    <w:p>
      <w:pPr>
        <w:keepNext/>
        <w:spacing w:before="220" w:after="60"/>
      </w:pPr>
      <w:r>
        <w:rPr>
          <w:rFonts w:ascii="Calibri" w:hAnsi="Calibri"/>
          <w:b/>
          <w:color w:val="1B365D"/>
          <w:sz w:val="25"/>
        </w:rPr>
        <w:t>1. Evidence Hierarchy</w:t>
      </w:r>
    </w:p>
    <w:p>
      <w:r>
        <w:t>Deterministic protocol facts maintain supreme authority and cannot be overwritten by probabilistic AI predictions.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925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4A5568"/>
          <w:sz w:val="17"/>
        </w:rPr>
        <w:t>Figure 7: Evidence Fusion and Deterministic Authority Pipeline.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60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o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4A5568"/>
          <w:sz w:val="17"/>
        </w:rPr>
        <w:t>Figure 8: In-Distribution vs Out-of-Distribution Mahalanobis Distance Distribution.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pcap_dem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4A5568"/>
          <w:sz w:val="17"/>
        </w:rPr>
        <w:t>Figure 9: Real-PCAP Dynamic Evaluation Metric Summary.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4A5568"/>
        <w:sz w:val="16"/>
      </w:rPr>
      <w:t>CONFIDENTIAL &amp; PROPRIETARY — IPsecTrace CORE BENCHMARK PACKAGE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A5568"/>
        <w:sz w:val="17"/>
      </w:rPr>
      <w:t>IPsecTrace Research Documentation | IPsecTrace — SECURITY ANALYSIS &amp; REAL-PCAP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