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34"/>
        </w:rPr>
        <w:t>IPsecTrace — REPRODUCIBILITY, LIMITATIONS &amp; FUTURE WORK</w:t>
      </w:r>
    </w:p>
    <w:p>
      <w:pPr>
        <w:spacing w:after="160"/>
      </w:pPr>
      <w:r>
        <w:rPr>
          <w:rFonts w:ascii="Calibri" w:hAnsi="Calibri"/>
          <w:i/>
          <w:color w:val="4A5568"/>
          <w:sz w:val="21"/>
        </w:rPr>
        <w:t>Exact Execution Scripts, Test Suite Verification, Scientific Caveats, and Research Roadmap</w:t>
      </w:r>
    </w:p>
    <w:p>
      <w:pPr>
        <w:keepNext/>
        <w:spacing w:before="220" w:after="60"/>
      </w:pPr>
      <w:r>
        <w:rPr>
          <w:rFonts w:ascii="Calibri" w:hAnsi="Calibri"/>
          <w:b/>
          <w:color w:val="1B365D"/>
          <w:sz w:val="25"/>
        </w:rPr>
        <w:t>1. Reproducibility</w:t>
      </w:r>
    </w:p>
    <w:p>
      <w:r>
        <w:t>All empirical results and benchmarks are 100% reproducible directly from the open repository.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4A5568"/>
        <w:sz w:val="16"/>
      </w:rPr>
      <w:t>CONFIDENTIAL &amp; PROPRIETARY — IPsecTrace CORE BENCHMARK PACKAGE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A5568"/>
        <w:sz w:val="17"/>
      </w:rPr>
      <w:t>IPsecTrace Research Documentation | IPsecTrace — REPRODUCIBILITY, LIMITATIONS &amp; FUTURE 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