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CYBER SECURITY AUDIT AND REPORTING</w:t>
      </w:r>
    </w:p>
    <w:p>
      <w:pPr>
        <w:jc w:val="center"/>
      </w:pPr>
      <w:r>
        <w:rPr>
          <w:b/>
          <w:sz w:val="32"/>
        </w:rPr>
        <w:t>Simulated Audit of a Hypothetical Organization</w:t>
      </w:r>
    </w:p>
    <w:p>
      <w:pPr>
        <w:jc w:val="center"/>
      </w:pPr>
      <w:r>
        <w:rPr>
          <w:sz w:val="26"/>
        </w:rPr>
        <w:t>Framework: NIST Cybersecurity Framework (CSF) 2.0</w:t>
      </w:r>
    </w:p>
    <w:p/>
    <w:p>
      <w:pPr>
        <w:jc w:val="center"/>
      </w:pPr>
      <w:r>
        <w:rPr>
          <w:b/>
        </w:rPr>
        <w:t>Prepared by: Cyber Security Analyst</w:t>
        <w:br/>
      </w:r>
      <w:r>
        <w:t>Assessment Type: Academic / Simulated Audit</w:t>
        <w:br/>
      </w:r>
      <w:r>
        <w:t>Assessment Period: September 2026</w:t>
        <w:br/>
      </w:r>
      <w:r>
        <w:t>Organization: Apex Retail &amp; Services Pvt. Ltd. (Hypothetical)</w:t>
      </w:r>
    </w:p>
    <w:p/>
    <w:p>
      <w:pPr>
        <w:jc w:val="center"/>
      </w:pPr>
      <w:r>
        <w:rPr>
          <w:b/>
        </w:rPr>
        <w:t>CONFIDENTIAL – TRAINING / ACADEMIC USE ONLY</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r/>
            <w:r>
              <w:rPr>
                <w:b/>
                <w:sz w:val="18"/>
              </w:rPr>
              <w:t>Item</w:t>
            </w:r>
          </w:p>
        </w:tc>
        <w:tc>
          <w:tcPr>
            <w:tcW w:type="dxa" w:w="6912"/>
            <w:vAlign w:val="center"/>
            <w:shd w:fill="D9EAF7"/>
          </w:tcPr>
          <w:p>
            <w:r/>
            <w:r>
              <w:rPr>
                <w:b/>
                <w:sz w:val="18"/>
              </w:rPr>
              <w:t>Details</w:t>
            </w:r>
          </w:p>
        </w:tc>
      </w:tr>
      <w:tr>
        <w:tc>
          <w:tcPr>
            <w:tcW w:type="dxa" w:w="2448"/>
            <w:vAlign w:val="center"/>
          </w:tcPr>
          <w:p>
            <w:r/>
            <w:r>
              <w:rPr>
                <w:b w:val="0"/>
                <w:sz w:val="18"/>
              </w:rPr>
              <w:t>Report title</w:t>
            </w:r>
          </w:p>
        </w:tc>
        <w:tc>
          <w:tcPr>
            <w:tcW w:type="dxa" w:w="6912"/>
            <w:vAlign w:val="center"/>
          </w:tcPr>
          <w:p>
            <w:r/>
            <w:r>
              <w:rPr>
                <w:b w:val="0"/>
                <w:sz w:val="18"/>
              </w:rPr>
              <w:t>Cyber Security Audit and Reporting</w:t>
            </w:r>
          </w:p>
        </w:tc>
      </w:tr>
      <w:tr>
        <w:tc>
          <w:tcPr>
            <w:tcW w:type="dxa" w:w="2448"/>
            <w:vAlign w:val="center"/>
          </w:tcPr>
          <w:p>
            <w:r/>
            <w:r>
              <w:rPr>
                <w:b w:val="0"/>
                <w:sz w:val="18"/>
              </w:rPr>
              <w:t>Organization</w:t>
            </w:r>
          </w:p>
        </w:tc>
        <w:tc>
          <w:tcPr>
            <w:tcW w:type="dxa" w:w="6912"/>
            <w:vAlign w:val="center"/>
          </w:tcPr>
          <w:p>
            <w:r/>
            <w:r>
              <w:rPr>
                <w:b w:val="0"/>
                <w:sz w:val="18"/>
              </w:rPr>
              <w:t>Apex Retail &amp; Services Pvt. Ltd. (hypothetical)</w:t>
            </w:r>
          </w:p>
        </w:tc>
      </w:tr>
      <w:tr>
        <w:tc>
          <w:tcPr>
            <w:tcW w:type="dxa" w:w="2448"/>
            <w:vAlign w:val="center"/>
          </w:tcPr>
          <w:p>
            <w:r/>
            <w:r>
              <w:rPr>
                <w:b w:val="0"/>
                <w:sz w:val="18"/>
              </w:rPr>
              <w:t>Assessment type</w:t>
            </w:r>
          </w:p>
        </w:tc>
        <w:tc>
          <w:tcPr>
            <w:tcW w:type="dxa" w:w="6912"/>
            <w:vAlign w:val="center"/>
          </w:tcPr>
          <w:p>
            <w:r/>
            <w:r>
              <w:rPr>
                <w:b w:val="0"/>
                <w:sz w:val="18"/>
              </w:rPr>
              <w:t>Simulated cybersecurity audit</w:t>
            </w:r>
          </w:p>
        </w:tc>
      </w:tr>
      <w:tr>
        <w:tc>
          <w:tcPr>
            <w:tcW w:type="dxa" w:w="2448"/>
            <w:vAlign w:val="center"/>
          </w:tcPr>
          <w:p>
            <w:r/>
            <w:r>
              <w:rPr>
                <w:b w:val="0"/>
                <w:sz w:val="18"/>
              </w:rPr>
              <w:t>Framework</w:t>
            </w:r>
          </w:p>
        </w:tc>
        <w:tc>
          <w:tcPr>
            <w:tcW w:type="dxa" w:w="6912"/>
            <w:vAlign w:val="center"/>
          </w:tcPr>
          <w:p>
            <w:r/>
            <w:r>
              <w:rPr>
                <w:b w:val="0"/>
                <w:sz w:val="18"/>
              </w:rPr>
              <w:t>NIST Cybersecurity Framework (CSF) 2.0</w:t>
            </w:r>
          </w:p>
        </w:tc>
      </w:tr>
      <w:tr>
        <w:tc>
          <w:tcPr>
            <w:tcW w:type="dxa" w:w="2448"/>
            <w:vAlign w:val="center"/>
          </w:tcPr>
          <w:p>
            <w:r/>
            <w:r>
              <w:rPr>
                <w:b w:val="0"/>
                <w:sz w:val="18"/>
              </w:rPr>
              <w:t>Assessment date</w:t>
            </w:r>
          </w:p>
        </w:tc>
        <w:tc>
          <w:tcPr>
            <w:tcW w:type="dxa" w:w="6912"/>
            <w:vAlign w:val="center"/>
          </w:tcPr>
          <w:p>
            <w:r/>
            <w:r>
              <w:rPr>
                <w:b w:val="0"/>
                <w:sz w:val="18"/>
              </w:rPr>
              <w:t>September 2026</w:t>
            </w:r>
          </w:p>
        </w:tc>
      </w:tr>
      <w:tr>
        <w:tc>
          <w:tcPr>
            <w:tcW w:type="dxa" w:w="2448"/>
            <w:vAlign w:val="center"/>
          </w:tcPr>
          <w:p>
            <w:r/>
            <w:r>
              <w:rPr>
                <w:b w:val="0"/>
                <w:sz w:val="18"/>
              </w:rPr>
              <w:t>Prepared by</w:t>
            </w:r>
          </w:p>
        </w:tc>
        <w:tc>
          <w:tcPr>
            <w:tcW w:type="dxa" w:w="6912"/>
            <w:vAlign w:val="center"/>
          </w:tcPr>
          <w:p>
            <w:r/>
            <w:r>
              <w:rPr>
                <w:b w:val="0"/>
                <w:sz w:val="18"/>
              </w:rPr>
              <w:t>Cyber Security Analyst</w:t>
            </w:r>
          </w:p>
        </w:tc>
      </w:tr>
      <w:tr>
        <w:tc>
          <w:tcPr>
            <w:tcW w:type="dxa" w:w="2448"/>
            <w:vAlign w:val="center"/>
          </w:tcPr>
          <w:p>
            <w:r/>
            <w:r>
              <w:rPr>
                <w:b w:val="0"/>
                <w:sz w:val="18"/>
              </w:rPr>
              <w:t>Classification</w:t>
            </w:r>
          </w:p>
        </w:tc>
        <w:tc>
          <w:tcPr>
            <w:tcW w:type="dxa" w:w="6912"/>
            <w:vAlign w:val="center"/>
          </w:tcPr>
          <w:p>
            <w:r/>
            <w:r>
              <w:rPr>
                <w:b w:val="0"/>
                <w:sz w:val="18"/>
              </w:rPr>
              <w:t>Academic / Training</w:t>
            </w:r>
          </w:p>
        </w:tc>
      </w:tr>
      <w:tr>
        <w:tc>
          <w:tcPr>
            <w:tcW w:type="dxa" w:w="2448"/>
            <w:vAlign w:val="center"/>
          </w:tcPr>
          <w:p>
            <w:r/>
            <w:r>
              <w:rPr>
                <w:b w:val="0"/>
                <w:sz w:val="18"/>
              </w:rPr>
              <w:t>Overall assessment</w:t>
            </w:r>
          </w:p>
        </w:tc>
        <w:tc>
          <w:tcPr>
            <w:tcW w:type="dxa" w:w="6912"/>
            <w:vAlign w:val="center"/>
          </w:tcPr>
          <w:p>
            <w:r/>
            <w:r>
              <w:rPr>
                <w:b w:val="0"/>
                <w:sz w:val="18"/>
              </w:rPr>
              <w:t>Material gaps require prioritized remediation</w:t>
            </w:r>
          </w:p>
        </w:tc>
      </w:tr>
    </w:tbl>
    <w:p/>
    <w:p>
      <w:pPr>
        <w:pStyle w:val="Heading1"/>
      </w:pPr>
      <w:r>
        <w:t>Executive Summary</w:t>
      </w:r>
    </w:p>
    <w:p>
      <w:r>
        <w:t>This report presents a simulated cybersecurity audit of Apex Retail &amp; Services Pvt. Ltd., a hypothetical mid-sized organization with approximately 250 employees, a hybrid cloud environment, customer-facing web applications, corporate endpoints, SaaS platforms, remote access, and third-party suppliers. The audit is designed to demonstrate a practical end-to-end security assessment rather than to assert that the hypothetical organization has actually been tested.</w:t>
      </w:r>
    </w:p>
    <w:p>
      <w:r>
        <w:t>The NIST Cybersecurity Framework (CSF) 2.0 was selected because it provides an outcome-oriented structure for managing cybersecurity risk. CSF 2.0 organizes outcomes under six Functions: Govern, Identify, Protect, Detect, Respond, and Recover. NIST describes the framework as adaptable to organizations with different needs and levels of cybersecurity maturity. [1][2]</w:t>
      </w:r>
    </w:p>
    <w:p>
      <w:r>
        <w:t>Based on assumed evidence and publicly documented practice examples, the simulated audit identifies twelve representative findings. The most significant themes are inconsistent multi-factor authentication, incomplete asset and vulnerability management, excessive privileges, insufficient centralized logging and monitoring, weak backup assurance, gaps in incident-response exercises, and incomplete third-party risk governance.</w:t>
      </w:r>
    </w:p>
    <w:p>
      <w:r>
        <w:t>The recommended roadmap uses a risk-based sequence: immediately reduce exploitable exposure and privileged-account risk; establish reliable asset, patching, logging, backup, and incident-response foundations; then mature governance, third-party assurance, secure development, and continuous measurement. CISA's Known Exploited Vulnerabilities (KEV) Catalog should be used as one input when prioritizing vulnerabilities known to be exploited in the wild. [3]</w:t>
      </w:r>
    </w:p>
    <w:p>
      <w:pPr>
        <w:pStyle w:val="Heading1"/>
      </w:pPr>
      <w:r>
        <w:t>1. Introduction and Audit Objectives</w:t>
      </w:r>
    </w:p>
    <w:p>
      <w:r>
        <w:t>The purpose of the audit is to evaluate the hypothetical organization's cybersecurity posture, identify gaps against a recognized framework, analyze business impact, and develop an actionable remediation roadmap.</w:t>
      </w:r>
    </w:p>
    <w:p>
      <w:pPr>
        <w:pStyle w:val="Heading2"/>
      </w:pPr>
      <w:r>
        <w:t>Audit objectives</w:t>
      </w:r>
    </w:p>
    <w:p>
      <w:pPr>
        <w:pStyle w:val="ListBullet"/>
      </w:pPr>
      <w:r>
        <w:t>Assess governance and accountability for cybersecurity risk.</w:t>
      </w:r>
    </w:p>
    <w:p>
      <w:pPr>
        <w:pStyle w:val="ListBullet"/>
      </w:pPr>
      <w:r>
        <w:t>Determine whether important assets, data, identities, and dependencies are identified and appropriately protected.</w:t>
      </w:r>
    </w:p>
    <w:p>
      <w:pPr>
        <w:pStyle w:val="ListBullet"/>
      </w:pPr>
      <w:r>
        <w:t>Evaluate preventive, detective, response, and recovery capabilities.</w:t>
      </w:r>
    </w:p>
    <w:p>
      <w:pPr>
        <w:pStyle w:val="ListBullet"/>
      </w:pPr>
      <w:r>
        <w:t>Identify representative vulnerabilities and control weaknesses using realistic practice examples.</w:t>
      </w:r>
    </w:p>
    <w:p>
      <w:pPr>
        <w:pStyle w:val="ListBullet"/>
      </w:pPr>
      <w:r>
        <w:t>Map findings to NIST CSF 2.0 Functions and outcomes at a practical level.</w:t>
      </w:r>
    </w:p>
    <w:p>
      <w:pPr>
        <w:pStyle w:val="ListBullet"/>
      </w:pPr>
      <w:r>
        <w:t>Recommend remediation actions with owners, target timeframes, dependencies, and measurable success criteria.</w:t>
      </w:r>
    </w:p>
    <w:p>
      <w:pPr>
        <w:pStyle w:val="Heading1"/>
      </w:pPr>
      <w:r>
        <w:t>2. Hypothetical Organization Profile and Assumptions</w:t>
      </w:r>
    </w:p>
    <w:p>
      <w:r>
        <w:t>For this academic exercise, Apex Retail &amp; Services Pvt. Ltd. is assumed to operate from two offices with approximately 250 employees. It uses Microsoft 365 or an equivalent SaaS productivity suite, a public cloud environment, a customer web portal, an internal ERP/CRM platform, corporate laptops, VPN/remote access, and multiple external suppliers.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r/>
            <w:r>
              <w:rPr>
                <w:b/>
                <w:sz w:val="18"/>
              </w:rPr>
              <w:t>Area</w:t>
            </w:r>
          </w:p>
        </w:tc>
        <w:tc>
          <w:tcPr>
            <w:tcW w:type="dxa" w:w="7056"/>
            <w:vAlign w:val="center"/>
            <w:shd w:fill="D9EAF7"/>
          </w:tcPr>
          <w:p>
            <w:r/>
            <w:r>
              <w:rPr>
                <w:b/>
                <w:sz w:val="18"/>
              </w:rPr>
              <w:t>Assumed Environment</w:t>
            </w:r>
          </w:p>
        </w:tc>
      </w:tr>
      <w:tr>
        <w:tc>
          <w:tcPr>
            <w:tcW w:type="dxa" w:w="2304"/>
            <w:vAlign w:val="center"/>
          </w:tcPr>
          <w:p>
            <w:r/>
            <w:r>
              <w:rPr>
                <w:b w:val="0"/>
                <w:sz w:val="18"/>
              </w:rPr>
              <w:t>Users</w:t>
            </w:r>
          </w:p>
        </w:tc>
        <w:tc>
          <w:tcPr>
            <w:tcW w:type="dxa" w:w="7056"/>
            <w:vAlign w:val="center"/>
          </w:tcPr>
          <w:p>
            <w:r/>
            <w:r>
              <w:rPr>
                <w:b w:val="0"/>
                <w:sz w:val="18"/>
              </w:rPr>
              <w:t>250 employees; IT, finance, HR, sales, operations, management</w:t>
            </w:r>
          </w:p>
        </w:tc>
      </w:tr>
      <w:tr>
        <w:tc>
          <w:tcPr>
            <w:tcW w:type="dxa" w:w="2304"/>
            <w:vAlign w:val="center"/>
          </w:tcPr>
          <w:p>
            <w:r/>
            <w:r>
              <w:rPr>
                <w:b w:val="0"/>
                <w:sz w:val="18"/>
              </w:rPr>
              <w:t>Endpoints</w:t>
            </w:r>
          </w:p>
        </w:tc>
        <w:tc>
          <w:tcPr>
            <w:tcW w:type="dxa" w:w="7056"/>
            <w:vAlign w:val="center"/>
          </w:tcPr>
          <w:p>
            <w:r/>
            <w:r>
              <w:rPr>
                <w:b w:val="0"/>
                <w:sz w:val="18"/>
              </w:rPr>
              <w:t>Windows/macOS laptops; selected mobile devices</w:t>
            </w:r>
          </w:p>
        </w:tc>
      </w:tr>
      <w:tr>
        <w:tc>
          <w:tcPr>
            <w:tcW w:type="dxa" w:w="2304"/>
            <w:vAlign w:val="center"/>
          </w:tcPr>
          <w:p>
            <w:r/>
            <w:r>
              <w:rPr>
                <w:b w:val="0"/>
                <w:sz w:val="18"/>
              </w:rPr>
              <w:t>Infrastructure</w:t>
            </w:r>
          </w:p>
        </w:tc>
        <w:tc>
          <w:tcPr>
            <w:tcW w:type="dxa" w:w="7056"/>
            <w:vAlign w:val="center"/>
          </w:tcPr>
          <w:p>
            <w:r/>
            <w:r>
              <w:rPr>
                <w:b w:val="0"/>
                <w:sz w:val="18"/>
              </w:rPr>
              <w:t>Hybrid cloud, office network, VPN, firewalls, cloud workloads</w:t>
            </w:r>
          </w:p>
        </w:tc>
      </w:tr>
      <w:tr>
        <w:tc>
          <w:tcPr>
            <w:tcW w:type="dxa" w:w="2304"/>
            <w:vAlign w:val="center"/>
          </w:tcPr>
          <w:p>
            <w:r/>
            <w:r>
              <w:rPr>
                <w:b w:val="0"/>
                <w:sz w:val="18"/>
              </w:rPr>
              <w:t>Applications</w:t>
            </w:r>
          </w:p>
        </w:tc>
        <w:tc>
          <w:tcPr>
            <w:tcW w:type="dxa" w:w="7056"/>
            <w:vAlign w:val="center"/>
          </w:tcPr>
          <w:p>
            <w:r/>
            <w:r>
              <w:rPr>
                <w:b w:val="0"/>
                <w:sz w:val="18"/>
              </w:rPr>
              <w:t>Customer portal, ERP/CRM, HR and finance systems</w:t>
            </w:r>
          </w:p>
        </w:tc>
      </w:tr>
      <w:tr>
        <w:tc>
          <w:tcPr>
            <w:tcW w:type="dxa" w:w="2304"/>
            <w:vAlign w:val="center"/>
          </w:tcPr>
          <w:p>
            <w:r/>
            <w:r>
              <w:rPr>
                <w:b w:val="0"/>
                <w:sz w:val="18"/>
              </w:rPr>
              <w:t>Data</w:t>
            </w:r>
          </w:p>
        </w:tc>
        <w:tc>
          <w:tcPr>
            <w:tcW w:type="dxa" w:w="7056"/>
            <w:vAlign w:val="center"/>
          </w:tcPr>
          <w:p>
            <w:r/>
            <w:r>
              <w:rPr>
                <w:b w:val="0"/>
                <w:sz w:val="18"/>
              </w:rPr>
              <w:t>Customer, employee, financial, operational and supplier information</w:t>
            </w:r>
          </w:p>
        </w:tc>
      </w:tr>
      <w:tr>
        <w:tc>
          <w:tcPr>
            <w:tcW w:type="dxa" w:w="2304"/>
            <w:vAlign w:val="center"/>
          </w:tcPr>
          <w:p>
            <w:r/>
            <w:r>
              <w:rPr>
                <w:b w:val="0"/>
                <w:sz w:val="18"/>
              </w:rPr>
              <w:t>Third parties</w:t>
            </w:r>
          </w:p>
        </w:tc>
        <w:tc>
          <w:tcPr>
            <w:tcW w:type="dxa" w:w="7056"/>
            <w:vAlign w:val="center"/>
          </w:tcPr>
          <w:p>
            <w:r/>
            <w:r>
              <w:rPr>
                <w:b w:val="0"/>
                <w:sz w:val="18"/>
              </w:rPr>
              <w:t>Cloud, payment, managed service, software and logistics suppliers</w:t>
            </w:r>
          </w:p>
        </w:tc>
      </w:tr>
      <w:tr>
        <w:tc>
          <w:tcPr>
            <w:tcW w:type="dxa" w:w="2304"/>
            <w:vAlign w:val="center"/>
          </w:tcPr>
          <w:p>
            <w:r/>
            <w:r>
              <w:rPr>
                <w:b w:val="0"/>
                <w:sz w:val="18"/>
              </w:rPr>
              <w:t>Security team</w:t>
            </w:r>
          </w:p>
        </w:tc>
        <w:tc>
          <w:tcPr>
            <w:tcW w:type="dxa" w:w="7056"/>
            <w:vAlign w:val="center"/>
          </w:tcPr>
          <w:p>
            <w:r/>
            <w:r>
              <w:rPr>
                <w:b w:val="0"/>
                <w:sz w:val="18"/>
              </w:rPr>
              <w:t>Small IT/security function with outsourced specialist support</w:t>
            </w:r>
          </w:p>
        </w:tc>
      </w:tr>
    </w:tbl>
    <w:p/>
    <w:p>
      <w:pPr>
        <w:pStyle w:val="SmallNote"/>
      </w:pPr>
      <w:r>
        <w:t>Important limitation: all findings are hypothetical. No real systems were scanned, exploited, accessed, or validated. The findings therefore represent plausible audit observations that should be verified through evidence before being treated as actual vulnerabilities.</w:t>
      </w:r>
    </w:p>
    <w:p>
      <w:pPr>
        <w:pStyle w:val="Heading1"/>
      </w:pPr>
      <w:r>
        <w:t>3. Audit Framework Selection – NIST CSF 2.0</w:t>
      </w:r>
    </w:p>
    <w:p>
      <w:r>
        <w:t>NIST CSF 2.0 is used as the primary audit framework. It is appropriate for this exercise because it provides a common language for communicating cybersecurity outcomes without requiring a particular technology stack. CSF 2.0 adds Govern to the earlier five-function structure, making governance, risk strategy, roles, policy, and oversight explicit parts of the framework. [1][2]</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b/>
                <w:sz w:val="18"/>
              </w:rPr>
              <w:t>CSF 2.0 Function</w:t>
            </w:r>
          </w:p>
        </w:tc>
        <w:tc>
          <w:tcPr>
            <w:tcW w:type="dxa" w:w="7200"/>
            <w:vAlign w:val="center"/>
            <w:shd w:fill="D9EAF7"/>
          </w:tcPr>
          <w:p>
            <w:r/>
            <w:r>
              <w:rPr>
                <w:b/>
                <w:sz w:val="18"/>
              </w:rPr>
              <w:t>Audit focus</w:t>
            </w:r>
          </w:p>
        </w:tc>
      </w:tr>
      <w:tr>
        <w:tc>
          <w:tcPr>
            <w:tcW w:type="dxa" w:w="2160"/>
            <w:vAlign w:val="center"/>
          </w:tcPr>
          <w:p>
            <w:r/>
            <w:r>
              <w:rPr>
                <w:b w:val="0"/>
                <w:sz w:val="18"/>
              </w:rPr>
              <w:t>Govern</w:t>
            </w:r>
          </w:p>
        </w:tc>
        <w:tc>
          <w:tcPr>
            <w:tcW w:type="dxa" w:w="7200"/>
            <w:vAlign w:val="center"/>
          </w:tcPr>
          <w:p>
            <w:r/>
            <w:r>
              <w:rPr>
                <w:b w:val="0"/>
                <w:sz w:val="18"/>
              </w:rPr>
              <w:t>Cybersecurity strategy, roles, policy, risk appetite, supply-chain governance, oversight</w:t>
            </w:r>
          </w:p>
        </w:tc>
      </w:tr>
      <w:tr>
        <w:tc>
          <w:tcPr>
            <w:tcW w:type="dxa" w:w="2160"/>
            <w:vAlign w:val="center"/>
          </w:tcPr>
          <w:p>
            <w:r/>
            <w:r>
              <w:rPr>
                <w:b w:val="0"/>
                <w:sz w:val="18"/>
              </w:rPr>
              <w:t>Identify</w:t>
            </w:r>
          </w:p>
        </w:tc>
        <w:tc>
          <w:tcPr>
            <w:tcW w:type="dxa" w:w="7200"/>
            <w:vAlign w:val="center"/>
          </w:tcPr>
          <w:p>
            <w:r/>
            <w:r>
              <w:rPr>
                <w:b w:val="0"/>
                <w:sz w:val="18"/>
              </w:rPr>
              <w:t>Assets, data, business context, risks, vulnerabilities and dependencies</w:t>
            </w:r>
          </w:p>
        </w:tc>
      </w:tr>
      <w:tr>
        <w:tc>
          <w:tcPr>
            <w:tcW w:type="dxa" w:w="2160"/>
            <w:vAlign w:val="center"/>
          </w:tcPr>
          <w:p>
            <w:r/>
            <w:r>
              <w:rPr>
                <w:b w:val="0"/>
                <w:sz w:val="18"/>
              </w:rPr>
              <w:t>Protect</w:t>
            </w:r>
          </w:p>
        </w:tc>
        <w:tc>
          <w:tcPr>
            <w:tcW w:type="dxa" w:w="7200"/>
            <w:vAlign w:val="center"/>
          </w:tcPr>
          <w:p>
            <w:r/>
            <w:r>
              <w:rPr>
                <w:b w:val="0"/>
                <w:sz w:val="18"/>
              </w:rPr>
              <w:t>Identity, access, awareness, data security, platform protection and technology safeguards</w:t>
            </w:r>
          </w:p>
        </w:tc>
      </w:tr>
      <w:tr>
        <w:tc>
          <w:tcPr>
            <w:tcW w:type="dxa" w:w="2160"/>
            <w:vAlign w:val="center"/>
          </w:tcPr>
          <w:p>
            <w:r/>
            <w:r>
              <w:rPr>
                <w:b w:val="0"/>
                <w:sz w:val="18"/>
              </w:rPr>
              <w:t>Detect</w:t>
            </w:r>
          </w:p>
        </w:tc>
        <w:tc>
          <w:tcPr>
            <w:tcW w:type="dxa" w:w="7200"/>
            <w:vAlign w:val="center"/>
          </w:tcPr>
          <w:p>
            <w:r/>
            <w:r>
              <w:rPr>
                <w:b w:val="0"/>
                <w:sz w:val="18"/>
              </w:rPr>
              <w:t>Continuous monitoring, event analysis, alerting and anomaly detection</w:t>
            </w:r>
          </w:p>
        </w:tc>
      </w:tr>
      <w:tr>
        <w:tc>
          <w:tcPr>
            <w:tcW w:type="dxa" w:w="2160"/>
            <w:vAlign w:val="center"/>
          </w:tcPr>
          <w:p>
            <w:r/>
            <w:r>
              <w:rPr>
                <w:b w:val="0"/>
                <w:sz w:val="18"/>
              </w:rPr>
              <w:t>Respond</w:t>
            </w:r>
          </w:p>
        </w:tc>
        <w:tc>
          <w:tcPr>
            <w:tcW w:type="dxa" w:w="7200"/>
            <w:vAlign w:val="center"/>
          </w:tcPr>
          <w:p>
            <w:r/>
            <w:r>
              <w:rPr>
                <w:b w:val="0"/>
                <w:sz w:val="18"/>
              </w:rPr>
              <w:t>Incident management, communications, analysis, mitigation and improvements</w:t>
            </w:r>
          </w:p>
        </w:tc>
      </w:tr>
      <w:tr>
        <w:tc>
          <w:tcPr>
            <w:tcW w:type="dxa" w:w="2160"/>
            <w:vAlign w:val="center"/>
          </w:tcPr>
          <w:p>
            <w:r/>
            <w:r>
              <w:rPr>
                <w:b w:val="0"/>
                <w:sz w:val="18"/>
              </w:rPr>
              <w:t>Recover</w:t>
            </w:r>
          </w:p>
        </w:tc>
        <w:tc>
          <w:tcPr>
            <w:tcW w:type="dxa" w:w="7200"/>
            <w:vAlign w:val="center"/>
          </w:tcPr>
          <w:p>
            <w:r/>
            <w:r>
              <w:rPr>
                <w:b w:val="0"/>
                <w:sz w:val="18"/>
              </w:rPr>
              <w:t>Recovery planning, restoration, communications and lessons learned</w:t>
            </w:r>
          </w:p>
        </w:tc>
      </w:tr>
    </w:tbl>
    <w:p/>
    <w:p>
      <w:pPr>
        <w:pStyle w:val="Heading1"/>
      </w:pPr>
      <w:r>
        <w:t>4. Audit Scope</w:t>
      </w:r>
    </w:p>
    <w:p>
      <w:r>
        <w:t>In scope:</w:t>
      </w:r>
    </w:p>
    <w:p>
      <w:pPr>
        <w:pStyle w:val="ListBullet"/>
      </w:pPr>
      <w:r>
        <w:t>Cybersecurity governance, policies and risk management.</w:t>
      </w:r>
    </w:p>
    <w:p>
      <w:pPr>
        <w:pStyle w:val="ListBullet"/>
      </w:pPr>
      <w:r>
        <w:t>Identity and access management, including privileged access.</w:t>
      </w:r>
    </w:p>
    <w:p>
      <w:pPr>
        <w:pStyle w:val="ListBullet"/>
      </w:pPr>
      <w:r>
        <w:t>Endpoint, network and cloud security controls.</w:t>
      </w:r>
    </w:p>
    <w:p>
      <w:pPr>
        <w:pStyle w:val="ListBullet"/>
      </w:pPr>
      <w:r>
        <w:t>Vulnerability and patch management.</w:t>
      </w:r>
    </w:p>
    <w:p>
      <w:pPr>
        <w:pStyle w:val="ListBullet"/>
      </w:pPr>
      <w:r>
        <w:t>Security logging, monitoring and alerting.</w:t>
      </w:r>
    </w:p>
    <w:p>
      <w:pPr>
        <w:pStyle w:val="ListBullet"/>
      </w:pPr>
      <w:r>
        <w:t>Data protection, backup and recovery controls.</w:t>
      </w:r>
    </w:p>
    <w:p>
      <w:pPr>
        <w:pStyle w:val="ListBullet"/>
      </w:pPr>
      <w:r>
        <w:t>Incident response planning and testing.</w:t>
      </w:r>
    </w:p>
    <w:p>
      <w:pPr>
        <w:pStyle w:val="ListBullet"/>
      </w:pPr>
      <w:r>
        <w:t>Third-party and supply-chain security.</w:t>
      </w:r>
    </w:p>
    <w:p>
      <w:pPr>
        <w:pStyle w:val="ListBullet"/>
      </w:pPr>
      <w:r>
        <w:t>Security awareness and phishing resilience.</w:t>
      </w:r>
    </w:p>
    <w:p>
      <w:pPr>
        <w:pStyle w:val="ListBullet"/>
      </w:pPr>
      <w:r>
        <w:t>Secure software development and change management at a high level.</w:t>
      </w:r>
    </w:p>
    <w:p>
      <w:r>
        <w:t>Out of scope:</w:t>
      </w:r>
    </w:p>
    <w:p>
      <w:pPr>
        <w:pStyle w:val="ListBullet"/>
      </w:pPr>
      <w:r>
        <w:t>Actual penetration testing or exploitation of live systems.</w:t>
      </w:r>
    </w:p>
    <w:p>
      <w:pPr>
        <w:pStyle w:val="ListBullet"/>
      </w:pPr>
      <w:r>
        <w:t>Source-code review of proprietary applications.</w:t>
      </w:r>
    </w:p>
    <w:p>
      <w:pPr>
        <w:pStyle w:val="ListBullet"/>
      </w:pPr>
      <w:r>
        <w:t>Physical security testing.</w:t>
      </w:r>
    </w:p>
    <w:p>
      <w:pPr>
        <w:pStyle w:val="ListBullet"/>
      </w:pPr>
      <w:r>
        <w:t>Legal determination of regulatory compliance.</w:t>
      </w:r>
    </w:p>
    <w:p>
      <w:pPr>
        <w:pStyle w:val="ListBullet"/>
      </w:pPr>
      <w:r>
        <w:t>Forensic investigation of a real security incident.</w:t>
      </w:r>
    </w:p>
    <w:p>
      <w:pPr>
        <w:pStyle w:val="Heading1"/>
      </w:pPr>
      <w:r>
        <w:t>5. Audit Methodology and Process</w:t>
      </w:r>
    </w:p>
    <w:p>
      <w:r>
        <w:t>The audit follows a four-stage lifecycle: planning, evidence collection, evaluation, and validation/reporting. Each stage includes checkpoints to reduce unsupported conclusions.</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D9EAF7"/>
          </w:tcPr>
          <w:p>
            <w:r/>
            <w:r>
              <w:rPr>
                <w:b/>
                <w:sz w:val="18"/>
              </w:rPr>
              <w:t>Phase</w:t>
            </w:r>
          </w:p>
        </w:tc>
        <w:tc>
          <w:tcPr>
            <w:tcW w:type="dxa" w:w="4896"/>
            <w:vAlign w:val="center"/>
            <w:shd w:fill="D9EAF7"/>
          </w:tcPr>
          <w:p>
            <w:r/>
            <w:r>
              <w:rPr>
                <w:b/>
                <w:sz w:val="18"/>
              </w:rPr>
              <w:t>Activities</w:t>
            </w:r>
          </w:p>
        </w:tc>
        <w:tc>
          <w:tcPr>
            <w:tcW w:type="dxa" w:w="3024"/>
            <w:vAlign w:val="center"/>
            <w:shd w:fill="D9EAF7"/>
          </w:tcPr>
          <w:p>
            <w:r/>
            <w:r>
              <w:rPr>
                <w:b/>
                <w:sz w:val="18"/>
              </w:rPr>
              <w:t>Evidence / checkpoint</w:t>
            </w:r>
          </w:p>
        </w:tc>
      </w:tr>
      <w:tr>
        <w:tc>
          <w:tcPr>
            <w:tcW w:type="dxa" w:w="1440"/>
            <w:vAlign w:val="center"/>
          </w:tcPr>
          <w:p>
            <w:r/>
            <w:r>
              <w:rPr>
                <w:b w:val="0"/>
                <w:sz w:val="18"/>
              </w:rPr>
              <w:t>1. Planning</w:t>
            </w:r>
          </w:p>
        </w:tc>
        <w:tc>
          <w:tcPr>
            <w:tcW w:type="dxa" w:w="4896"/>
            <w:vAlign w:val="center"/>
          </w:tcPr>
          <w:p>
            <w:r/>
            <w:r>
              <w:rPr>
                <w:b w:val="0"/>
                <w:sz w:val="18"/>
              </w:rPr>
              <w:t>Confirm scope, business context, assets, stakeholders, risk criteria and audit schedule.</w:t>
            </w:r>
          </w:p>
        </w:tc>
        <w:tc>
          <w:tcPr>
            <w:tcW w:type="dxa" w:w="3024"/>
            <w:vAlign w:val="center"/>
          </w:tcPr>
          <w:p>
            <w:r/>
            <w:r>
              <w:rPr>
                <w:b w:val="0"/>
                <w:sz w:val="18"/>
              </w:rPr>
              <w:t>Approved scope, audit plan, evidence request list</w:t>
            </w:r>
          </w:p>
        </w:tc>
      </w:tr>
      <w:tr>
        <w:tc>
          <w:tcPr>
            <w:tcW w:type="dxa" w:w="1440"/>
            <w:vAlign w:val="center"/>
          </w:tcPr>
          <w:p>
            <w:r/>
            <w:r>
              <w:rPr>
                <w:b w:val="0"/>
                <w:sz w:val="18"/>
              </w:rPr>
              <w:t>2. Data collection</w:t>
            </w:r>
          </w:p>
        </w:tc>
        <w:tc>
          <w:tcPr>
            <w:tcW w:type="dxa" w:w="4896"/>
            <w:vAlign w:val="center"/>
          </w:tcPr>
          <w:p>
            <w:r/>
            <w:r>
              <w:rPr>
                <w:b w:val="0"/>
                <w:sz w:val="18"/>
              </w:rPr>
              <w:t>Review policies, asset lists, IAM settings, vulnerability reports, logs, backup records, incident plans and supplier documents.</w:t>
            </w:r>
          </w:p>
        </w:tc>
        <w:tc>
          <w:tcPr>
            <w:tcW w:type="dxa" w:w="3024"/>
            <w:vAlign w:val="center"/>
          </w:tcPr>
          <w:p>
            <w:r/>
            <w:r>
              <w:rPr>
                <w:b w:val="0"/>
                <w:sz w:val="18"/>
              </w:rPr>
              <w:t>Evidence register; interview notes; configuration samples</w:t>
            </w:r>
          </w:p>
        </w:tc>
      </w:tr>
      <w:tr>
        <w:tc>
          <w:tcPr>
            <w:tcW w:type="dxa" w:w="1440"/>
            <w:vAlign w:val="center"/>
          </w:tcPr>
          <w:p>
            <w:r/>
            <w:r>
              <w:rPr>
                <w:b w:val="0"/>
                <w:sz w:val="18"/>
              </w:rPr>
              <w:t>3. Evaluation</w:t>
            </w:r>
          </w:p>
        </w:tc>
        <w:tc>
          <w:tcPr>
            <w:tcW w:type="dxa" w:w="4896"/>
            <w:vAlign w:val="center"/>
          </w:tcPr>
          <w:p>
            <w:r/>
            <w:r>
              <w:rPr>
                <w:b w:val="0"/>
                <w:sz w:val="18"/>
              </w:rPr>
              <w:t>Compare evidence with NIST CSF 2.0 outcomes; identify control gaps; assess likelihood and impact.</w:t>
            </w:r>
          </w:p>
        </w:tc>
        <w:tc>
          <w:tcPr>
            <w:tcW w:type="dxa" w:w="3024"/>
            <w:vAlign w:val="center"/>
          </w:tcPr>
          <w:p>
            <w:r/>
            <w:r>
              <w:rPr>
                <w:b w:val="0"/>
                <w:sz w:val="18"/>
              </w:rPr>
              <w:t>Finding records; risk rationale; framework mapping</w:t>
            </w:r>
          </w:p>
        </w:tc>
      </w:tr>
      <w:tr>
        <w:tc>
          <w:tcPr>
            <w:tcW w:type="dxa" w:w="1440"/>
            <w:vAlign w:val="center"/>
          </w:tcPr>
          <w:p>
            <w:r/>
            <w:r>
              <w:rPr>
                <w:b w:val="0"/>
                <w:sz w:val="18"/>
              </w:rPr>
              <w:t>4. Validation</w:t>
            </w:r>
          </w:p>
        </w:tc>
        <w:tc>
          <w:tcPr>
            <w:tcW w:type="dxa" w:w="4896"/>
            <w:vAlign w:val="center"/>
          </w:tcPr>
          <w:p>
            <w:r/>
            <w:r>
              <w:rPr>
                <w:b w:val="0"/>
                <w:sz w:val="18"/>
              </w:rPr>
              <w:t>Discuss findings with control owners; confirm factual accuracy; test selected controls where evidence permits.</w:t>
            </w:r>
          </w:p>
        </w:tc>
        <w:tc>
          <w:tcPr>
            <w:tcW w:type="dxa" w:w="3024"/>
            <w:vAlign w:val="center"/>
          </w:tcPr>
          <w:p>
            <w:r/>
            <w:r>
              <w:rPr>
                <w:b w:val="0"/>
                <w:sz w:val="18"/>
              </w:rPr>
              <w:t>Management responses; corrected facts; validation notes</w:t>
            </w:r>
          </w:p>
        </w:tc>
      </w:tr>
      <w:tr>
        <w:tc>
          <w:tcPr>
            <w:tcW w:type="dxa" w:w="1440"/>
            <w:vAlign w:val="center"/>
          </w:tcPr>
          <w:p>
            <w:r/>
            <w:r>
              <w:rPr>
                <w:b w:val="0"/>
                <w:sz w:val="18"/>
              </w:rPr>
              <w:t>5. Reporting</w:t>
            </w:r>
          </w:p>
        </w:tc>
        <w:tc>
          <w:tcPr>
            <w:tcW w:type="dxa" w:w="4896"/>
            <w:vAlign w:val="center"/>
          </w:tcPr>
          <w:p>
            <w:r/>
            <w:r>
              <w:rPr>
                <w:b w:val="0"/>
                <w:sz w:val="18"/>
              </w:rPr>
              <w:t>Prepare executive summary, findings, compliance observations and remediation roadmap.</w:t>
            </w:r>
          </w:p>
        </w:tc>
        <w:tc>
          <w:tcPr>
            <w:tcW w:type="dxa" w:w="3024"/>
            <w:vAlign w:val="center"/>
          </w:tcPr>
          <w:p>
            <w:r/>
            <w:r>
              <w:rPr>
                <w:b w:val="0"/>
                <w:sz w:val="18"/>
              </w:rPr>
              <w:t>Final report and management action plan</w:t>
            </w:r>
          </w:p>
        </w:tc>
      </w:tr>
      <w:tr>
        <w:tc>
          <w:tcPr>
            <w:tcW w:type="dxa" w:w="1440"/>
            <w:vAlign w:val="center"/>
          </w:tcPr>
          <w:p>
            <w:r/>
            <w:r>
              <w:rPr>
                <w:b w:val="0"/>
                <w:sz w:val="18"/>
              </w:rPr>
              <w:t>6. Follow-up</w:t>
            </w:r>
          </w:p>
        </w:tc>
        <w:tc>
          <w:tcPr>
            <w:tcW w:type="dxa" w:w="4896"/>
            <w:vAlign w:val="center"/>
          </w:tcPr>
          <w:p>
            <w:r/>
            <w:r>
              <w:rPr>
                <w:b w:val="0"/>
                <w:sz w:val="18"/>
              </w:rPr>
              <w:t>Track remediation, retest evidence and report residual risk.</w:t>
            </w:r>
          </w:p>
        </w:tc>
        <w:tc>
          <w:tcPr>
            <w:tcW w:type="dxa" w:w="3024"/>
            <w:vAlign w:val="center"/>
          </w:tcPr>
          <w:p>
            <w:r/>
            <w:r>
              <w:rPr>
                <w:b w:val="0"/>
                <w:sz w:val="18"/>
              </w:rPr>
              <w:t>Closure evidence; retest results; residual-risk register</w:t>
            </w:r>
          </w:p>
        </w:tc>
      </w:tr>
    </w:tbl>
    <w:p/>
    <w:p>
      <w:pPr>
        <w:pStyle w:val="Heading1"/>
      </w:pPr>
      <w:r>
        <w:t>6. Evidence Collection Plan</w:t>
      </w:r>
    </w:p>
    <w:p>
      <w:pPr>
        <w:pStyle w:val="ListBullet"/>
      </w:pPr>
      <w:r>
        <w:t>Governance: cybersecurity policy, risk register, committee minutes, roles and responsibilities.</w:t>
      </w:r>
    </w:p>
    <w:p>
      <w:pPr>
        <w:pStyle w:val="ListBullet"/>
      </w:pPr>
      <w:r>
        <w:t>Asset management: CMDB/asset inventory, cloud inventory, endpoint management reports.</w:t>
      </w:r>
    </w:p>
    <w:p>
      <w:pPr>
        <w:pStyle w:val="ListBullet"/>
      </w:pPr>
      <w:r>
        <w:t>Identity: user inventory, MFA coverage, privileged accounts, joiner-mover-leaver records.</w:t>
      </w:r>
    </w:p>
    <w:p>
      <w:pPr>
        <w:pStyle w:val="ListBullet"/>
      </w:pPr>
      <w:r>
        <w:t>Vulnerability management: scanner reports, patch dashboards, exception records and remediation SLAs.</w:t>
      </w:r>
    </w:p>
    <w:p>
      <w:pPr>
        <w:pStyle w:val="ListBullet"/>
      </w:pPr>
      <w:r>
        <w:t>Network/cloud: firewall rules, segmentation diagrams, security-group configurations and remote-access controls.</w:t>
      </w:r>
    </w:p>
    <w:p>
      <w:pPr>
        <w:pStyle w:val="ListBullet"/>
      </w:pPr>
      <w:r>
        <w:t>Detection: SIEM/logging architecture, alert rules, retention settings and sample incident tickets.</w:t>
      </w:r>
    </w:p>
    <w:p>
      <w:pPr>
        <w:pStyle w:val="ListBullet"/>
      </w:pPr>
      <w:r>
        <w:t>Recovery: backup schedules, restoration test results, recovery objectives and disaster-recovery plans.</w:t>
      </w:r>
    </w:p>
    <w:p>
      <w:pPr>
        <w:pStyle w:val="ListBullet"/>
      </w:pPr>
      <w:r>
        <w:t>Incident response: response plan, contact lists, exercise reports and lessons learned.</w:t>
      </w:r>
    </w:p>
    <w:p>
      <w:pPr>
        <w:pStyle w:val="ListBullet"/>
      </w:pPr>
      <w:r>
        <w:t>Third parties: supplier inventory, security clauses, due-diligence questionnaires and assurance reports.</w:t>
      </w:r>
    </w:p>
    <w:p>
      <w:pPr>
        <w:pStyle w:val="ListBullet"/>
      </w:pPr>
      <w:r>
        <w:t>Awareness: training completion, phishing simulation metrics and policy acknowledgements.</w:t>
      </w:r>
    </w:p>
    <w:p>
      <w:pPr>
        <w:pStyle w:val="Heading1"/>
      </w:pPr>
      <w:r>
        <w:t>7. Risk Rating Method</w:t>
      </w:r>
    </w:p>
    <w:p>
      <w:r>
        <w:t>For the simulation, risk is rated using a simple qualitative matrix. Likelihood and impact are each assessed as Low, Medium or High. Overall ratings are derived from the combination and then adjusted where a weakness affects critical assets, privileged identities, regulated/sensitive information, or known exploitation activity.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880"/>
            <w:vAlign w:val="center"/>
            <w:shd w:fill="D9EAF7"/>
          </w:tcPr>
          <w:p>
            <w:r/>
            <w:r>
              <w:rPr>
                <w:b/>
                <w:sz w:val="18"/>
              </w:rPr>
              <w:t>Impact \ Likelihood</w:t>
            </w:r>
          </w:p>
        </w:tc>
        <w:tc>
          <w:tcPr>
            <w:tcW w:type="dxa" w:w="2160"/>
            <w:vAlign w:val="center"/>
            <w:shd w:fill="D9EAF7"/>
          </w:tcPr>
          <w:p>
            <w:r/>
            <w:r>
              <w:rPr>
                <w:b/>
                <w:sz w:val="18"/>
              </w:rPr>
              <w:t>Low</w:t>
            </w:r>
          </w:p>
        </w:tc>
        <w:tc>
          <w:tcPr>
            <w:tcW w:type="dxa" w:w="2160"/>
            <w:vAlign w:val="center"/>
            <w:shd w:fill="D9EAF7"/>
          </w:tcPr>
          <w:p>
            <w:r/>
            <w:r>
              <w:rPr>
                <w:b/>
                <w:sz w:val="18"/>
              </w:rPr>
              <w:t>Medium</w:t>
            </w:r>
          </w:p>
        </w:tc>
        <w:tc>
          <w:tcPr>
            <w:tcW w:type="dxa" w:w="2160"/>
            <w:vAlign w:val="center"/>
            <w:shd w:fill="D9EAF7"/>
          </w:tcPr>
          <w:p>
            <w:r/>
            <w:r>
              <w:rPr>
                <w:b/>
                <w:sz w:val="18"/>
              </w:rPr>
              <w:t>High</w:t>
            </w:r>
          </w:p>
        </w:tc>
      </w:tr>
      <w:tr>
        <w:tc>
          <w:tcPr>
            <w:tcW w:type="dxa" w:w="2880"/>
            <w:vAlign w:val="center"/>
          </w:tcPr>
          <w:p>
            <w:r/>
            <w:r>
              <w:rPr>
                <w:b w:val="0"/>
                <w:sz w:val="18"/>
              </w:rPr>
              <w:t>Low</w:t>
            </w:r>
          </w:p>
        </w:tc>
        <w:tc>
          <w:tcPr>
            <w:tcW w:type="dxa" w:w="2160"/>
            <w:vAlign w:val="center"/>
          </w:tcPr>
          <w:p>
            <w:r/>
            <w:r>
              <w:rPr>
                <w:b w:val="0"/>
                <w:sz w:val="18"/>
              </w:rPr>
              <w:t>Low</w:t>
            </w:r>
          </w:p>
        </w:tc>
        <w:tc>
          <w:tcPr>
            <w:tcW w:type="dxa" w:w="2160"/>
            <w:vAlign w:val="center"/>
          </w:tcPr>
          <w:p>
            <w:r/>
            <w:r>
              <w:rPr>
                <w:b w:val="0"/>
                <w:sz w:val="18"/>
              </w:rPr>
              <w:t>Low</w:t>
            </w:r>
          </w:p>
        </w:tc>
        <w:tc>
          <w:tcPr>
            <w:tcW w:type="dxa" w:w="2160"/>
            <w:vAlign w:val="center"/>
          </w:tcPr>
          <w:p>
            <w:r/>
            <w:r>
              <w:rPr>
                <w:b w:val="0"/>
                <w:sz w:val="18"/>
              </w:rPr>
              <w:t>Medium</w:t>
            </w:r>
          </w:p>
        </w:tc>
      </w:tr>
      <w:tr>
        <w:tc>
          <w:tcPr>
            <w:tcW w:type="dxa" w:w="2880"/>
            <w:vAlign w:val="center"/>
          </w:tcPr>
          <w:p>
            <w:r/>
            <w:r>
              <w:rPr>
                <w:b w:val="0"/>
                <w:sz w:val="18"/>
              </w:rPr>
              <w:t>Medium</w:t>
            </w:r>
          </w:p>
        </w:tc>
        <w:tc>
          <w:tcPr>
            <w:tcW w:type="dxa" w:w="2160"/>
            <w:vAlign w:val="center"/>
          </w:tcPr>
          <w:p>
            <w:r/>
            <w:r>
              <w:rPr>
                <w:b w:val="0"/>
                <w:sz w:val="18"/>
              </w:rPr>
              <w:t>Low</w:t>
            </w:r>
          </w:p>
        </w:tc>
        <w:tc>
          <w:tcPr>
            <w:tcW w:type="dxa" w:w="2160"/>
            <w:vAlign w:val="center"/>
          </w:tcPr>
          <w:p>
            <w:r/>
            <w:r>
              <w:rPr>
                <w:b w:val="0"/>
                <w:sz w:val="18"/>
              </w:rPr>
              <w:t>Medium</w:t>
            </w:r>
          </w:p>
        </w:tc>
        <w:tc>
          <w:tcPr>
            <w:tcW w:type="dxa" w:w="2160"/>
            <w:vAlign w:val="center"/>
          </w:tcPr>
          <w:p>
            <w:r/>
            <w:r>
              <w:rPr>
                <w:b w:val="0"/>
                <w:sz w:val="18"/>
              </w:rPr>
              <w:t>High</w:t>
            </w:r>
          </w:p>
        </w:tc>
      </w:tr>
      <w:tr>
        <w:tc>
          <w:tcPr>
            <w:tcW w:type="dxa" w:w="2880"/>
            <w:vAlign w:val="center"/>
          </w:tcPr>
          <w:p>
            <w:r/>
            <w:r>
              <w:rPr>
                <w:b w:val="0"/>
                <w:sz w:val="18"/>
              </w:rPr>
              <w:t>High</w:t>
            </w:r>
          </w:p>
        </w:tc>
        <w:tc>
          <w:tcPr>
            <w:tcW w:type="dxa" w:w="2160"/>
            <w:vAlign w:val="center"/>
          </w:tcPr>
          <w:p>
            <w:r/>
            <w:r>
              <w:rPr>
                <w:b w:val="0"/>
                <w:sz w:val="18"/>
              </w:rPr>
              <w:t>Medium</w:t>
            </w:r>
          </w:p>
        </w:tc>
        <w:tc>
          <w:tcPr>
            <w:tcW w:type="dxa" w:w="2160"/>
            <w:vAlign w:val="center"/>
          </w:tcPr>
          <w:p>
            <w:r/>
            <w:r>
              <w:rPr>
                <w:b w:val="0"/>
                <w:sz w:val="18"/>
              </w:rPr>
              <w:t>High</w:t>
            </w:r>
          </w:p>
        </w:tc>
        <w:tc>
          <w:tcPr>
            <w:tcW w:type="dxa" w:w="2160"/>
            <w:vAlign w:val="center"/>
          </w:tcPr>
          <w:p>
            <w:r/>
            <w:r>
              <w:rPr>
                <w:b w:val="0"/>
                <w:sz w:val="18"/>
              </w:rPr>
              <w:t>Critical</w:t>
            </w:r>
          </w:p>
        </w:tc>
      </w:tr>
    </w:tbl>
    <w:p/>
    <w:p>
      <w:pPr>
        <w:pStyle w:val="Heading1"/>
      </w:pPr>
      <w:r>
        <w:t>8. Simulated Audit Findings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648"/>
            <w:vAlign w:val="center"/>
            <w:shd w:fill="D9EAF7"/>
          </w:tcPr>
          <w:p>
            <w:r/>
            <w:r>
              <w:rPr>
                <w:b/>
                <w:sz w:val="18"/>
              </w:rPr>
              <w:t>ID</w:t>
            </w:r>
          </w:p>
        </w:tc>
        <w:tc>
          <w:tcPr>
            <w:tcW w:type="dxa" w:w="1656"/>
            <w:vAlign w:val="center"/>
            <w:shd w:fill="D9EAF7"/>
          </w:tcPr>
          <w:p>
            <w:r/>
            <w:r>
              <w:rPr>
                <w:b/>
                <w:sz w:val="18"/>
              </w:rPr>
              <w:t>Finding</w:t>
            </w:r>
          </w:p>
        </w:tc>
        <w:tc>
          <w:tcPr>
            <w:tcW w:type="dxa" w:w="792"/>
            <w:vAlign w:val="center"/>
            <w:shd w:fill="D9EAF7"/>
          </w:tcPr>
          <w:p>
            <w:r/>
            <w:r>
              <w:rPr>
                <w:b/>
                <w:sz w:val="18"/>
              </w:rPr>
              <w:t>Risk</w:t>
            </w:r>
          </w:p>
        </w:tc>
        <w:tc>
          <w:tcPr>
            <w:tcW w:type="dxa" w:w="1224"/>
            <w:vAlign w:val="center"/>
            <w:shd w:fill="D9EAF7"/>
          </w:tcPr>
          <w:p>
            <w:r/>
            <w:r>
              <w:rPr>
                <w:b/>
                <w:sz w:val="18"/>
              </w:rPr>
              <w:t>CSF</w:t>
            </w:r>
          </w:p>
        </w:tc>
        <w:tc>
          <w:tcPr>
            <w:tcW w:type="dxa" w:w="2088"/>
            <w:vAlign w:val="center"/>
            <w:shd w:fill="D9EAF7"/>
          </w:tcPr>
          <w:p>
            <w:r/>
            <w:r>
              <w:rPr>
                <w:b/>
                <w:sz w:val="18"/>
              </w:rPr>
              <w:t>Simulated condition</w:t>
            </w:r>
          </w:p>
        </w:tc>
        <w:tc>
          <w:tcPr>
            <w:tcW w:type="dxa" w:w="1944"/>
            <w:vAlign w:val="center"/>
            <w:shd w:fill="D9EAF7"/>
          </w:tcPr>
          <w:p>
            <w:r/>
            <w:r>
              <w:rPr>
                <w:b/>
                <w:sz w:val="18"/>
              </w:rPr>
              <w:t>Business effect</w:t>
            </w:r>
          </w:p>
        </w:tc>
        <w:tc>
          <w:tcPr>
            <w:tcW w:type="dxa" w:w="2448"/>
            <w:vAlign w:val="center"/>
            <w:shd w:fill="D9EAF7"/>
          </w:tcPr>
          <w:p>
            <w:r/>
            <w:r>
              <w:rPr>
                <w:b/>
                <w:sz w:val="18"/>
              </w:rPr>
              <w:t>Recommended action</w:t>
            </w:r>
          </w:p>
        </w:tc>
        <w:tc>
          <w:tcPr>
            <w:tcW w:type="dxa" w:w="1008"/>
            <w:vAlign w:val="center"/>
            <w:shd w:fill="D9EAF7"/>
          </w:tcPr>
          <w:p>
            <w:r/>
            <w:r>
              <w:rPr>
                <w:b/>
                <w:sz w:val="18"/>
              </w:rPr>
              <w:t>Target</w:t>
            </w:r>
          </w:p>
        </w:tc>
      </w:tr>
      <w:tr>
        <w:tc>
          <w:tcPr>
            <w:tcW w:type="dxa" w:w="648"/>
            <w:vAlign w:val="center"/>
          </w:tcPr>
          <w:p>
            <w:r/>
            <w:r>
              <w:rPr>
                <w:b w:val="0"/>
                <w:sz w:val="18"/>
              </w:rPr>
              <w:t>F-01</w:t>
            </w:r>
          </w:p>
        </w:tc>
        <w:tc>
          <w:tcPr>
            <w:tcW w:type="dxa" w:w="1656"/>
            <w:vAlign w:val="center"/>
          </w:tcPr>
          <w:p>
            <w:r/>
            <w:r>
              <w:rPr>
                <w:b w:val="0"/>
                <w:sz w:val="18"/>
              </w:rPr>
              <w:t>Inconsistent MFA coverage</w:t>
            </w:r>
          </w:p>
        </w:tc>
        <w:tc>
          <w:tcPr>
            <w:tcW w:type="dxa" w:w="792"/>
            <w:vAlign w:val="center"/>
          </w:tcPr>
          <w:p>
            <w:r/>
            <w:r>
              <w:rPr>
                <w:b w:val="0"/>
                <w:sz w:val="18"/>
              </w:rPr>
              <w:t>High</w:t>
            </w:r>
          </w:p>
        </w:tc>
        <w:tc>
          <w:tcPr>
            <w:tcW w:type="dxa" w:w="1224"/>
            <w:vAlign w:val="center"/>
          </w:tcPr>
          <w:p>
            <w:r/>
            <w:r>
              <w:rPr>
                <w:b w:val="0"/>
                <w:sz w:val="18"/>
              </w:rPr>
              <w:t>Protect / Govern</w:t>
            </w:r>
          </w:p>
        </w:tc>
        <w:tc>
          <w:tcPr>
            <w:tcW w:type="dxa" w:w="2088"/>
            <w:vAlign w:val="center"/>
          </w:tcPr>
          <w:p>
            <w:r/>
            <w:r>
              <w:rPr>
                <w:b w:val="0"/>
                <w:sz w:val="18"/>
              </w:rPr>
              <w:t>MFA is assumed to be mandatory for some SaaS applications but not consistently enforced for all remote-access and privileged accounts.</w:t>
            </w:r>
          </w:p>
        </w:tc>
        <w:tc>
          <w:tcPr>
            <w:tcW w:type="dxa" w:w="1944"/>
            <w:vAlign w:val="center"/>
          </w:tcPr>
          <w:p>
            <w:r/>
            <w:r>
              <w:rPr>
                <w:b w:val="0"/>
                <w:sz w:val="18"/>
              </w:rPr>
              <w:t>Credential theft could lead to unauthorized access, account takeover, data exposure and lateral movement.</w:t>
            </w:r>
          </w:p>
        </w:tc>
        <w:tc>
          <w:tcPr>
            <w:tcW w:type="dxa" w:w="2448"/>
            <w:vAlign w:val="center"/>
          </w:tcPr>
          <w:p>
            <w:r/>
            <w:r>
              <w:rPr>
                <w:b w:val="0"/>
                <w:sz w:val="18"/>
              </w:rPr>
              <w:t>Enforce phishing-resistant or strong MFA for administrators and remote access first; remove legacy authentication; monitor exceptions.</w:t>
            </w:r>
          </w:p>
        </w:tc>
        <w:tc>
          <w:tcPr>
            <w:tcW w:type="dxa" w:w="1008"/>
            <w:vAlign w:val="center"/>
          </w:tcPr>
          <w:p>
            <w:r/>
            <w:r>
              <w:rPr>
                <w:b w:val="0"/>
                <w:sz w:val="18"/>
              </w:rPr>
              <w:t>30 days</w:t>
            </w:r>
          </w:p>
        </w:tc>
      </w:tr>
      <w:tr>
        <w:tc>
          <w:tcPr>
            <w:tcW w:type="dxa" w:w="648"/>
            <w:vAlign w:val="center"/>
          </w:tcPr>
          <w:p>
            <w:r/>
            <w:r>
              <w:rPr>
                <w:b w:val="0"/>
                <w:sz w:val="18"/>
              </w:rPr>
              <w:t>F-02</w:t>
            </w:r>
          </w:p>
        </w:tc>
        <w:tc>
          <w:tcPr>
            <w:tcW w:type="dxa" w:w="1656"/>
            <w:vAlign w:val="center"/>
          </w:tcPr>
          <w:p>
            <w:r/>
            <w:r>
              <w:rPr>
                <w:b w:val="0"/>
                <w:sz w:val="18"/>
              </w:rPr>
              <w:t>Incomplete asset inventory</w:t>
            </w:r>
          </w:p>
        </w:tc>
        <w:tc>
          <w:tcPr>
            <w:tcW w:type="dxa" w:w="792"/>
            <w:vAlign w:val="center"/>
          </w:tcPr>
          <w:p>
            <w:r/>
            <w:r>
              <w:rPr>
                <w:b w:val="0"/>
                <w:sz w:val="18"/>
              </w:rPr>
              <w:t>High</w:t>
            </w:r>
          </w:p>
        </w:tc>
        <w:tc>
          <w:tcPr>
            <w:tcW w:type="dxa" w:w="1224"/>
            <w:vAlign w:val="center"/>
          </w:tcPr>
          <w:p>
            <w:r/>
            <w:r>
              <w:rPr>
                <w:b w:val="0"/>
                <w:sz w:val="18"/>
              </w:rPr>
              <w:t>Identify</w:t>
            </w:r>
          </w:p>
        </w:tc>
        <w:tc>
          <w:tcPr>
            <w:tcW w:type="dxa" w:w="2088"/>
            <w:vAlign w:val="center"/>
          </w:tcPr>
          <w:p>
            <w:r/>
            <w:r>
              <w:rPr>
                <w:b w:val="0"/>
                <w:sz w:val="18"/>
              </w:rPr>
              <w:t>Cloud resources, SaaS applications and shadow IT are assumed to be incompletely represented in the central inventory.</w:t>
            </w:r>
          </w:p>
        </w:tc>
        <w:tc>
          <w:tcPr>
            <w:tcW w:type="dxa" w:w="1944"/>
            <w:vAlign w:val="center"/>
          </w:tcPr>
          <w:p>
            <w:r/>
            <w:r>
              <w:rPr>
                <w:b w:val="0"/>
                <w:sz w:val="18"/>
              </w:rPr>
              <w:t>Unknown assets cannot be reliably patched, monitored or retired, increasing exposure and control blind spots.</w:t>
            </w:r>
          </w:p>
        </w:tc>
        <w:tc>
          <w:tcPr>
            <w:tcW w:type="dxa" w:w="2448"/>
            <w:vAlign w:val="center"/>
          </w:tcPr>
          <w:p>
            <w:r/>
            <w:r>
              <w:rPr>
                <w:b w:val="0"/>
                <w:sz w:val="18"/>
              </w:rPr>
              <w:t>Create a reconciled asset inventory with ownership, business criticality, data classification and lifecycle status.</w:t>
            </w:r>
          </w:p>
        </w:tc>
        <w:tc>
          <w:tcPr>
            <w:tcW w:type="dxa" w:w="1008"/>
            <w:vAlign w:val="center"/>
          </w:tcPr>
          <w:p>
            <w:r/>
            <w:r>
              <w:rPr>
                <w:b w:val="0"/>
                <w:sz w:val="18"/>
              </w:rPr>
              <w:t>60 days</w:t>
            </w:r>
          </w:p>
        </w:tc>
      </w:tr>
      <w:tr>
        <w:tc>
          <w:tcPr>
            <w:tcW w:type="dxa" w:w="648"/>
            <w:vAlign w:val="center"/>
          </w:tcPr>
          <w:p>
            <w:r/>
            <w:r>
              <w:rPr>
                <w:b w:val="0"/>
                <w:sz w:val="18"/>
              </w:rPr>
              <w:t>F-03</w:t>
            </w:r>
          </w:p>
        </w:tc>
        <w:tc>
          <w:tcPr>
            <w:tcW w:type="dxa" w:w="1656"/>
            <w:vAlign w:val="center"/>
          </w:tcPr>
          <w:p>
            <w:r/>
            <w:r>
              <w:rPr>
                <w:b w:val="0"/>
                <w:sz w:val="18"/>
              </w:rPr>
              <w:t>Patch and vulnerability remediation gaps</w:t>
            </w:r>
          </w:p>
        </w:tc>
        <w:tc>
          <w:tcPr>
            <w:tcW w:type="dxa" w:w="792"/>
            <w:vAlign w:val="center"/>
          </w:tcPr>
          <w:p>
            <w:r/>
            <w:r>
              <w:rPr>
                <w:b w:val="0"/>
                <w:sz w:val="18"/>
              </w:rPr>
              <w:t>Critical</w:t>
            </w:r>
          </w:p>
        </w:tc>
        <w:tc>
          <w:tcPr>
            <w:tcW w:type="dxa" w:w="1224"/>
            <w:vAlign w:val="center"/>
          </w:tcPr>
          <w:p>
            <w:r/>
            <w:r>
              <w:rPr>
                <w:b w:val="0"/>
                <w:sz w:val="18"/>
              </w:rPr>
              <w:t>Identify / Protect</w:t>
            </w:r>
          </w:p>
        </w:tc>
        <w:tc>
          <w:tcPr>
            <w:tcW w:type="dxa" w:w="2088"/>
            <w:vAlign w:val="center"/>
          </w:tcPr>
          <w:p>
            <w:r/>
            <w:r>
              <w:rPr>
                <w:b w:val="0"/>
                <w:sz w:val="18"/>
              </w:rPr>
              <w:t>The organization is assumed to have inconsistent patch SLAs and incomplete tracking of internet-facing and high-risk vulnerabilities.</w:t>
            </w:r>
          </w:p>
        </w:tc>
        <w:tc>
          <w:tcPr>
            <w:tcW w:type="dxa" w:w="1944"/>
            <w:vAlign w:val="center"/>
          </w:tcPr>
          <w:p>
            <w:r/>
            <w:r>
              <w:rPr>
                <w:b w:val="0"/>
                <w:sz w:val="18"/>
              </w:rPr>
              <w:t>Exploitable flaws may provide initial access or enable privilege escalation. CISA recommends using its KEV Catalog as an input to vulnerability prioritization. [3]</w:t>
            </w:r>
          </w:p>
        </w:tc>
        <w:tc>
          <w:tcPr>
            <w:tcW w:type="dxa" w:w="2448"/>
            <w:vAlign w:val="center"/>
          </w:tcPr>
          <w:p>
            <w:r/>
            <w:r>
              <w:rPr>
                <w:b w:val="0"/>
                <w:sz w:val="18"/>
              </w:rPr>
              <w:t>Establish risk-based SLAs; prioritize KEV-listed and internet-facing vulnerabilities; document exceptions and compensating controls.</w:t>
            </w:r>
          </w:p>
        </w:tc>
        <w:tc>
          <w:tcPr>
            <w:tcW w:type="dxa" w:w="1008"/>
            <w:vAlign w:val="center"/>
          </w:tcPr>
          <w:p>
            <w:r/>
            <w:r>
              <w:rPr>
                <w:b w:val="0"/>
                <w:sz w:val="18"/>
              </w:rPr>
              <w:t>15–45 days</w:t>
            </w:r>
          </w:p>
        </w:tc>
      </w:tr>
      <w:tr>
        <w:tc>
          <w:tcPr>
            <w:tcW w:type="dxa" w:w="648"/>
            <w:vAlign w:val="center"/>
          </w:tcPr>
          <w:p>
            <w:r/>
            <w:r>
              <w:rPr>
                <w:b w:val="0"/>
                <w:sz w:val="18"/>
              </w:rPr>
              <w:t>F-04</w:t>
            </w:r>
          </w:p>
        </w:tc>
        <w:tc>
          <w:tcPr>
            <w:tcW w:type="dxa" w:w="1656"/>
            <w:vAlign w:val="center"/>
          </w:tcPr>
          <w:p>
            <w:r/>
            <w:r>
              <w:rPr>
                <w:b w:val="0"/>
                <w:sz w:val="18"/>
              </w:rPr>
              <w:t>Excessive privileged access</w:t>
            </w:r>
          </w:p>
        </w:tc>
        <w:tc>
          <w:tcPr>
            <w:tcW w:type="dxa" w:w="792"/>
            <w:vAlign w:val="center"/>
          </w:tcPr>
          <w:p>
            <w:r/>
            <w:r>
              <w:rPr>
                <w:b w:val="0"/>
                <w:sz w:val="18"/>
              </w:rPr>
              <w:t>High</w:t>
            </w:r>
          </w:p>
        </w:tc>
        <w:tc>
          <w:tcPr>
            <w:tcW w:type="dxa" w:w="1224"/>
            <w:vAlign w:val="center"/>
          </w:tcPr>
          <w:p>
            <w:r/>
            <w:r>
              <w:rPr>
                <w:b w:val="0"/>
                <w:sz w:val="18"/>
              </w:rPr>
              <w:t>Protect / Govern</w:t>
            </w:r>
          </w:p>
        </w:tc>
        <w:tc>
          <w:tcPr>
            <w:tcW w:type="dxa" w:w="2088"/>
            <w:vAlign w:val="center"/>
          </w:tcPr>
          <w:p>
            <w:r/>
            <w:r>
              <w:rPr>
                <w:b w:val="0"/>
                <w:sz w:val="18"/>
              </w:rPr>
              <w:t>Administrative rights are assumed to be broader than business need, with some shared or persistent administrator accounts.</w:t>
            </w:r>
          </w:p>
        </w:tc>
        <w:tc>
          <w:tcPr>
            <w:tcW w:type="dxa" w:w="1944"/>
            <w:vAlign w:val="center"/>
          </w:tcPr>
          <w:p>
            <w:r/>
            <w:r>
              <w:rPr>
                <w:b w:val="0"/>
                <w:sz w:val="18"/>
              </w:rPr>
              <w:t>Compromised privileged credentials could allow broad system modification, ransomware deployment or data theft.</w:t>
            </w:r>
          </w:p>
        </w:tc>
        <w:tc>
          <w:tcPr>
            <w:tcW w:type="dxa" w:w="2448"/>
            <w:vAlign w:val="center"/>
          </w:tcPr>
          <w:p>
            <w:r/>
            <w:r>
              <w:rPr>
                <w:b w:val="0"/>
                <w:sz w:val="18"/>
              </w:rPr>
              <w:t>Implement least privilege, separate admin accounts, privileged access management, periodic access reviews and break-glass controls.</w:t>
            </w:r>
          </w:p>
        </w:tc>
        <w:tc>
          <w:tcPr>
            <w:tcW w:type="dxa" w:w="1008"/>
            <w:vAlign w:val="center"/>
          </w:tcPr>
          <w:p>
            <w:r/>
            <w:r>
              <w:rPr>
                <w:b w:val="0"/>
                <w:sz w:val="18"/>
              </w:rPr>
              <w:t>45–90 days</w:t>
            </w:r>
          </w:p>
        </w:tc>
      </w:tr>
      <w:tr>
        <w:tc>
          <w:tcPr>
            <w:tcW w:type="dxa" w:w="648"/>
            <w:vAlign w:val="center"/>
          </w:tcPr>
          <w:p>
            <w:r/>
            <w:r>
              <w:rPr>
                <w:b w:val="0"/>
                <w:sz w:val="18"/>
              </w:rPr>
              <w:t>F-05</w:t>
            </w:r>
          </w:p>
        </w:tc>
        <w:tc>
          <w:tcPr>
            <w:tcW w:type="dxa" w:w="1656"/>
            <w:vAlign w:val="center"/>
          </w:tcPr>
          <w:p>
            <w:r/>
            <w:r>
              <w:rPr>
                <w:b w:val="0"/>
                <w:sz w:val="18"/>
              </w:rPr>
              <w:t>Insufficient centralized logging</w:t>
            </w:r>
          </w:p>
        </w:tc>
        <w:tc>
          <w:tcPr>
            <w:tcW w:type="dxa" w:w="792"/>
            <w:vAlign w:val="center"/>
          </w:tcPr>
          <w:p>
            <w:r/>
            <w:r>
              <w:rPr>
                <w:b w:val="0"/>
                <w:sz w:val="18"/>
              </w:rPr>
              <w:t>High</w:t>
            </w:r>
          </w:p>
        </w:tc>
        <w:tc>
          <w:tcPr>
            <w:tcW w:type="dxa" w:w="1224"/>
            <w:vAlign w:val="center"/>
          </w:tcPr>
          <w:p>
            <w:r/>
            <w:r>
              <w:rPr>
                <w:b w:val="0"/>
                <w:sz w:val="18"/>
              </w:rPr>
              <w:t>Detect</w:t>
            </w:r>
          </w:p>
        </w:tc>
        <w:tc>
          <w:tcPr>
            <w:tcW w:type="dxa" w:w="2088"/>
            <w:vAlign w:val="center"/>
          </w:tcPr>
          <w:p>
            <w:r/>
            <w:r>
              <w:rPr>
                <w:b w:val="0"/>
                <w:sz w:val="18"/>
              </w:rPr>
              <w:t>Critical cloud, endpoint and application events are assumed not to be consistently centralized or correlated.</w:t>
            </w:r>
          </w:p>
        </w:tc>
        <w:tc>
          <w:tcPr>
            <w:tcW w:type="dxa" w:w="1944"/>
            <w:vAlign w:val="center"/>
          </w:tcPr>
          <w:p>
            <w:r/>
            <w:r>
              <w:rPr>
                <w:b w:val="0"/>
                <w:sz w:val="18"/>
              </w:rPr>
              <w:t>Security events may remain undetected for longer periods, increasing attacker dwell time and incident impact.</w:t>
            </w:r>
          </w:p>
        </w:tc>
        <w:tc>
          <w:tcPr>
            <w:tcW w:type="dxa" w:w="2448"/>
            <w:vAlign w:val="center"/>
          </w:tcPr>
          <w:p>
            <w:r/>
            <w:r>
              <w:rPr>
                <w:b w:val="0"/>
                <w:sz w:val="18"/>
              </w:rPr>
              <w:t>Centralize priority logs, define retention, onboard identity/cloud/endpoint/application telemetry, and tune actionable alerts.</w:t>
            </w:r>
          </w:p>
        </w:tc>
        <w:tc>
          <w:tcPr>
            <w:tcW w:type="dxa" w:w="1008"/>
            <w:vAlign w:val="center"/>
          </w:tcPr>
          <w:p>
            <w:r/>
            <w:r>
              <w:rPr>
                <w:b w:val="0"/>
                <w:sz w:val="18"/>
              </w:rPr>
              <w:t>60–90 days</w:t>
            </w:r>
          </w:p>
        </w:tc>
      </w:tr>
      <w:tr>
        <w:tc>
          <w:tcPr>
            <w:tcW w:type="dxa" w:w="648"/>
            <w:vAlign w:val="center"/>
          </w:tcPr>
          <w:p>
            <w:r/>
            <w:r>
              <w:rPr>
                <w:b w:val="0"/>
                <w:sz w:val="18"/>
              </w:rPr>
              <w:t>F-06</w:t>
            </w:r>
          </w:p>
        </w:tc>
        <w:tc>
          <w:tcPr>
            <w:tcW w:type="dxa" w:w="1656"/>
            <w:vAlign w:val="center"/>
          </w:tcPr>
          <w:p>
            <w:r/>
            <w:r>
              <w:rPr>
                <w:b w:val="0"/>
                <w:sz w:val="18"/>
              </w:rPr>
              <w:t>Weak endpoint hardening consistency</w:t>
            </w:r>
          </w:p>
        </w:tc>
        <w:tc>
          <w:tcPr>
            <w:tcW w:type="dxa" w:w="792"/>
            <w:vAlign w:val="center"/>
          </w:tcPr>
          <w:p>
            <w:r/>
            <w:r>
              <w:rPr>
                <w:b w:val="0"/>
                <w:sz w:val="18"/>
              </w:rPr>
              <w:t>High</w:t>
            </w:r>
          </w:p>
        </w:tc>
        <w:tc>
          <w:tcPr>
            <w:tcW w:type="dxa" w:w="1224"/>
            <w:vAlign w:val="center"/>
          </w:tcPr>
          <w:p>
            <w:r/>
            <w:r>
              <w:rPr>
                <w:b w:val="0"/>
                <w:sz w:val="18"/>
              </w:rPr>
              <w:t>Protect</w:t>
            </w:r>
          </w:p>
        </w:tc>
        <w:tc>
          <w:tcPr>
            <w:tcW w:type="dxa" w:w="2088"/>
            <w:vAlign w:val="center"/>
          </w:tcPr>
          <w:p>
            <w:r/>
            <w:r>
              <w:rPr>
                <w:b w:val="0"/>
                <w:sz w:val="18"/>
              </w:rPr>
              <w:t>Baseline configuration, EDR coverage and local administrator controls are assumed to vary across endpoints.</w:t>
            </w:r>
          </w:p>
        </w:tc>
        <w:tc>
          <w:tcPr>
            <w:tcW w:type="dxa" w:w="1944"/>
            <w:vAlign w:val="center"/>
          </w:tcPr>
          <w:p>
            <w:r/>
            <w:r>
              <w:rPr>
                <w:b w:val="0"/>
                <w:sz w:val="18"/>
              </w:rPr>
              <w:t>Attackers may exploit weak configurations, malware execution paths or unmonitored devices.</w:t>
            </w:r>
          </w:p>
        </w:tc>
        <w:tc>
          <w:tcPr>
            <w:tcW w:type="dxa" w:w="2448"/>
            <w:vAlign w:val="center"/>
          </w:tcPr>
          <w:p>
            <w:r/>
            <w:r>
              <w:rPr>
                <w:b w:val="0"/>
                <w:sz w:val="18"/>
              </w:rPr>
              <w:t>Deploy a secure baseline, EDR coverage target, disk encryption, application control where appropriate, and configuration compliance monitoring.</w:t>
            </w:r>
          </w:p>
        </w:tc>
        <w:tc>
          <w:tcPr>
            <w:tcW w:type="dxa" w:w="1008"/>
            <w:vAlign w:val="center"/>
          </w:tcPr>
          <w:p>
            <w:r/>
            <w:r>
              <w:rPr>
                <w:b w:val="0"/>
                <w:sz w:val="18"/>
              </w:rPr>
              <w:t>60–90 days</w:t>
            </w:r>
          </w:p>
        </w:tc>
      </w:tr>
      <w:tr>
        <w:tc>
          <w:tcPr>
            <w:tcW w:type="dxa" w:w="648"/>
            <w:vAlign w:val="center"/>
          </w:tcPr>
          <w:p>
            <w:r/>
            <w:r>
              <w:rPr>
                <w:b w:val="0"/>
                <w:sz w:val="18"/>
              </w:rPr>
              <w:t>F-07</w:t>
            </w:r>
          </w:p>
        </w:tc>
        <w:tc>
          <w:tcPr>
            <w:tcW w:type="dxa" w:w="1656"/>
            <w:vAlign w:val="center"/>
          </w:tcPr>
          <w:p>
            <w:r/>
            <w:r>
              <w:rPr>
                <w:b w:val="0"/>
                <w:sz w:val="18"/>
              </w:rPr>
              <w:t>Backup recovery testing gaps</w:t>
            </w:r>
          </w:p>
        </w:tc>
        <w:tc>
          <w:tcPr>
            <w:tcW w:type="dxa" w:w="792"/>
            <w:vAlign w:val="center"/>
          </w:tcPr>
          <w:p>
            <w:r/>
            <w:r>
              <w:rPr>
                <w:b w:val="0"/>
                <w:sz w:val="18"/>
              </w:rPr>
              <w:t>High</w:t>
            </w:r>
          </w:p>
        </w:tc>
        <w:tc>
          <w:tcPr>
            <w:tcW w:type="dxa" w:w="1224"/>
            <w:vAlign w:val="center"/>
          </w:tcPr>
          <w:p>
            <w:r/>
            <w:r>
              <w:rPr>
                <w:b w:val="0"/>
                <w:sz w:val="18"/>
              </w:rPr>
              <w:t>Recover / Protect</w:t>
            </w:r>
          </w:p>
        </w:tc>
        <w:tc>
          <w:tcPr>
            <w:tcW w:type="dxa" w:w="2088"/>
            <w:vAlign w:val="center"/>
          </w:tcPr>
          <w:p>
            <w:r/>
            <w:r>
              <w:rPr>
                <w:b w:val="0"/>
                <w:sz w:val="18"/>
              </w:rPr>
              <w:t>Backups are assumed to exist but restoration tests are irregular and evidence of recovery objectives is incomplete.</w:t>
            </w:r>
          </w:p>
        </w:tc>
        <w:tc>
          <w:tcPr>
            <w:tcW w:type="dxa" w:w="1944"/>
            <w:vAlign w:val="center"/>
          </w:tcPr>
          <w:p>
            <w:r/>
            <w:r>
              <w:rPr>
                <w:b w:val="0"/>
                <w:sz w:val="18"/>
              </w:rPr>
              <w:t>A ransomware or destructive incident could cause prolonged service disruption even when backups exist.</w:t>
            </w:r>
          </w:p>
        </w:tc>
        <w:tc>
          <w:tcPr>
            <w:tcW w:type="dxa" w:w="2448"/>
            <w:vAlign w:val="center"/>
          </w:tcPr>
          <w:p>
            <w:r/>
            <w:r>
              <w:rPr>
                <w:b w:val="0"/>
                <w:sz w:val="18"/>
              </w:rPr>
              <w:t>Define RPO/RTO by service, use immutable/offline protection where appropriate, test restoration at least periodically, and record results.</w:t>
            </w:r>
          </w:p>
        </w:tc>
        <w:tc>
          <w:tcPr>
            <w:tcW w:type="dxa" w:w="1008"/>
            <w:vAlign w:val="center"/>
          </w:tcPr>
          <w:p>
            <w:r/>
            <w:r>
              <w:rPr>
                <w:b w:val="0"/>
                <w:sz w:val="18"/>
              </w:rPr>
              <w:t>60–120 days</w:t>
            </w:r>
          </w:p>
        </w:tc>
      </w:tr>
      <w:tr>
        <w:tc>
          <w:tcPr>
            <w:tcW w:type="dxa" w:w="648"/>
            <w:vAlign w:val="center"/>
          </w:tcPr>
          <w:p>
            <w:r/>
            <w:r>
              <w:rPr>
                <w:b w:val="0"/>
                <w:sz w:val="18"/>
              </w:rPr>
              <w:t>F-08</w:t>
            </w:r>
          </w:p>
        </w:tc>
        <w:tc>
          <w:tcPr>
            <w:tcW w:type="dxa" w:w="1656"/>
            <w:vAlign w:val="center"/>
          </w:tcPr>
          <w:p>
            <w:r/>
            <w:r>
              <w:rPr>
                <w:b w:val="0"/>
                <w:sz w:val="18"/>
              </w:rPr>
              <w:t>Incident response exercise not mature</w:t>
            </w:r>
          </w:p>
        </w:tc>
        <w:tc>
          <w:tcPr>
            <w:tcW w:type="dxa" w:w="792"/>
            <w:vAlign w:val="center"/>
          </w:tcPr>
          <w:p>
            <w:r/>
            <w:r>
              <w:rPr>
                <w:b w:val="0"/>
                <w:sz w:val="18"/>
              </w:rPr>
              <w:t>Medium</w:t>
            </w:r>
          </w:p>
        </w:tc>
        <w:tc>
          <w:tcPr>
            <w:tcW w:type="dxa" w:w="1224"/>
            <w:vAlign w:val="center"/>
          </w:tcPr>
          <w:p>
            <w:r/>
            <w:r>
              <w:rPr>
                <w:b w:val="0"/>
                <w:sz w:val="18"/>
              </w:rPr>
              <w:t>Respond / Recover</w:t>
            </w:r>
          </w:p>
        </w:tc>
        <w:tc>
          <w:tcPr>
            <w:tcW w:type="dxa" w:w="2088"/>
            <w:vAlign w:val="center"/>
          </w:tcPr>
          <w:p>
            <w:r/>
            <w:r>
              <w:rPr>
                <w:b w:val="0"/>
                <w:sz w:val="18"/>
              </w:rPr>
              <w:t>The response plan is assumed to exist but has limited evidence of scenario-based exercises involving business owners.</w:t>
            </w:r>
          </w:p>
        </w:tc>
        <w:tc>
          <w:tcPr>
            <w:tcW w:type="dxa" w:w="1944"/>
            <w:vAlign w:val="center"/>
          </w:tcPr>
          <w:p>
            <w:r/>
            <w:r>
              <w:rPr>
                <w:b w:val="0"/>
                <w:sz w:val="18"/>
              </w:rPr>
              <w:t>Teams may respond inconsistently during a real incident, delaying containment, communications and recovery.</w:t>
            </w:r>
          </w:p>
        </w:tc>
        <w:tc>
          <w:tcPr>
            <w:tcW w:type="dxa" w:w="2448"/>
            <w:vAlign w:val="center"/>
          </w:tcPr>
          <w:p>
            <w:r/>
            <w:r>
              <w:rPr>
                <w:b w:val="0"/>
                <w:sz w:val="18"/>
              </w:rPr>
              <w:t>Run tabletop exercises for ransomware, account compromise and cloud breach scenarios; record lessons and owners.</w:t>
            </w:r>
          </w:p>
        </w:tc>
        <w:tc>
          <w:tcPr>
            <w:tcW w:type="dxa" w:w="1008"/>
            <w:vAlign w:val="center"/>
          </w:tcPr>
          <w:p>
            <w:r/>
            <w:r>
              <w:rPr>
                <w:b w:val="0"/>
                <w:sz w:val="18"/>
              </w:rPr>
              <w:t>60–90 days</w:t>
            </w:r>
          </w:p>
        </w:tc>
      </w:tr>
      <w:tr>
        <w:tc>
          <w:tcPr>
            <w:tcW w:type="dxa" w:w="648"/>
            <w:vAlign w:val="center"/>
          </w:tcPr>
          <w:p>
            <w:r/>
            <w:r>
              <w:rPr>
                <w:b w:val="0"/>
                <w:sz w:val="18"/>
              </w:rPr>
              <w:t>F-09</w:t>
            </w:r>
          </w:p>
        </w:tc>
        <w:tc>
          <w:tcPr>
            <w:tcW w:type="dxa" w:w="1656"/>
            <w:vAlign w:val="center"/>
          </w:tcPr>
          <w:p>
            <w:r/>
            <w:r>
              <w:rPr>
                <w:b w:val="0"/>
                <w:sz w:val="18"/>
              </w:rPr>
              <w:t>Third-party security assurance gaps</w:t>
            </w:r>
          </w:p>
        </w:tc>
        <w:tc>
          <w:tcPr>
            <w:tcW w:type="dxa" w:w="792"/>
            <w:vAlign w:val="center"/>
          </w:tcPr>
          <w:p>
            <w:r/>
            <w:r>
              <w:rPr>
                <w:b w:val="0"/>
                <w:sz w:val="18"/>
              </w:rPr>
              <w:t>High</w:t>
            </w:r>
          </w:p>
        </w:tc>
        <w:tc>
          <w:tcPr>
            <w:tcW w:type="dxa" w:w="1224"/>
            <w:vAlign w:val="center"/>
          </w:tcPr>
          <w:p>
            <w:r/>
            <w:r>
              <w:rPr>
                <w:b w:val="0"/>
                <w:sz w:val="18"/>
              </w:rPr>
              <w:t>Govern / Identify</w:t>
            </w:r>
          </w:p>
        </w:tc>
        <w:tc>
          <w:tcPr>
            <w:tcW w:type="dxa" w:w="2088"/>
            <w:vAlign w:val="center"/>
          </w:tcPr>
          <w:p>
            <w:r/>
            <w:r>
              <w:rPr>
                <w:b w:val="0"/>
                <w:sz w:val="18"/>
              </w:rPr>
              <w:t>Supplier security reviews are assumed to be risk-based but inconsistently documented, with limited ongoing monitoring.</w:t>
            </w:r>
          </w:p>
        </w:tc>
        <w:tc>
          <w:tcPr>
            <w:tcW w:type="dxa" w:w="1944"/>
            <w:vAlign w:val="center"/>
          </w:tcPr>
          <w:p>
            <w:r/>
            <w:r>
              <w:rPr>
                <w:b w:val="0"/>
                <w:sz w:val="18"/>
              </w:rPr>
              <w:t>A supplier compromise could expose organizational systems or data through trusted connections.</w:t>
            </w:r>
          </w:p>
        </w:tc>
        <w:tc>
          <w:tcPr>
            <w:tcW w:type="dxa" w:w="2448"/>
            <w:vAlign w:val="center"/>
          </w:tcPr>
          <w:p>
            <w:r/>
            <w:r>
              <w:rPr>
                <w:b w:val="0"/>
                <w:sz w:val="18"/>
              </w:rPr>
              <w:t>Tier suppliers by risk, require security clauses, review assurance evidence, monitor critical suppliers and track exceptions.</w:t>
            </w:r>
          </w:p>
        </w:tc>
        <w:tc>
          <w:tcPr>
            <w:tcW w:type="dxa" w:w="1008"/>
            <w:vAlign w:val="center"/>
          </w:tcPr>
          <w:p>
            <w:r/>
            <w:r>
              <w:rPr>
                <w:b w:val="0"/>
                <w:sz w:val="18"/>
              </w:rPr>
              <w:t>90–180 days</w:t>
            </w:r>
          </w:p>
        </w:tc>
      </w:tr>
      <w:tr>
        <w:tc>
          <w:tcPr>
            <w:tcW w:type="dxa" w:w="648"/>
            <w:vAlign w:val="center"/>
          </w:tcPr>
          <w:p>
            <w:r/>
            <w:r>
              <w:rPr>
                <w:b w:val="0"/>
                <w:sz w:val="18"/>
              </w:rPr>
              <w:t>F-10</w:t>
            </w:r>
          </w:p>
        </w:tc>
        <w:tc>
          <w:tcPr>
            <w:tcW w:type="dxa" w:w="1656"/>
            <w:vAlign w:val="center"/>
          </w:tcPr>
          <w:p>
            <w:r/>
            <w:r>
              <w:rPr>
                <w:b w:val="0"/>
                <w:sz w:val="18"/>
              </w:rPr>
              <w:t>Security awareness and phishing resilience gaps</w:t>
            </w:r>
          </w:p>
        </w:tc>
        <w:tc>
          <w:tcPr>
            <w:tcW w:type="dxa" w:w="792"/>
            <w:vAlign w:val="center"/>
          </w:tcPr>
          <w:p>
            <w:r/>
            <w:r>
              <w:rPr>
                <w:b w:val="0"/>
                <w:sz w:val="18"/>
              </w:rPr>
              <w:t>Medium</w:t>
            </w:r>
          </w:p>
        </w:tc>
        <w:tc>
          <w:tcPr>
            <w:tcW w:type="dxa" w:w="1224"/>
            <w:vAlign w:val="center"/>
          </w:tcPr>
          <w:p>
            <w:r/>
            <w:r>
              <w:rPr>
                <w:b w:val="0"/>
                <w:sz w:val="18"/>
              </w:rPr>
              <w:t>Protect / Govern</w:t>
            </w:r>
          </w:p>
        </w:tc>
        <w:tc>
          <w:tcPr>
            <w:tcW w:type="dxa" w:w="2088"/>
            <w:vAlign w:val="center"/>
          </w:tcPr>
          <w:p>
            <w:r/>
            <w:r>
              <w:rPr>
                <w:b w:val="0"/>
                <w:sz w:val="18"/>
              </w:rPr>
              <w:t>Training is assumed to occur annually, with limited role-based education and phishing metrics.</w:t>
            </w:r>
          </w:p>
        </w:tc>
        <w:tc>
          <w:tcPr>
            <w:tcW w:type="dxa" w:w="1944"/>
            <w:vAlign w:val="center"/>
          </w:tcPr>
          <w:p>
            <w:r/>
            <w:r>
              <w:rPr>
                <w:b w:val="0"/>
                <w:sz w:val="18"/>
              </w:rPr>
              <w:t>Users may be more susceptible to credential theft, social engineering and unsafe data handling.</w:t>
            </w:r>
          </w:p>
        </w:tc>
        <w:tc>
          <w:tcPr>
            <w:tcW w:type="dxa" w:w="2448"/>
            <w:vAlign w:val="center"/>
          </w:tcPr>
          <w:p>
            <w:r/>
            <w:r>
              <w:rPr>
                <w:b w:val="0"/>
                <w:sz w:val="18"/>
              </w:rPr>
              <w:t>Introduce role-based training, regular simulations, reporting mechanisms and targeted coaching.</w:t>
            </w:r>
          </w:p>
        </w:tc>
        <w:tc>
          <w:tcPr>
            <w:tcW w:type="dxa" w:w="1008"/>
            <w:vAlign w:val="center"/>
          </w:tcPr>
          <w:p>
            <w:r/>
            <w:r>
              <w:rPr>
                <w:b w:val="0"/>
                <w:sz w:val="18"/>
              </w:rPr>
              <w:t>60–120 days</w:t>
            </w:r>
          </w:p>
        </w:tc>
      </w:tr>
      <w:tr>
        <w:tc>
          <w:tcPr>
            <w:tcW w:type="dxa" w:w="648"/>
            <w:vAlign w:val="center"/>
          </w:tcPr>
          <w:p>
            <w:r/>
            <w:r>
              <w:rPr>
                <w:b w:val="0"/>
                <w:sz w:val="18"/>
              </w:rPr>
              <w:t>F-11</w:t>
            </w:r>
          </w:p>
        </w:tc>
        <w:tc>
          <w:tcPr>
            <w:tcW w:type="dxa" w:w="1656"/>
            <w:vAlign w:val="center"/>
          </w:tcPr>
          <w:p>
            <w:r/>
            <w:r>
              <w:rPr>
                <w:b w:val="0"/>
                <w:sz w:val="18"/>
              </w:rPr>
              <w:t>Secure development controls incomplete</w:t>
            </w:r>
          </w:p>
        </w:tc>
        <w:tc>
          <w:tcPr>
            <w:tcW w:type="dxa" w:w="792"/>
            <w:vAlign w:val="center"/>
          </w:tcPr>
          <w:p>
            <w:r/>
            <w:r>
              <w:rPr>
                <w:b w:val="0"/>
                <w:sz w:val="18"/>
              </w:rPr>
              <w:t>High</w:t>
            </w:r>
          </w:p>
        </w:tc>
        <w:tc>
          <w:tcPr>
            <w:tcW w:type="dxa" w:w="1224"/>
            <w:vAlign w:val="center"/>
          </w:tcPr>
          <w:p>
            <w:r/>
            <w:r>
              <w:rPr>
                <w:b w:val="0"/>
                <w:sz w:val="18"/>
              </w:rPr>
              <w:t>Protect / Identify</w:t>
            </w:r>
          </w:p>
        </w:tc>
        <w:tc>
          <w:tcPr>
            <w:tcW w:type="dxa" w:w="2088"/>
            <w:vAlign w:val="center"/>
          </w:tcPr>
          <w:p>
            <w:r/>
            <w:r>
              <w:rPr>
                <w:b w:val="0"/>
                <w:sz w:val="18"/>
              </w:rPr>
              <w:t>Application changes are assumed to have code review and testing, but security requirements, dependency scanning and threat modeling are inconsistent.</w:t>
            </w:r>
          </w:p>
        </w:tc>
        <w:tc>
          <w:tcPr>
            <w:tcW w:type="dxa" w:w="1944"/>
            <w:vAlign w:val="center"/>
          </w:tcPr>
          <w:p>
            <w:r/>
            <w:r>
              <w:rPr>
                <w:b w:val="0"/>
                <w:sz w:val="18"/>
              </w:rPr>
              <w:t>Application vulnerabilities could expose customer data or enable unauthorized transactions.</w:t>
            </w:r>
          </w:p>
        </w:tc>
        <w:tc>
          <w:tcPr>
            <w:tcW w:type="dxa" w:w="2448"/>
            <w:vAlign w:val="center"/>
          </w:tcPr>
          <w:p>
            <w:r/>
            <w:r>
              <w:rPr>
                <w:b w:val="0"/>
                <w:sz w:val="18"/>
              </w:rPr>
              <w:t>Add security requirements, SAST/SCA/DAST where appropriate, secrets scanning, threat modeling for material changes and defect remediation SLAs.</w:t>
            </w:r>
          </w:p>
        </w:tc>
        <w:tc>
          <w:tcPr>
            <w:tcW w:type="dxa" w:w="1008"/>
            <w:vAlign w:val="center"/>
          </w:tcPr>
          <w:p>
            <w:r/>
            <w:r>
              <w:rPr>
                <w:b w:val="0"/>
                <w:sz w:val="18"/>
              </w:rPr>
              <w:t>90–180 days</w:t>
            </w:r>
          </w:p>
        </w:tc>
      </w:tr>
      <w:tr>
        <w:tc>
          <w:tcPr>
            <w:tcW w:type="dxa" w:w="648"/>
            <w:vAlign w:val="center"/>
          </w:tcPr>
          <w:p>
            <w:r/>
            <w:r>
              <w:rPr>
                <w:b w:val="0"/>
                <w:sz w:val="18"/>
              </w:rPr>
              <w:t>F-12</w:t>
            </w:r>
          </w:p>
        </w:tc>
        <w:tc>
          <w:tcPr>
            <w:tcW w:type="dxa" w:w="1656"/>
            <w:vAlign w:val="center"/>
          </w:tcPr>
          <w:p>
            <w:r/>
            <w:r>
              <w:rPr>
                <w:b w:val="0"/>
                <w:sz w:val="18"/>
              </w:rPr>
              <w:t>Risk register and metrics not sufficiently actionable</w:t>
            </w:r>
          </w:p>
        </w:tc>
        <w:tc>
          <w:tcPr>
            <w:tcW w:type="dxa" w:w="792"/>
            <w:vAlign w:val="center"/>
          </w:tcPr>
          <w:p>
            <w:r/>
            <w:r>
              <w:rPr>
                <w:b w:val="0"/>
                <w:sz w:val="18"/>
              </w:rPr>
              <w:t>Medium</w:t>
            </w:r>
          </w:p>
        </w:tc>
        <w:tc>
          <w:tcPr>
            <w:tcW w:type="dxa" w:w="1224"/>
            <w:vAlign w:val="center"/>
          </w:tcPr>
          <w:p>
            <w:r/>
            <w:r>
              <w:rPr>
                <w:b w:val="0"/>
                <w:sz w:val="18"/>
              </w:rPr>
              <w:t>Govern</w:t>
            </w:r>
          </w:p>
        </w:tc>
        <w:tc>
          <w:tcPr>
            <w:tcW w:type="dxa" w:w="2088"/>
            <w:vAlign w:val="center"/>
          </w:tcPr>
          <w:p>
            <w:r/>
            <w:r>
              <w:rPr>
                <w:b w:val="0"/>
                <w:sz w:val="18"/>
              </w:rPr>
              <w:t>Cyber risks are assumed to be recorded but not consistently linked to owners, treatment decisions and measurable indicators.</w:t>
            </w:r>
          </w:p>
        </w:tc>
        <w:tc>
          <w:tcPr>
            <w:tcW w:type="dxa" w:w="1944"/>
            <w:vAlign w:val="center"/>
          </w:tcPr>
          <w:p>
            <w:r/>
            <w:r>
              <w:rPr>
                <w:b w:val="0"/>
                <w:sz w:val="18"/>
              </w:rPr>
              <w:t>Management may lack a reliable view of residual risk and remediation progress.</w:t>
            </w:r>
          </w:p>
        </w:tc>
        <w:tc>
          <w:tcPr>
            <w:tcW w:type="dxa" w:w="2448"/>
            <w:vAlign w:val="center"/>
          </w:tcPr>
          <w:p>
            <w:r/>
            <w:r>
              <w:rPr>
                <w:b w:val="0"/>
                <w:sz w:val="18"/>
              </w:rPr>
              <w:t>Define risk owners, treatment plans, KRIs/KPIs, exception expiry dates and quarterly reporting.</w:t>
            </w:r>
          </w:p>
        </w:tc>
        <w:tc>
          <w:tcPr>
            <w:tcW w:type="dxa" w:w="1008"/>
            <w:vAlign w:val="center"/>
          </w:tcPr>
          <w:p>
            <w:r/>
            <w:r>
              <w:rPr>
                <w:b w:val="0"/>
                <w:sz w:val="18"/>
              </w:rPr>
              <w:t>60–120 days</w:t>
            </w:r>
          </w:p>
        </w:tc>
      </w:tr>
    </w:tbl>
    <w:p/>
    <w:p>
      <w:pPr>
        <w:pStyle w:val="Heading1"/>
      </w:pPr>
      <w:r>
        <w:t>9. Compliance and Control Observations</w:t>
      </w:r>
    </w:p>
    <w:p>
      <w:r>
        <w:t>Because the organization is hypothetical, this section does not declare legal non-compliance. Instead, it identifies control areas that would require evidence before management could claim alignment with a cybersecurity framework or applicable regulatory obligations.</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D9EAF7"/>
          </w:tcPr>
          <w:p>
            <w:r/>
            <w:r>
              <w:rPr>
                <w:b/>
                <w:sz w:val="18"/>
              </w:rPr>
              <w:t>Control area</w:t>
            </w:r>
          </w:p>
        </w:tc>
        <w:tc>
          <w:tcPr>
            <w:tcW w:type="dxa" w:w="3744"/>
            <w:vAlign w:val="center"/>
            <w:shd w:fill="D9EAF7"/>
          </w:tcPr>
          <w:p>
            <w:r/>
            <w:r>
              <w:rPr>
                <w:b/>
                <w:sz w:val="18"/>
              </w:rPr>
              <w:t>Observed simulated gap</w:t>
            </w:r>
          </w:p>
        </w:tc>
        <w:tc>
          <w:tcPr>
            <w:tcW w:type="dxa" w:w="3744"/>
            <w:vAlign w:val="center"/>
            <w:shd w:fill="D9EAF7"/>
          </w:tcPr>
          <w:p>
            <w:r/>
            <w:r>
              <w:rPr>
                <w:b/>
                <w:sz w:val="18"/>
              </w:rPr>
              <w:t>Evidence needed for assurance</w:t>
            </w:r>
          </w:p>
        </w:tc>
      </w:tr>
      <w:tr>
        <w:tc>
          <w:tcPr>
            <w:tcW w:type="dxa" w:w="1944"/>
            <w:vAlign w:val="center"/>
          </w:tcPr>
          <w:p>
            <w:r/>
            <w:r>
              <w:rPr>
                <w:b w:val="0"/>
                <w:sz w:val="18"/>
              </w:rPr>
              <w:t>Governance</w:t>
            </w:r>
          </w:p>
        </w:tc>
        <w:tc>
          <w:tcPr>
            <w:tcW w:type="dxa" w:w="3744"/>
            <w:vAlign w:val="center"/>
          </w:tcPr>
          <w:p>
            <w:r/>
            <w:r>
              <w:rPr>
                <w:b w:val="0"/>
                <w:sz w:val="18"/>
              </w:rPr>
              <w:t>Risk ownership and management reporting are not fully formalized.</w:t>
            </w:r>
          </w:p>
        </w:tc>
        <w:tc>
          <w:tcPr>
            <w:tcW w:type="dxa" w:w="3744"/>
            <w:vAlign w:val="center"/>
          </w:tcPr>
          <w:p>
            <w:r/>
            <w:r>
              <w:rPr>
                <w:b w:val="0"/>
                <w:sz w:val="18"/>
              </w:rPr>
              <w:t>Approved policy, risk register, committee records, risk acceptance decisions</w:t>
            </w:r>
          </w:p>
        </w:tc>
      </w:tr>
      <w:tr>
        <w:tc>
          <w:tcPr>
            <w:tcW w:type="dxa" w:w="1944"/>
            <w:vAlign w:val="center"/>
          </w:tcPr>
          <w:p>
            <w:r/>
            <w:r>
              <w:rPr>
                <w:b w:val="0"/>
                <w:sz w:val="18"/>
              </w:rPr>
              <w:t>Asset management</w:t>
            </w:r>
          </w:p>
        </w:tc>
        <w:tc>
          <w:tcPr>
            <w:tcW w:type="dxa" w:w="3744"/>
            <w:vAlign w:val="center"/>
          </w:tcPr>
          <w:p>
            <w:r/>
            <w:r>
              <w:rPr>
                <w:b w:val="0"/>
                <w:sz w:val="18"/>
              </w:rPr>
              <w:t>Inventory completeness is uncertain.</w:t>
            </w:r>
          </w:p>
        </w:tc>
        <w:tc>
          <w:tcPr>
            <w:tcW w:type="dxa" w:w="3744"/>
            <w:vAlign w:val="center"/>
          </w:tcPr>
          <w:p>
            <w:r/>
            <w:r>
              <w:rPr>
                <w:b w:val="0"/>
                <w:sz w:val="18"/>
              </w:rPr>
              <w:t>Reconciled inventory, ownership and lifecycle evidence</w:t>
            </w:r>
          </w:p>
        </w:tc>
      </w:tr>
      <w:tr>
        <w:tc>
          <w:tcPr>
            <w:tcW w:type="dxa" w:w="1944"/>
            <w:vAlign w:val="center"/>
          </w:tcPr>
          <w:p>
            <w:r/>
            <w:r>
              <w:rPr>
                <w:b w:val="0"/>
                <w:sz w:val="18"/>
              </w:rPr>
              <w:t>Access control</w:t>
            </w:r>
          </w:p>
        </w:tc>
        <w:tc>
          <w:tcPr>
            <w:tcW w:type="dxa" w:w="3744"/>
            <w:vAlign w:val="center"/>
          </w:tcPr>
          <w:p>
            <w:r/>
            <w:r>
              <w:rPr>
                <w:b w:val="0"/>
                <w:sz w:val="18"/>
              </w:rPr>
              <w:t>MFA and privileged access are inconsistent.</w:t>
            </w:r>
          </w:p>
        </w:tc>
        <w:tc>
          <w:tcPr>
            <w:tcW w:type="dxa" w:w="3744"/>
            <w:vAlign w:val="center"/>
          </w:tcPr>
          <w:p>
            <w:r/>
            <w:r>
              <w:rPr>
                <w:b w:val="0"/>
                <w:sz w:val="18"/>
              </w:rPr>
              <w:t>IAM reports, MFA coverage, privileged-access reviews</w:t>
            </w:r>
          </w:p>
        </w:tc>
      </w:tr>
      <w:tr>
        <w:tc>
          <w:tcPr>
            <w:tcW w:type="dxa" w:w="1944"/>
            <w:vAlign w:val="center"/>
          </w:tcPr>
          <w:p>
            <w:r/>
            <w:r>
              <w:rPr>
                <w:b w:val="0"/>
                <w:sz w:val="18"/>
              </w:rPr>
              <w:t>Vulnerability management</w:t>
            </w:r>
          </w:p>
        </w:tc>
        <w:tc>
          <w:tcPr>
            <w:tcW w:type="dxa" w:w="3744"/>
            <w:vAlign w:val="center"/>
          </w:tcPr>
          <w:p>
            <w:r/>
            <w:r>
              <w:rPr>
                <w:b w:val="0"/>
                <w:sz w:val="18"/>
              </w:rPr>
              <w:t>Patch SLAs and exceptions are inconsistent.</w:t>
            </w:r>
          </w:p>
        </w:tc>
        <w:tc>
          <w:tcPr>
            <w:tcW w:type="dxa" w:w="3744"/>
            <w:vAlign w:val="center"/>
          </w:tcPr>
          <w:p>
            <w:r/>
            <w:r>
              <w:rPr>
                <w:b w:val="0"/>
                <w:sz w:val="18"/>
              </w:rPr>
              <w:t>Scanner reports, patch dashboards, SLA metrics</w:t>
            </w:r>
          </w:p>
        </w:tc>
      </w:tr>
      <w:tr>
        <w:tc>
          <w:tcPr>
            <w:tcW w:type="dxa" w:w="1944"/>
            <w:vAlign w:val="center"/>
          </w:tcPr>
          <w:p>
            <w:r/>
            <w:r>
              <w:rPr>
                <w:b w:val="0"/>
                <w:sz w:val="18"/>
              </w:rPr>
              <w:t>Monitoring</w:t>
            </w:r>
          </w:p>
        </w:tc>
        <w:tc>
          <w:tcPr>
            <w:tcW w:type="dxa" w:w="3744"/>
            <w:vAlign w:val="center"/>
          </w:tcPr>
          <w:p>
            <w:r/>
            <w:r>
              <w:rPr>
                <w:b w:val="0"/>
                <w:sz w:val="18"/>
              </w:rPr>
              <w:t>Central logging is incomplete.</w:t>
            </w:r>
          </w:p>
        </w:tc>
        <w:tc>
          <w:tcPr>
            <w:tcW w:type="dxa" w:w="3744"/>
            <w:vAlign w:val="center"/>
          </w:tcPr>
          <w:p>
            <w:r/>
            <w:r>
              <w:rPr>
                <w:b w:val="0"/>
                <w:sz w:val="18"/>
              </w:rPr>
              <w:t>Log source inventory, SIEM configuration, alert test evidence</w:t>
            </w:r>
          </w:p>
        </w:tc>
      </w:tr>
      <w:tr>
        <w:tc>
          <w:tcPr>
            <w:tcW w:type="dxa" w:w="1944"/>
            <w:vAlign w:val="center"/>
          </w:tcPr>
          <w:p>
            <w:r/>
            <w:r>
              <w:rPr>
                <w:b w:val="0"/>
                <w:sz w:val="18"/>
              </w:rPr>
              <w:t>Incident response</w:t>
            </w:r>
          </w:p>
        </w:tc>
        <w:tc>
          <w:tcPr>
            <w:tcW w:type="dxa" w:w="3744"/>
            <w:vAlign w:val="center"/>
          </w:tcPr>
          <w:p>
            <w:r/>
            <w:r>
              <w:rPr>
                <w:b w:val="0"/>
                <w:sz w:val="18"/>
              </w:rPr>
              <w:t>Exercises are limited.</w:t>
            </w:r>
          </w:p>
        </w:tc>
        <w:tc>
          <w:tcPr>
            <w:tcW w:type="dxa" w:w="3744"/>
            <w:vAlign w:val="center"/>
          </w:tcPr>
          <w:p>
            <w:r/>
            <w:r>
              <w:rPr>
                <w:b w:val="0"/>
                <w:sz w:val="18"/>
              </w:rPr>
              <w:t>Exercise plans, attendance, after-action reports</w:t>
            </w:r>
          </w:p>
        </w:tc>
      </w:tr>
      <w:tr>
        <w:tc>
          <w:tcPr>
            <w:tcW w:type="dxa" w:w="1944"/>
            <w:vAlign w:val="center"/>
          </w:tcPr>
          <w:p>
            <w:r/>
            <w:r>
              <w:rPr>
                <w:b w:val="0"/>
                <w:sz w:val="18"/>
              </w:rPr>
              <w:t>Business continuity</w:t>
            </w:r>
          </w:p>
        </w:tc>
        <w:tc>
          <w:tcPr>
            <w:tcW w:type="dxa" w:w="3744"/>
            <w:vAlign w:val="center"/>
          </w:tcPr>
          <w:p>
            <w:r/>
            <w:r>
              <w:rPr>
                <w:b w:val="0"/>
                <w:sz w:val="18"/>
              </w:rPr>
              <w:t>Recovery testing is not sufficiently evidenced.</w:t>
            </w:r>
          </w:p>
        </w:tc>
        <w:tc>
          <w:tcPr>
            <w:tcW w:type="dxa" w:w="3744"/>
            <w:vAlign w:val="center"/>
          </w:tcPr>
          <w:p>
            <w:r/>
            <w:r>
              <w:rPr>
                <w:b w:val="0"/>
                <w:sz w:val="18"/>
              </w:rPr>
              <w:t>Restore test results, RPO/RTO evidence</w:t>
            </w:r>
          </w:p>
        </w:tc>
      </w:tr>
      <w:tr>
        <w:tc>
          <w:tcPr>
            <w:tcW w:type="dxa" w:w="1944"/>
            <w:vAlign w:val="center"/>
          </w:tcPr>
          <w:p>
            <w:r/>
            <w:r>
              <w:rPr>
                <w:b w:val="0"/>
                <w:sz w:val="18"/>
              </w:rPr>
              <w:t>Supplier risk</w:t>
            </w:r>
          </w:p>
        </w:tc>
        <w:tc>
          <w:tcPr>
            <w:tcW w:type="dxa" w:w="3744"/>
            <w:vAlign w:val="center"/>
          </w:tcPr>
          <w:p>
            <w:r/>
            <w:r>
              <w:rPr>
                <w:b w:val="0"/>
                <w:sz w:val="18"/>
              </w:rPr>
              <w:t>Ongoing assurance is inconsistent.</w:t>
            </w:r>
          </w:p>
        </w:tc>
        <w:tc>
          <w:tcPr>
            <w:tcW w:type="dxa" w:w="3744"/>
            <w:vAlign w:val="center"/>
          </w:tcPr>
          <w:p>
            <w:r/>
            <w:r>
              <w:rPr>
                <w:b w:val="0"/>
                <w:sz w:val="18"/>
              </w:rPr>
              <w:t>Contracts, questionnaires, SOC/ISO evidence where applicable</w:t>
            </w:r>
          </w:p>
        </w:tc>
      </w:tr>
      <w:tr>
        <w:tc>
          <w:tcPr>
            <w:tcW w:type="dxa" w:w="1944"/>
            <w:vAlign w:val="center"/>
          </w:tcPr>
          <w:p>
            <w:r/>
            <w:r>
              <w:rPr>
                <w:b w:val="0"/>
                <w:sz w:val="18"/>
              </w:rPr>
              <w:t>Secure development</w:t>
            </w:r>
          </w:p>
        </w:tc>
        <w:tc>
          <w:tcPr>
            <w:tcW w:type="dxa" w:w="3744"/>
            <w:vAlign w:val="center"/>
          </w:tcPr>
          <w:p>
            <w:r/>
            <w:r>
              <w:rPr>
                <w:b w:val="0"/>
                <w:sz w:val="18"/>
              </w:rPr>
              <w:t>Security checks are not consistently embedded.</w:t>
            </w:r>
          </w:p>
        </w:tc>
        <w:tc>
          <w:tcPr>
            <w:tcW w:type="dxa" w:w="3744"/>
            <w:vAlign w:val="center"/>
          </w:tcPr>
          <w:p>
            <w:r/>
            <w:r>
              <w:rPr>
                <w:b w:val="0"/>
                <w:sz w:val="18"/>
              </w:rPr>
              <w:t>CI/CD controls, scan reports, review records</w:t>
            </w:r>
          </w:p>
        </w:tc>
      </w:tr>
    </w:tbl>
    <w:p/>
    <w:p>
      <w:pPr>
        <w:pStyle w:val="Heading1"/>
      </w:pPr>
      <w:r>
        <w:t>10. NIST CSF 2.0 Alignment Matrix</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D9EAF7"/>
          </w:tcPr>
          <w:p>
            <w:r/>
            <w:r>
              <w:rPr>
                <w:b/>
                <w:sz w:val="18"/>
              </w:rPr>
              <w:t>CSF Function</w:t>
            </w:r>
          </w:p>
        </w:tc>
        <w:tc>
          <w:tcPr>
            <w:tcW w:type="dxa" w:w="2592"/>
            <w:vAlign w:val="center"/>
            <w:shd w:fill="D9EAF7"/>
          </w:tcPr>
          <w:p>
            <w:r/>
            <w:r>
              <w:rPr>
                <w:b/>
                <w:sz w:val="18"/>
              </w:rPr>
              <w:t>Key findings</w:t>
            </w:r>
          </w:p>
        </w:tc>
        <w:tc>
          <w:tcPr>
            <w:tcW w:type="dxa" w:w="5472"/>
            <w:vAlign w:val="center"/>
            <w:shd w:fill="D9EAF7"/>
          </w:tcPr>
          <w:p>
            <w:r/>
            <w:r>
              <w:rPr>
                <w:b/>
                <w:sz w:val="18"/>
              </w:rPr>
              <w:t>Priority outcome</w:t>
            </w:r>
          </w:p>
        </w:tc>
      </w:tr>
      <w:tr>
        <w:tc>
          <w:tcPr>
            <w:tcW w:type="dxa" w:w="1440"/>
            <w:vAlign w:val="center"/>
          </w:tcPr>
          <w:p>
            <w:r/>
            <w:r>
              <w:rPr>
                <w:b w:val="0"/>
                <w:sz w:val="18"/>
              </w:rPr>
              <w:t>Govern</w:t>
            </w:r>
          </w:p>
        </w:tc>
        <w:tc>
          <w:tcPr>
            <w:tcW w:type="dxa" w:w="2592"/>
            <w:vAlign w:val="center"/>
          </w:tcPr>
          <w:p>
            <w:r/>
            <w:r>
              <w:rPr>
                <w:b w:val="0"/>
                <w:sz w:val="18"/>
              </w:rPr>
              <w:t>F-01, F-04, F-09, F-12</w:t>
            </w:r>
          </w:p>
        </w:tc>
        <w:tc>
          <w:tcPr>
            <w:tcW w:type="dxa" w:w="5472"/>
            <w:vAlign w:val="center"/>
          </w:tcPr>
          <w:p>
            <w:r/>
            <w:r>
              <w:rPr>
                <w:b w:val="0"/>
                <w:sz w:val="18"/>
              </w:rPr>
              <w:t>Establish accountability, risk ownership, policy, supplier governance and measurable oversight.</w:t>
            </w:r>
          </w:p>
        </w:tc>
      </w:tr>
      <w:tr>
        <w:tc>
          <w:tcPr>
            <w:tcW w:type="dxa" w:w="1440"/>
            <w:vAlign w:val="center"/>
          </w:tcPr>
          <w:p>
            <w:r/>
            <w:r>
              <w:rPr>
                <w:b w:val="0"/>
                <w:sz w:val="18"/>
              </w:rPr>
              <w:t>Identify</w:t>
            </w:r>
          </w:p>
        </w:tc>
        <w:tc>
          <w:tcPr>
            <w:tcW w:type="dxa" w:w="2592"/>
            <w:vAlign w:val="center"/>
          </w:tcPr>
          <w:p>
            <w:r/>
            <w:r>
              <w:rPr>
                <w:b w:val="0"/>
                <w:sz w:val="18"/>
              </w:rPr>
              <w:t>F-02, F-03, F-09, F-11</w:t>
            </w:r>
          </w:p>
        </w:tc>
        <w:tc>
          <w:tcPr>
            <w:tcW w:type="dxa" w:w="5472"/>
            <w:vAlign w:val="center"/>
          </w:tcPr>
          <w:p>
            <w:r/>
            <w:r>
              <w:rPr>
                <w:b w:val="0"/>
                <w:sz w:val="18"/>
              </w:rPr>
              <w:t>Know assets, dependencies, vulnerabilities and risks; maintain current risk information.</w:t>
            </w:r>
          </w:p>
        </w:tc>
      </w:tr>
      <w:tr>
        <w:tc>
          <w:tcPr>
            <w:tcW w:type="dxa" w:w="1440"/>
            <w:vAlign w:val="center"/>
          </w:tcPr>
          <w:p>
            <w:r/>
            <w:r>
              <w:rPr>
                <w:b w:val="0"/>
                <w:sz w:val="18"/>
              </w:rPr>
              <w:t>Protect</w:t>
            </w:r>
          </w:p>
        </w:tc>
        <w:tc>
          <w:tcPr>
            <w:tcW w:type="dxa" w:w="2592"/>
            <w:vAlign w:val="center"/>
          </w:tcPr>
          <w:p>
            <w:r/>
            <w:r>
              <w:rPr>
                <w:b w:val="0"/>
                <w:sz w:val="18"/>
              </w:rPr>
              <w:t>F-01, F-03, F-04, F-06, F-10, F-11</w:t>
            </w:r>
          </w:p>
        </w:tc>
        <w:tc>
          <w:tcPr>
            <w:tcW w:type="dxa" w:w="5472"/>
            <w:vAlign w:val="center"/>
          </w:tcPr>
          <w:p>
            <w:r/>
            <w:r>
              <w:rPr>
                <w:b w:val="0"/>
                <w:sz w:val="18"/>
              </w:rPr>
              <w:t>Strengthen identity, least privilege, endpoint protection, vulnerability management and secure development.</w:t>
            </w:r>
          </w:p>
        </w:tc>
      </w:tr>
      <w:tr>
        <w:tc>
          <w:tcPr>
            <w:tcW w:type="dxa" w:w="1440"/>
            <w:vAlign w:val="center"/>
          </w:tcPr>
          <w:p>
            <w:r/>
            <w:r>
              <w:rPr>
                <w:b w:val="0"/>
                <w:sz w:val="18"/>
              </w:rPr>
              <w:t>Detect</w:t>
            </w:r>
          </w:p>
        </w:tc>
        <w:tc>
          <w:tcPr>
            <w:tcW w:type="dxa" w:w="2592"/>
            <w:vAlign w:val="center"/>
          </w:tcPr>
          <w:p>
            <w:r/>
            <w:r>
              <w:rPr>
                <w:b w:val="0"/>
                <w:sz w:val="18"/>
              </w:rPr>
              <w:t>F-05</w:t>
            </w:r>
          </w:p>
        </w:tc>
        <w:tc>
          <w:tcPr>
            <w:tcW w:type="dxa" w:w="5472"/>
            <w:vAlign w:val="center"/>
          </w:tcPr>
          <w:p>
            <w:r/>
            <w:r>
              <w:rPr>
                <w:b w:val="0"/>
                <w:sz w:val="18"/>
              </w:rPr>
              <w:t>Improve centralized visibility, monitoring, alerting and event analysis.</w:t>
            </w:r>
          </w:p>
        </w:tc>
      </w:tr>
      <w:tr>
        <w:tc>
          <w:tcPr>
            <w:tcW w:type="dxa" w:w="1440"/>
            <w:vAlign w:val="center"/>
          </w:tcPr>
          <w:p>
            <w:r/>
            <w:r>
              <w:rPr>
                <w:b w:val="0"/>
                <w:sz w:val="18"/>
              </w:rPr>
              <w:t>Respond</w:t>
            </w:r>
          </w:p>
        </w:tc>
        <w:tc>
          <w:tcPr>
            <w:tcW w:type="dxa" w:w="2592"/>
            <w:vAlign w:val="center"/>
          </w:tcPr>
          <w:p>
            <w:r/>
            <w:r>
              <w:rPr>
                <w:b w:val="0"/>
                <w:sz w:val="18"/>
              </w:rPr>
              <w:t>F-08</w:t>
            </w:r>
          </w:p>
        </w:tc>
        <w:tc>
          <w:tcPr>
            <w:tcW w:type="dxa" w:w="5472"/>
            <w:vAlign w:val="center"/>
          </w:tcPr>
          <w:p>
            <w:r/>
            <w:r>
              <w:rPr>
                <w:b w:val="0"/>
                <w:sz w:val="18"/>
              </w:rPr>
              <w:t>Exercise incident response, communications, containment and lessons learned.</w:t>
            </w:r>
          </w:p>
        </w:tc>
      </w:tr>
      <w:tr>
        <w:tc>
          <w:tcPr>
            <w:tcW w:type="dxa" w:w="1440"/>
            <w:vAlign w:val="center"/>
          </w:tcPr>
          <w:p>
            <w:r/>
            <w:r>
              <w:rPr>
                <w:b w:val="0"/>
                <w:sz w:val="18"/>
              </w:rPr>
              <w:t>Recover</w:t>
            </w:r>
          </w:p>
        </w:tc>
        <w:tc>
          <w:tcPr>
            <w:tcW w:type="dxa" w:w="2592"/>
            <w:vAlign w:val="center"/>
          </w:tcPr>
          <w:p>
            <w:r/>
            <w:r>
              <w:rPr>
                <w:b w:val="0"/>
                <w:sz w:val="18"/>
              </w:rPr>
              <w:t>F-07, F-08</w:t>
            </w:r>
          </w:p>
        </w:tc>
        <w:tc>
          <w:tcPr>
            <w:tcW w:type="dxa" w:w="5472"/>
            <w:vAlign w:val="center"/>
          </w:tcPr>
          <w:p>
            <w:r/>
            <w:r>
              <w:rPr>
                <w:b w:val="0"/>
                <w:sz w:val="18"/>
              </w:rPr>
              <w:t>Validate restoration, recovery objectives and improvement actions.</w:t>
            </w:r>
          </w:p>
        </w:tc>
      </w:tr>
    </w:tbl>
    <w:p/>
    <w:p>
      <w:pPr>
        <w:pStyle w:val="Heading1"/>
      </w:pPr>
      <w:r>
        <w:t>11. Detailed Recommendations</w:t>
      </w:r>
    </w:p>
    <w:p>
      <w:pPr>
        <w:pStyle w:val="Heading2"/>
      </w:pPr>
      <w:r>
        <w:t>Identity and Access Management</w:t>
      </w:r>
    </w:p>
    <w:p>
      <w:pPr>
        <w:pStyle w:val="ListBullet"/>
      </w:pPr>
      <w:r>
        <w:t>Enforce MFA for all privileged, remote and externally exposed access.</w:t>
      </w:r>
    </w:p>
    <w:p>
      <w:pPr>
        <w:pStyle w:val="ListBullet"/>
      </w:pPr>
      <w:r>
        <w:t>Separate standard user and administrator accounts.</w:t>
      </w:r>
    </w:p>
    <w:p>
      <w:pPr>
        <w:pStyle w:val="ListBullet"/>
      </w:pPr>
      <w:r>
        <w:t>Review privileged access at least quarterly and remove unnecessary permissions.</w:t>
      </w:r>
    </w:p>
    <w:p>
      <w:pPr>
        <w:pStyle w:val="ListBullet"/>
      </w:pPr>
      <w:r>
        <w:t>Implement stronger controls for service accounts, secrets and emergency access.</w:t>
      </w:r>
    </w:p>
    <w:p>
      <w:pPr>
        <w:pStyle w:val="ListBullet"/>
      </w:pPr>
      <w:r>
        <w:t>Measure MFA coverage and privileged-account exceptions.</w:t>
      </w:r>
    </w:p>
    <w:p>
      <w:pPr>
        <w:pStyle w:val="Heading2"/>
      </w:pPr>
      <w:r>
        <w:t>Vulnerability and Patch Management</w:t>
      </w:r>
    </w:p>
    <w:p>
      <w:pPr>
        <w:pStyle w:val="ListBullet"/>
      </w:pPr>
      <w:r>
        <w:t>Maintain an authoritative asset-to-vulnerability relationship.</w:t>
      </w:r>
    </w:p>
    <w:p>
      <w:pPr>
        <w:pStyle w:val="ListBullet"/>
      </w:pPr>
      <w:r>
        <w:t>Set remediation SLAs based on exploitability, exposure and business criticality.</w:t>
      </w:r>
    </w:p>
    <w:p>
      <w:pPr>
        <w:pStyle w:val="ListBullet"/>
      </w:pPr>
      <w:r>
        <w:t>Prioritize vulnerabilities in CISA's KEV Catalog, internet-facing assets and actively exploited issues. [3]</w:t>
      </w:r>
    </w:p>
    <w:p>
      <w:pPr>
        <w:pStyle w:val="ListBullet"/>
      </w:pPr>
      <w:r>
        <w:t>Use documented exceptions with compensating controls and expiry dates.</w:t>
      </w:r>
    </w:p>
    <w:p>
      <w:pPr>
        <w:pStyle w:val="ListBullet"/>
      </w:pPr>
      <w:r>
        <w:t>Report mean time to remediate and percentage of critical assets within SLA.</w:t>
      </w:r>
    </w:p>
    <w:p>
      <w:pPr>
        <w:pStyle w:val="Heading2"/>
      </w:pPr>
      <w:r>
        <w:t>Security Monitoring</w:t>
      </w:r>
    </w:p>
    <w:p>
      <w:pPr>
        <w:pStyle w:val="ListBullet"/>
      </w:pPr>
      <w:r>
        <w:t>Define minimum log sources for identity, endpoint, cloud, network and critical applications.</w:t>
      </w:r>
    </w:p>
    <w:p>
      <w:pPr>
        <w:pStyle w:val="ListBullet"/>
      </w:pPr>
      <w:r>
        <w:t>Centralize high-value events and protect log integrity.</w:t>
      </w:r>
    </w:p>
    <w:p>
      <w:pPr>
        <w:pStyle w:val="ListBullet"/>
      </w:pPr>
      <w:r>
        <w:t>Develop alert use cases for account takeover, privilege escalation, suspicious authentication, malware and data exfiltration.</w:t>
      </w:r>
    </w:p>
    <w:p>
      <w:pPr>
        <w:pStyle w:val="ListBullet"/>
      </w:pPr>
      <w:r>
        <w:t>Test alerts and measure time to detect and time to triage.</w:t>
      </w:r>
    </w:p>
    <w:p>
      <w:pPr>
        <w:pStyle w:val="Heading2"/>
      </w:pPr>
      <w:r>
        <w:t>Backup and Recovery</w:t>
      </w:r>
    </w:p>
    <w:p>
      <w:pPr>
        <w:pStyle w:val="ListBullet"/>
      </w:pPr>
      <w:r>
        <w:t>Map critical services to RPO/RTO objectives.</w:t>
      </w:r>
    </w:p>
    <w:p>
      <w:pPr>
        <w:pStyle w:val="ListBullet"/>
      </w:pPr>
      <w:r>
        <w:t>Maintain backup separation and protection against unauthorized deletion.</w:t>
      </w:r>
    </w:p>
    <w:p>
      <w:pPr>
        <w:pStyle w:val="ListBullet"/>
      </w:pPr>
      <w:r>
        <w:t>Conduct restoration tests and retain evidence.</w:t>
      </w:r>
    </w:p>
    <w:p>
      <w:pPr>
        <w:pStyle w:val="ListBullet"/>
      </w:pPr>
      <w:r>
        <w:t>Include identity, cloud configuration and application dependencies in recovery planning.</w:t>
      </w:r>
    </w:p>
    <w:p>
      <w:pPr>
        <w:pStyle w:val="Heading2"/>
      </w:pPr>
      <w:r>
        <w:t>Incident Response</w:t>
      </w:r>
    </w:p>
    <w:p>
      <w:pPr>
        <w:pStyle w:val="ListBullet"/>
      </w:pPr>
      <w:r>
        <w:t>Maintain an incident response plan with roles and decision authority.</w:t>
      </w:r>
    </w:p>
    <w:p>
      <w:pPr>
        <w:pStyle w:val="ListBullet"/>
      </w:pPr>
      <w:r>
        <w:t>Run tabletop exercises covering ransomware, compromised admin account and third-party breach.</w:t>
      </w:r>
    </w:p>
    <w:p>
      <w:pPr>
        <w:pStyle w:val="ListBullet"/>
      </w:pPr>
      <w:r>
        <w:t>Define internal and external communication paths.</w:t>
      </w:r>
    </w:p>
    <w:p>
      <w:pPr>
        <w:pStyle w:val="ListBullet"/>
      </w:pPr>
      <w:r>
        <w:t>Track lessons learned to closure.</w:t>
      </w:r>
    </w:p>
    <w:p>
      <w:pPr>
        <w:pStyle w:val="Heading2"/>
      </w:pPr>
      <w:r>
        <w:t>Third-Party Risk</w:t>
      </w:r>
    </w:p>
    <w:p>
      <w:pPr>
        <w:pStyle w:val="ListBullet"/>
      </w:pPr>
      <w:r>
        <w:t>Classify suppliers by access, data sensitivity and business criticality.</w:t>
      </w:r>
    </w:p>
    <w:p>
      <w:pPr>
        <w:pStyle w:val="ListBullet"/>
      </w:pPr>
      <w:r>
        <w:t>Include security requirements and incident notification obligations in contracts where appropriate.</w:t>
      </w:r>
    </w:p>
    <w:p>
      <w:pPr>
        <w:pStyle w:val="ListBullet"/>
      </w:pPr>
      <w:r>
        <w:t>Review assurance evidence for critical suppliers and monitor material changes.</w:t>
      </w:r>
    </w:p>
    <w:p>
      <w:pPr>
        <w:pStyle w:val="ListBullet"/>
      </w:pPr>
      <w:r>
        <w:t>Maintain a supplier risk register with owners and review dates.</w:t>
      </w:r>
    </w:p>
    <w:p>
      <w:pPr>
        <w:pStyle w:val="Heading2"/>
      </w:pPr>
      <w:r>
        <w:t>Secure Development</w:t>
      </w:r>
    </w:p>
    <w:p>
      <w:pPr>
        <w:pStyle w:val="ListBullet"/>
      </w:pPr>
      <w:r>
        <w:t>Define security requirements for material applications.</w:t>
      </w:r>
    </w:p>
    <w:p>
      <w:pPr>
        <w:pStyle w:val="ListBullet"/>
      </w:pPr>
      <w:r>
        <w:t>Use peer review, dependency analysis, secrets scanning and appropriate automated security testing.</w:t>
      </w:r>
    </w:p>
    <w:p>
      <w:pPr>
        <w:pStyle w:val="ListBullet"/>
      </w:pPr>
      <w:r>
        <w:t>Prioritize remediation of exploitable defects and document risk acceptance.</w:t>
      </w:r>
    </w:p>
    <w:p>
      <w:pPr>
        <w:pStyle w:val="ListBullet"/>
      </w:pPr>
      <w:r>
        <w:t>Use threat modeling for high-impact architecture or transaction changes.</w:t>
      </w:r>
    </w:p>
    <w:p>
      <w:pPr>
        <w:pStyle w:val="Heading1"/>
      </w:pPr>
      <w:r>
        <w:t>12. Improvement Roadmap</w:t>
      </w:r>
    </w:p>
    <w:p>
      <w:r>
        <w:t>The roadmap is deliberately staged so the organization can reduce immediate exposure while building sustainable governance and engineering capabilities.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D9EAF7"/>
          </w:tcPr>
          <w:p>
            <w:r/>
            <w:r>
              <w:rPr>
                <w:b/>
                <w:sz w:val="18"/>
              </w:rPr>
              <w:t>Timeframe</w:t>
            </w:r>
          </w:p>
        </w:tc>
        <w:tc>
          <w:tcPr>
            <w:tcW w:type="dxa" w:w="4752"/>
            <w:vAlign w:val="center"/>
            <w:shd w:fill="D9EAF7"/>
          </w:tcPr>
          <w:p>
            <w:r/>
            <w:r>
              <w:rPr>
                <w:b/>
                <w:sz w:val="18"/>
              </w:rPr>
              <w:t>Priority actions</w:t>
            </w:r>
          </w:p>
        </w:tc>
        <w:tc>
          <w:tcPr>
            <w:tcW w:type="dxa" w:w="1800"/>
            <w:vAlign w:val="center"/>
            <w:shd w:fill="D9EAF7"/>
          </w:tcPr>
          <w:p>
            <w:r/>
            <w:r>
              <w:rPr>
                <w:b/>
                <w:sz w:val="18"/>
              </w:rPr>
              <w:t>Primary owner</w:t>
            </w:r>
          </w:p>
        </w:tc>
        <w:tc>
          <w:tcPr>
            <w:tcW w:type="dxa" w:w="2880"/>
            <w:vAlign w:val="center"/>
            <w:shd w:fill="D9EAF7"/>
          </w:tcPr>
          <w:p>
            <w:r/>
            <w:r>
              <w:rPr>
                <w:b/>
                <w:sz w:val="18"/>
              </w:rPr>
              <w:t>Success measure</w:t>
            </w:r>
          </w:p>
        </w:tc>
      </w:tr>
      <w:tr>
        <w:tc>
          <w:tcPr>
            <w:tcW w:type="dxa" w:w="1152"/>
            <w:vAlign w:val="center"/>
          </w:tcPr>
          <w:p>
            <w:r/>
            <w:r>
              <w:rPr>
                <w:b w:val="0"/>
                <w:sz w:val="18"/>
              </w:rPr>
              <w:t>0–30 days</w:t>
            </w:r>
          </w:p>
        </w:tc>
        <w:tc>
          <w:tcPr>
            <w:tcW w:type="dxa" w:w="4752"/>
            <w:vAlign w:val="center"/>
          </w:tcPr>
          <w:p>
            <w:r/>
            <w:r>
              <w:rPr>
                <w:b w:val="0"/>
                <w:sz w:val="18"/>
              </w:rPr>
              <w:t>MFA for privileged/remote access; identify internet-facing assets; remediate critical/KEV vulnerabilities; remove unnecessary privileged accounts; confirm backup health.</w:t>
            </w:r>
          </w:p>
        </w:tc>
        <w:tc>
          <w:tcPr>
            <w:tcW w:type="dxa" w:w="1800"/>
            <w:vAlign w:val="center"/>
          </w:tcPr>
          <w:p>
            <w:r/>
            <w:r>
              <w:rPr>
                <w:b w:val="0"/>
                <w:sz w:val="18"/>
              </w:rPr>
              <w:t>CISO / IT Manager</w:t>
            </w:r>
          </w:p>
        </w:tc>
        <w:tc>
          <w:tcPr>
            <w:tcW w:type="dxa" w:w="2880"/>
            <w:vAlign w:val="center"/>
          </w:tcPr>
          <w:p>
            <w:r/>
            <w:r>
              <w:rPr>
                <w:b w:val="0"/>
                <w:sz w:val="18"/>
              </w:rPr>
              <w:t>100% privileged and remote access protected by MFA; critical exposed findings tracked; backup health verified</w:t>
            </w:r>
          </w:p>
        </w:tc>
      </w:tr>
      <w:tr>
        <w:tc>
          <w:tcPr>
            <w:tcW w:type="dxa" w:w="1152"/>
            <w:vAlign w:val="center"/>
          </w:tcPr>
          <w:p>
            <w:r/>
            <w:r>
              <w:rPr>
                <w:b w:val="0"/>
                <w:sz w:val="18"/>
              </w:rPr>
              <w:t>31–60 days</w:t>
            </w:r>
          </w:p>
        </w:tc>
        <w:tc>
          <w:tcPr>
            <w:tcW w:type="dxa" w:w="4752"/>
            <w:vAlign w:val="center"/>
          </w:tcPr>
          <w:p>
            <w:r/>
            <w:r>
              <w:rPr>
                <w:b w:val="0"/>
                <w:sz w:val="18"/>
              </w:rPr>
              <w:t>Complete asset inventory; establish patch SLAs; baseline endpoint hardening; begin centralized identity/cloud logs.</w:t>
            </w:r>
          </w:p>
        </w:tc>
        <w:tc>
          <w:tcPr>
            <w:tcW w:type="dxa" w:w="1800"/>
            <w:vAlign w:val="center"/>
          </w:tcPr>
          <w:p>
            <w:r/>
            <w:r>
              <w:rPr>
                <w:b w:val="0"/>
                <w:sz w:val="18"/>
              </w:rPr>
              <w:t>IT Security</w:t>
            </w:r>
          </w:p>
        </w:tc>
        <w:tc>
          <w:tcPr>
            <w:tcW w:type="dxa" w:w="2880"/>
            <w:vAlign w:val="center"/>
          </w:tcPr>
          <w:p>
            <w:r/>
            <w:r>
              <w:rPr>
                <w:b w:val="0"/>
                <w:sz w:val="18"/>
              </w:rPr>
              <w:t>Inventory coverage &gt;95%; SLA dashboard active; endpoint baseline reporting available</w:t>
            </w:r>
          </w:p>
        </w:tc>
      </w:tr>
      <w:tr>
        <w:tc>
          <w:tcPr>
            <w:tcW w:type="dxa" w:w="1152"/>
            <w:vAlign w:val="center"/>
          </w:tcPr>
          <w:p>
            <w:r/>
            <w:r>
              <w:rPr>
                <w:b w:val="0"/>
                <w:sz w:val="18"/>
              </w:rPr>
              <w:t>61–90 days</w:t>
            </w:r>
          </w:p>
        </w:tc>
        <w:tc>
          <w:tcPr>
            <w:tcW w:type="dxa" w:w="4752"/>
            <w:vAlign w:val="center"/>
          </w:tcPr>
          <w:p>
            <w:r/>
            <w:r>
              <w:rPr>
                <w:b w:val="0"/>
                <w:sz w:val="18"/>
              </w:rPr>
              <w:t>Deploy/tune SIEM use cases; conduct incident-response tabletop; complete privileged-access review; test restoration.</w:t>
            </w:r>
          </w:p>
        </w:tc>
        <w:tc>
          <w:tcPr>
            <w:tcW w:type="dxa" w:w="1800"/>
            <w:vAlign w:val="center"/>
          </w:tcPr>
          <w:p>
            <w:r/>
            <w:r>
              <w:rPr>
                <w:b w:val="0"/>
                <w:sz w:val="18"/>
              </w:rPr>
              <w:t>Security + Business Owners</w:t>
            </w:r>
          </w:p>
        </w:tc>
        <w:tc>
          <w:tcPr>
            <w:tcW w:type="dxa" w:w="2880"/>
            <w:vAlign w:val="center"/>
          </w:tcPr>
          <w:p>
            <w:r/>
            <w:r>
              <w:rPr>
                <w:b w:val="0"/>
                <w:sz w:val="18"/>
              </w:rPr>
              <w:t>Priority alerts tested; exercise completed; restore evidence documented</w:t>
            </w:r>
          </w:p>
        </w:tc>
      </w:tr>
      <w:tr>
        <w:tc>
          <w:tcPr>
            <w:tcW w:type="dxa" w:w="1152"/>
            <w:vAlign w:val="center"/>
          </w:tcPr>
          <w:p>
            <w:r/>
            <w:r>
              <w:rPr>
                <w:b w:val="0"/>
                <w:sz w:val="18"/>
              </w:rPr>
              <w:t>91–180 days</w:t>
            </w:r>
          </w:p>
        </w:tc>
        <w:tc>
          <w:tcPr>
            <w:tcW w:type="dxa" w:w="4752"/>
            <w:vAlign w:val="center"/>
          </w:tcPr>
          <w:p>
            <w:r/>
            <w:r>
              <w:rPr>
                <w:b w:val="0"/>
                <w:sz w:val="18"/>
              </w:rPr>
              <w:t>Mature third-party risk program; embed secure SDLC controls; improve metrics and risk reporting; formalize exception management.</w:t>
            </w:r>
          </w:p>
        </w:tc>
        <w:tc>
          <w:tcPr>
            <w:tcW w:type="dxa" w:w="1800"/>
            <w:vAlign w:val="center"/>
          </w:tcPr>
          <w:p>
            <w:r/>
            <w:r>
              <w:rPr>
                <w:b w:val="0"/>
                <w:sz w:val="18"/>
              </w:rPr>
              <w:t>CISO / Procurement / Engineering</w:t>
            </w:r>
          </w:p>
        </w:tc>
        <w:tc>
          <w:tcPr>
            <w:tcW w:type="dxa" w:w="2880"/>
            <w:vAlign w:val="center"/>
          </w:tcPr>
          <w:p>
            <w:r/>
            <w:r>
              <w:rPr>
                <w:b w:val="0"/>
                <w:sz w:val="18"/>
              </w:rPr>
              <w:t>Critical suppliers assessed; security gates in SDLC; quarterly risk dashboard</w:t>
            </w:r>
          </w:p>
        </w:tc>
      </w:tr>
      <w:tr>
        <w:tc>
          <w:tcPr>
            <w:tcW w:type="dxa" w:w="1152"/>
            <w:vAlign w:val="center"/>
          </w:tcPr>
          <w:p>
            <w:r/>
            <w:r>
              <w:rPr>
                <w:b w:val="0"/>
                <w:sz w:val="18"/>
              </w:rPr>
              <w:t>6–12 months</w:t>
            </w:r>
          </w:p>
        </w:tc>
        <w:tc>
          <w:tcPr>
            <w:tcW w:type="dxa" w:w="4752"/>
            <w:vAlign w:val="center"/>
          </w:tcPr>
          <w:p>
            <w:r/>
            <w:r>
              <w:rPr>
                <w:b w:val="0"/>
                <w:sz w:val="18"/>
              </w:rPr>
              <w:t>Continuous control monitoring; recurring penetration testing where appropriate; annual recovery exercises; framework profile review.</w:t>
            </w:r>
          </w:p>
        </w:tc>
        <w:tc>
          <w:tcPr>
            <w:tcW w:type="dxa" w:w="1800"/>
            <w:vAlign w:val="center"/>
          </w:tcPr>
          <w:p>
            <w:r/>
            <w:r>
              <w:rPr>
                <w:b w:val="0"/>
                <w:sz w:val="18"/>
              </w:rPr>
              <w:t>Security Governance</w:t>
            </w:r>
          </w:p>
        </w:tc>
        <w:tc>
          <w:tcPr>
            <w:tcW w:type="dxa" w:w="2880"/>
            <w:vAlign w:val="center"/>
          </w:tcPr>
          <w:p>
            <w:r/>
            <w:r>
              <w:rPr>
                <w:b w:val="0"/>
                <w:sz w:val="18"/>
              </w:rPr>
              <w:t>Recurring assurance cycle operating with evidence and tracked residual risk</w:t>
            </w:r>
          </w:p>
        </w:tc>
      </w:tr>
    </w:tbl>
    <w:p/>
    <w:p>
      <w:pPr>
        <w:pStyle w:val="Heading1"/>
      </w:pPr>
      <w:r>
        <w:t>13. Quick Wins</w:t>
      </w:r>
    </w:p>
    <w:p>
      <w:pPr>
        <w:pStyle w:val="ListBullet"/>
      </w:pPr>
      <w:r>
        <w:t>Enable MFA on every privileged and remote-access account.</w:t>
      </w:r>
    </w:p>
    <w:p>
      <w:pPr>
        <w:pStyle w:val="ListBullet"/>
      </w:pPr>
      <w:r>
        <w:t>Disable stale accounts and review administrator memberships.</w:t>
      </w:r>
    </w:p>
    <w:p>
      <w:pPr>
        <w:pStyle w:val="ListBullet"/>
      </w:pPr>
      <w:r>
        <w:t>Patch externally exposed systems and vulnerabilities known to be exploited.</w:t>
      </w:r>
    </w:p>
    <w:p>
      <w:pPr>
        <w:pStyle w:val="ListBullet"/>
      </w:pPr>
      <w:r>
        <w:t>Verify backups and perform at least one documented restoration test.</w:t>
      </w:r>
    </w:p>
    <w:p>
      <w:pPr>
        <w:pStyle w:val="ListBullet"/>
      </w:pPr>
      <w:r>
        <w:t>Turn on and centralize critical identity and cloud audit logs.</w:t>
      </w:r>
    </w:p>
    <w:p>
      <w:pPr>
        <w:pStyle w:val="ListBullet"/>
      </w:pPr>
      <w:r>
        <w:t>Publish a security incident contact tree and escalation procedure.</w:t>
      </w:r>
    </w:p>
    <w:p>
      <w:pPr>
        <w:pStyle w:val="ListBullet"/>
      </w:pPr>
      <w:r>
        <w:t>Create a simple vulnerability dashboard with owner, severity, age and SLA status.</w:t>
      </w:r>
    </w:p>
    <w:p>
      <w:pPr>
        <w:pStyle w:val="Heading1"/>
      </w:pPr>
      <w:r>
        <w:t>14. Longer-Term Strategic Initiatives</w:t>
      </w:r>
    </w:p>
    <w:p>
      <w:pPr>
        <w:pStyle w:val="ListBullet"/>
      </w:pPr>
      <w:r>
        <w:t>Establish a formal cybersecurity governance committee with risk ownership and quarterly reporting.</w:t>
      </w:r>
    </w:p>
    <w:p>
      <w:pPr>
        <w:pStyle w:val="ListBullet"/>
      </w:pPr>
      <w:r>
        <w:t>Implement continuous asset discovery and configuration compliance.</w:t>
      </w:r>
    </w:p>
    <w:p>
      <w:pPr>
        <w:pStyle w:val="ListBullet"/>
      </w:pPr>
      <w:r>
        <w:t>Mature identity security toward least privilege and privileged access management.</w:t>
      </w:r>
    </w:p>
    <w:p>
      <w:pPr>
        <w:pStyle w:val="ListBullet"/>
      </w:pPr>
      <w:r>
        <w:t>Build a repeatable detection-engineering and threat-hunting capability.</w:t>
      </w:r>
    </w:p>
    <w:p>
      <w:pPr>
        <w:pStyle w:val="ListBullet"/>
      </w:pPr>
      <w:r>
        <w:t>Integrate security into software development and cloud architecture reviews.</w:t>
      </w:r>
    </w:p>
    <w:p>
      <w:pPr>
        <w:pStyle w:val="ListBullet"/>
      </w:pPr>
      <w:r>
        <w:t>Formalize third-party cyber-risk management and contractual assurance.</w:t>
      </w:r>
    </w:p>
    <w:p>
      <w:pPr>
        <w:pStyle w:val="ListBullet"/>
      </w:pPr>
      <w:r>
        <w:t>Conduct recurring recovery exercises and measure resilience against business objectives.</w:t>
      </w:r>
    </w:p>
    <w:p>
      <w:pPr>
        <w:pStyle w:val="Heading1"/>
      </w:pPr>
      <w:r>
        <w:t>15. Audit Validation and Closure Criteria</w:t>
      </w:r>
    </w:p>
    <w:p>
      <w:r>
        <w:t>A finding should be considered closed only when evidence demonstrates that the corrective action is implemented and effective.</w:t>
      </w:r>
    </w:p>
    <w:p>
      <w:pPr>
        <w:pStyle w:val="ListBullet"/>
      </w:pPr>
      <w:r>
        <w:t>Control owner provides implementation evidence.</w:t>
      </w:r>
    </w:p>
    <w:p>
      <w:pPr>
        <w:pStyle w:val="ListBullet"/>
      </w:pPr>
      <w:r>
        <w:t>Security or audit function independently reviews the evidence.</w:t>
      </w:r>
    </w:p>
    <w:p>
      <w:pPr>
        <w:pStyle w:val="ListBullet"/>
      </w:pPr>
      <w:r>
        <w:t>Configuration or process is sampled/tested where practical.</w:t>
      </w:r>
    </w:p>
    <w:p>
      <w:pPr>
        <w:pStyle w:val="ListBullet"/>
      </w:pPr>
      <w:r>
        <w:t>The original risk condition is shown to be reduced or controlled.</w:t>
      </w:r>
    </w:p>
    <w:p>
      <w:pPr>
        <w:pStyle w:val="ListBullet"/>
      </w:pPr>
      <w:r>
        <w:t>Any residual risk is formally accepted by an authorized risk owner.</w:t>
      </w:r>
    </w:p>
    <w:p>
      <w:pPr>
        <w:pStyle w:val="ListBullet"/>
      </w:pPr>
      <w:r>
        <w:t>The finding is updated with closure date, evidence reference and residual-risk statement.</w:t>
      </w:r>
    </w:p>
    <w:p>
      <w:pPr>
        <w:pStyle w:val="Heading1"/>
      </w:pPr>
      <w:r>
        <w:t>16. Limitations and Assumptions</w:t>
      </w:r>
    </w:p>
    <w:p>
      <w:pPr>
        <w:pStyle w:val="ListBullet"/>
      </w:pPr>
      <w:r>
        <w:t>The organization, systems, vulnerabilities and evidence in this report are hypothetical.</w:t>
      </w:r>
    </w:p>
    <w:p>
      <w:pPr>
        <w:pStyle w:val="ListBullet"/>
      </w:pPr>
      <w:r>
        <w:t>The report does not constitute a real penetration test, compliance certification, legal opinion or assurance engagement.</w:t>
      </w:r>
    </w:p>
    <w:p>
      <w:pPr>
        <w:pStyle w:val="ListBullet"/>
      </w:pPr>
      <w:r>
        <w:t>Public practice examples are used to make the scenario realistic; they do not establish that the hypothetical organization is affected by those examples.</w:t>
      </w:r>
    </w:p>
    <w:p>
      <w:pPr>
        <w:pStyle w:val="ListBullet"/>
      </w:pPr>
      <w:r>
        <w:t>Risk ratings are illustrative and should be recalculated after actual evidence, business impact and threat intelligence are assessed.</w:t>
      </w:r>
    </w:p>
    <w:p>
      <w:pPr>
        <w:pStyle w:val="ListBullet"/>
      </w:pPr>
      <w:r>
        <w:t>Regulatory requirements vary by jurisdiction, sector and data type; legal/compliance counsel should determine applicable obligations.</w:t>
      </w:r>
    </w:p>
    <w:p>
      <w:pPr>
        <w:pStyle w:val="Heading1"/>
      </w:pPr>
      <w:r>
        <w:t>17. Conclusion</w:t>
      </w:r>
    </w:p>
    <w:p>
      <w:r>
        <w:t>The simulated audit demonstrates a complete cybersecurity audit lifecycle: define scope, select a framework, collect evidence, evaluate controls, document findings, validate observations, and convert risk into a prioritized remediation plan. The NIST CSF 2.0 structure provides a practical way to connect governance with technical and operational security outcomes. The highest-value improvements for the hypothetical organization are those that reduce identity compromise, known exploitable exposure, privileged-access risk and recovery uncertainty while building reliable asset and monitoring foundations. Continuous measurement and recurring validation should then be used to sustain the improvements.</w:t>
      </w:r>
    </w:p>
    <w:p>
      <w:pPr>
        <w:pStyle w:val="Heading1"/>
      </w:pPr>
      <w:r>
        <w:t>18. References</w:t>
      </w:r>
    </w:p>
    <w:p>
      <w:pPr>
        <w:spacing w:after="120"/>
      </w:pPr>
      <w:r>
        <w:t>[1] National Institute of Standards and Technology (NIST), “NIST Releases Version 2.0 of Landmark Cybersecurity Framework,” February 26, 2024. https://www.nist.gov/news-events/news/2024/02/nist-releases-version-20-landmark-cybersecurity-framework</w:t>
      </w:r>
    </w:p>
    <w:p>
      <w:pPr>
        <w:spacing w:after="120"/>
      </w:pPr>
      <w:r>
        <w:t>[2] NIST Computer Security Resource Center (CSRC), “CSF Function – Glossary,” describing the six CSF 2.0 Functions: Govern, Identify, Protect, Detect, Respond and Recover. https://csrc.nist.gov/glossary/term/csf_function</w:t>
      </w:r>
    </w:p>
    <w:p>
      <w:pPr>
        <w:spacing w:after="120"/>
      </w:pPr>
      <w:r>
        <w:t>[3] Cybersecurity and Infrastructure Security Agency (CISA), “Known Exploited Vulnerabilities Catalog.” CISA states that the catalog is an authoritative source of vulnerabilities exploited in the wild and recommends using it as an input to vulnerability-management prioritization. https://www.cisa.gov/known-exploited-vulnerabilities-catalog</w:t>
      </w:r>
    </w:p>
    <w:p>
      <w:pPr>
        <w:pStyle w:val="Heading1"/>
      </w:pPr>
      <w:r>
        <w:t>Appendix A – Sample Audit Evidence Checklist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576"/>
            <w:vAlign w:val="center"/>
            <w:shd w:fill="D9EAF7"/>
          </w:tcPr>
          <w:p>
            <w:r/>
            <w:r>
              <w:rPr>
                <w:b/>
                <w:sz w:val="18"/>
              </w:rPr>
              <w:t>#</w:t>
            </w:r>
          </w:p>
        </w:tc>
        <w:tc>
          <w:tcPr>
            <w:tcW w:type="dxa" w:w="5472"/>
            <w:vAlign w:val="center"/>
            <w:shd w:fill="D9EAF7"/>
          </w:tcPr>
          <w:p>
            <w:r/>
            <w:r>
              <w:rPr>
                <w:b/>
                <w:sz w:val="18"/>
              </w:rPr>
              <w:t>Evidence item</w:t>
            </w:r>
          </w:p>
        </w:tc>
        <w:tc>
          <w:tcPr>
            <w:tcW w:type="dxa" w:w="1008"/>
            <w:vAlign w:val="center"/>
            <w:shd w:fill="D9EAF7"/>
          </w:tcPr>
          <w:p>
            <w:r/>
            <w:r>
              <w:rPr>
                <w:b/>
                <w:sz w:val="18"/>
              </w:rPr>
              <w:t>Provided?</w:t>
            </w:r>
          </w:p>
        </w:tc>
        <w:tc>
          <w:tcPr>
            <w:tcW w:type="dxa" w:w="1008"/>
            <w:vAlign w:val="center"/>
            <w:shd w:fill="D9EAF7"/>
          </w:tcPr>
          <w:p>
            <w:r/>
            <w:r>
              <w:rPr>
                <w:b/>
                <w:sz w:val="18"/>
              </w:rPr>
              <w:t>Reviewed?</w:t>
            </w:r>
          </w:p>
        </w:tc>
        <w:tc>
          <w:tcPr>
            <w:tcW w:type="dxa" w:w="1440"/>
            <w:vAlign w:val="center"/>
            <w:shd w:fill="D9EAF7"/>
          </w:tcPr>
          <w:p>
            <w:r/>
            <w:r>
              <w:rPr>
                <w:b/>
                <w:sz w:val="18"/>
              </w:rPr>
              <w:t>Notes</w:t>
            </w:r>
          </w:p>
        </w:tc>
      </w:tr>
      <w:tr>
        <w:tc>
          <w:tcPr>
            <w:tcW w:type="dxa" w:w="576"/>
            <w:vAlign w:val="center"/>
          </w:tcPr>
          <w:p>
            <w:r/>
            <w:r>
              <w:rPr>
                <w:b w:val="0"/>
                <w:sz w:val="18"/>
              </w:rPr>
              <w:t>1</w:t>
            </w:r>
          </w:p>
        </w:tc>
        <w:tc>
          <w:tcPr>
            <w:tcW w:type="dxa" w:w="5472"/>
            <w:vAlign w:val="center"/>
          </w:tcPr>
          <w:p>
            <w:r/>
            <w:r>
              <w:rPr>
                <w:b w:val="0"/>
                <w:sz w:val="18"/>
              </w:rPr>
              <w:t>Approved cybersecurity policy and supporting standards</w:t>
            </w:r>
          </w:p>
        </w:tc>
        <w:tc>
          <w:tcPr>
            <w:tcW w:type="dxa" w:w="1008"/>
            <w:vAlign w:val="center"/>
          </w:tcPr>
          <w:p>
            <w:r/>
            <w:r>
              <w:rPr>
                <w:b w:val="0"/>
                <w:sz w:val="18"/>
              </w:rPr>
              <w:t>☐</w:t>
            </w:r>
          </w:p>
        </w:tc>
        <w:tc>
          <w:tcPr>
            <w:tcW w:type="dxa" w:w="1008"/>
            <w:vAlign w:val="center"/>
          </w:tcPr>
          <w:p>
            <w:r/>
            <w:r>
              <w:rPr>
                <w:b w:val="0"/>
                <w:sz w:val="18"/>
              </w:rPr>
              <w:t>☐</w:t>
            </w:r>
          </w:p>
        </w:tc>
        <w:tc>
          <w:tcPr>
            <w:tcW w:type="dxa" w:w="1440"/>
            <w:vAlign w:val="center"/>
          </w:tcPr>
          <w:p>
            <w:r/>
            <w:r>
              <w:rPr>
                <w:b w:val="0"/>
                <w:sz w:val="18"/>
              </w:rPr>
            </w:r>
          </w:p>
        </w:tc>
      </w:tr>
      <w:tr>
        <w:tc>
          <w:tcPr>
            <w:tcW w:type="dxa" w:w="576"/>
            <w:vAlign w:val="center"/>
          </w:tcPr>
          <w:p>
            <w:r/>
            <w:r>
              <w:rPr>
                <w:b w:val="0"/>
                <w:sz w:val="18"/>
              </w:rPr>
              <w:t>2</w:t>
            </w:r>
          </w:p>
        </w:tc>
        <w:tc>
          <w:tcPr>
            <w:tcW w:type="dxa" w:w="5472"/>
            <w:vAlign w:val="center"/>
          </w:tcPr>
          <w:p>
            <w:r/>
            <w:r>
              <w:rPr>
                <w:b w:val="0"/>
                <w:sz w:val="18"/>
              </w:rPr>
              <w:t>Current hardware/software/cloud asset inventory</w:t>
            </w:r>
          </w:p>
        </w:tc>
        <w:tc>
          <w:tcPr>
            <w:tcW w:type="dxa" w:w="1008"/>
            <w:vAlign w:val="center"/>
          </w:tcPr>
          <w:p>
            <w:r/>
            <w:r>
              <w:rPr>
                <w:b w:val="0"/>
                <w:sz w:val="18"/>
              </w:rPr>
              <w:t>☐</w:t>
            </w:r>
          </w:p>
        </w:tc>
        <w:tc>
          <w:tcPr>
            <w:tcW w:type="dxa" w:w="1008"/>
            <w:vAlign w:val="center"/>
          </w:tcPr>
          <w:p>
            <w:r/>
            <w:r>
              <w:rPr>
                <w:b w:val="0"/>
                <w:sz w:val="18"/>
              </w:rPr>
              <w:t>☐</w:t>
            </w:r>
          </w:p>
        </w:tc>
        <w:tc>
          <w:tcPr>
            <w:tcW w:type="dxa" w:w="1440"/>
            <w:vAlign w:val="center"/>
          </w:tcPr>
          <w:p>
            <w:r/>
            <w:r>
              <w:rPr>
                <w:b w:val="0"/>
                <w:sz w:val="18"/>
              </w:rPr>
            </w:r>
          </w:p>
        </w:tc>
      </w:tr>
      <w:tr>
        <w:tc>
          <w:tcPr>
            <w:tcW w:type="dxa" w:w="576"/>
            <w:vAlign w:val="center"/>
          </w:tcPr>
          <w:p>
            <w:r/>
            <w:r>
              <w:rPr>
                <w:b w:val="0"/>
                <w:sz w:val="18"/>
              </w:rPr>
              <w:t>3</w:t>
            </w:r>
          </w:p>
        </w:tc>
        <w:tc>
          <w:tcPr>
            <w:tcW w:type="dxa" w:w="5472"/>
            <w:vAlign w:val="center"/>
          </w:tcPr>
          <w:p>
            <w:r/>
            <w:r>
              <w:rPr>
                <w:b w:val="0"/>
                <w:sz w:val="18"/>
              </w:rPr>
              <w:t>User and privileged-account listing</w:t>
            </w:r>
          </w:p>
        </w:tc>
        <w:tc>
          <w:tcPr>
            <w:tcW w:type="dxa" w:w="1008"/>
            <w:vAlign w:val="center"/>
          </w:tcPr>
          <w:p>
            <w:r/>
            <w:r>
              <w:rPr>
                <w:b w:val="0"/>
                <w:sz w:val="18"/>
              </w:rPr>
              <w:t>☐</w:t>
            </w:r>
          </w:p>
        </w:tc>
        <w:tc>
          <w:tcPr>
            <w:tcW w:type="dxa" w:w="1008"/>
            <w:vAlign w:val="center"/>
          </w:tcPr>
          <w:p>
            <w:r/>
            <w:r>
              <w:rPr>
                <w:b w:val="0"/>
                <w:sz w:val="18"/>
              </w:rPr>
              <w:t>☐</w:t>
            </w:r>
          </w:p>
        </w:tc>
        <w:tc>
          <w:tcPr>
            <w:tcW w:type="dxa" w:w="1440"/>
            <w:vAlign w:val="center"/>
          </w:tcPr>
          <w:p>
            <w:r/>
            <w:r>
              <w:rPr>
                <w:b w:val="0"/>
                <w:sz w:val="18"/>
              </w:rPr>
            </w:r>
          </w:p>
        </w:tc>
      </w:tr>
      <w:tr>
        <w:tc>
          <w:tcPr>
            <w:tcW w:type="dxa" w:w="576"/>
            <w:vAlign w:val="center"/>
          </w:tcPr>
          <w:p>
            <w:r/>
            <w:r>
              <w:rPr>
                <w:b w:val="0"/>
                <w:sz w:val="18"/>
              </w:rPr>
              <w:t>4</w:t>
            </w:r>
          </w:p>
        </w:tc>
        <w:tc>
          <w:tcPr>
            <w:tcW w:type="dxa" w:w="5472"/>
            <w:vAlign w:val="center"/>
          </w:tcPr>
          <w:p>
            <w:r/>
            <w:r>
              <w:rPr>
                <w:b w:val="0"/>
                <w:sz w:val="18"/>
              </w:rPr>
              <w:t>MFA coverage report</w:t>
            </w:r>
          </w:p>
        </w:tc>
        <w:tc>
          <w:tcPr>
            <w:tcW w:type="dxa" w:w="1008"/>
            <w:vAlign w:val="center"/>
          </w:tcPr>
          <w:p>
            <w:r/>
            <w:r>
              <w:rPr>
                <w:b w:val="0"/>
                <w:sz w:val="18"/>
              </w:rPr>
              <w:t>☐</w:t>
            </w:r>
          </w:p>
        </w:tc>
        <w:tc>
          <w:tcPr>
            <w:tcW w:type="dxa" w:w="1008"/>
            <w:vAlign w:val="center"/>
          </w:tcPr>
          <w:p>
            <w:r/>
            <w:r>
              <w:rPr>
                <w:b w:val="0"/>
                <w:sz w:val="18"/>
              </w:rPr>
              <w:t>☐</w:t>
            </w:r>
          </w:p>
        </w:tc>
        <w:tc>
          <w:tcPr>
            <w:tcW w:type="dxa" w:w="1440"/>
            <w:vAlign w:val="center"/>
          </w:tcPr>
          <w:p>
            <w:r/>
            <w:r>
              <w:rPr>
                <w:b w:val="0"/>
                <w:sz w:val="18"/>
              </w:rPr>
            </w:r>
          </w:p>
        </w:tc>
      </w:tr>
      <w:tr>
        <w:tc>
          <w:tcPr>
            <w:tcW w:type="dxa" w:w="576"/>
            <w:vAlign w:val="center"/>
          </w:tcPr>
          <w:p>
            <w:r/>
            <w:r>
              <w:rPr>
                <w:b w:val="0"/>
                <w:sz w:val="18"/>
              </w:rPr>
              <w:t>5</w:t>
            </w:r>
          </w:p>
        </w:tc>
        <w:tc>
          <w:tcPr>
            <w:tcW w:type="dxa" w:w="5472"/>
            <w:vAlign w:val="center"/>
          </w:tcPr>
          <w:p>
            <w:r/>
            <w:r>
              <w:rPr>
                <w:b w:val="0"/>
                <w:sz w:val="18"/>
              </w:rPr>
              <w:t>Vulnerability scan and patch compliance reports</w:t>
            </w:r>
          </w:p>
        </w:tc>
        <w:tc>
          <w:tcPr>
            <w:tcW w:type="dxa" w:w="1008"/>
            <w:vAlign w:val="center"/>
          </w:tcPr>
          <w:p>
            <w:r/>
            <w:r>
              <w:rPr>
                <w:b w:val="0"/>
                <w:sz w:val="18"/>
              </w:rPr>
              <w:t>☐</w:t>
            </w:r>
          </w:p>
        </w:tc>
        <w:tc>
          <w:tcPr>
            <w:tcW w:type="dxa" w:w="1008"/>
            <w:vAlign w:val="center"/>
          </w:tcPr>
          <w:p>
            <w:r/>
            <w:r>
              <w:rPr>
                <w:b w:val="0"/>
                <w:sz w:val="18"/>
              </w:rPr>
              <w:t>☐</w:t>
            </w:r>
          </w:p>
        </w:tc>
        <w:tc>
          <w:tcPr>
            <w:tcW w:type="dxa" w:w="1440"/>
            <w:vAlign w:val="center"/>
          </w:tcPr>
          <w:p>
            <w:r/>
            <w:r>
              <w:rPr>
                <w:b w:val="0"/>
                <w:sz w:val="18"/>
              </w:rPr>
            </w:r>
          </w:p>
        </w:tc>
      </w:tr>
      <w:tr>
        <w:tc>
          <w:tcPr>
            <w:tcW w:type="dxa" w:w="576"/>
            <w:vAlign w:val="center"/>
          </w:tcPr>
          <w:p>
            <w:r/>
            <w:r>
              <w:rPr>
                <w:b w:val="0"/>
                <w:sz w:val="18"/>
              </w:rPr>
              <w:t>6</w:t>
            </w:r>
          </w:p>
        </w:tc>
        <w:tc>
          <w:tcPr>
            <w:tcW w:type="dxa" w:w="5472"/>
            <w:vAlign w:val="center"/>
          </w:tcPr>
          <w:p>
            <w:r/>
            <w:r>
              <w:rPr>
                <w:b w:val="0"/>
                <w:sz w:val="18"/>
              </w:rPr>
              <w:t>Firewall/VPN/cloud security configuration samples</w:t>
            </w:r>
          </w:p>
        </w:tc>
        <w:tc>
          <w:tcPr>
            <w:tcW w:type="dxa" w:w="1008"/>
            <w:vAlign w:val="center"/>
          </w:tcPr>
          <w:p>
            <w:r/>
            <w:r>
              <w:rPr>
                <w:b w:val="0"/>
                <w:sz w:val="18"/>
              </w:rPr>
              <w:t>☐</w:t>
            </w:r>
          </w:p>
        </w:tc>
        <w:tc>
          <w:tcPr>
            <w:tcW w:type="dxa" w:w="1008"/>
            <w:vAlign w:val="center"/>
          </w:tcPr>
          <w:p>
            <w:r/>
            <w:r>
              <w:rPr>
                <w:b w:val="0"/>
                <w:sz w:val="18"/>
              </w:rPr>
              <w:t>☐</w:t>
            </w:r>
          </w:p>
        </w:tc>
        <w:tc>
          <w:tcPr>
            <w:tcW w:type="dxa" w:w="1440"/>
            <w:vAlign w:val="center"/>
          </w:tcPr>
          <w:p>
            <w:r/>
            <w:r>
              <w:rPr>
                <w:b w:val="0"/>
                <w:sz w:val="18"/>
              </w:rPr>
            </w:r>
          </w:p>
        </w:tc>
      </w:tr>
      <w:tr>
        <w:tc>
          <w:tcPr>
            <w:tcW w:type="dxa" w:w="576"/>
            <w:vAlign w:val="center"/>
          </w:tcPr>
          <w:p>
            <w:r/>
            <w:r>
              <w:rPr>
                <w:b w:val="0"/>
                <w:sz w:val="18"/>
              </w:rPr>
              <w:t>7</w:t>
            </w:r>
          </w:p>
        </w:tc>
        <w:tc>
          <w:tcPr>
            <w:tcW w:type="dxa" w:w="5472"/>
            <w:vAlign w:val="center"/>
          </w:tcPr>
          <w:p>
            <w:r/>
            <w:r>
              <w:rPr>
                <w:b w:val="0"/>
                <w:sz w:val="18"/>
              </w:rPr>
              <w:t>Endpoint protection and encryption coverage</w:t>
            </w:r>
          </w:p>
        </w:tc>
        <w:tc>
          <w:tcPr>
            <w:tcW w:type="dxa" w:w="1008"/>
            <w:vAlign w:val="center"/>
          </w:tcPr>
          <w:p>
            <w:r/>
            <w:r>
              <w:rPr>
                <w:b w:val="0"/>
                <w:sz w:val="18"/>
              </w:rPr>
              <w:t>☐</w:t>
            </w:r>
          </w:p>
        </w:tc>
        <w:tc>
          <w:tcPr>
            <w:tcW w:type="dxa" w:w="1008"/>
            <w:vAlign w:val="center"/>
          </w:tcPr>
          <w:p>
            <w:r/>
            <w:r>
              <w:rPr>
                <w:b w:val="0"/>
                <w:sz w:val="18"/>
              </w:rPr>
              <w:t>☐</w:t>
            </w:r>
          </w:p>
        </w:tc>
        <w:tc>
          <w:tcPr>
            <w:tcW w:type="dxa" w:w="1440"/>
            <w:vAlign w:val="center"/>
          </w:tcPr>
          <w:p>
            <w:r/>
            <w:r>
              <w:rPr>
                <w:b w:val="0"/>
                <w:sz w:val="18"/>
              </w:rPr>
            </w:r>
          </w:p>
        </w:tc>
      </w:tr>
      <w:tr>
        <w:tc>
          <w:tcPr>
            <w:tcW w:type="dxa" w:w="576"/>
            <w:vAlign w:val="center"/>
          </w:tcPr>
          <w:p>
            <w:r/>
            <w:r>
              <w:rPr>
                <w:b w:val="0"/>
                <w:sz w:val="18"/>
              </w:rPr>
              <w:t>8</w:t>
            </w:r>
          </w:p>
        </w:tc>
        <w:tc>
          <w:tcPr>
            <w:tcW w:type="dxa" w:w="5472"/>
            <w:vAlign w:val="center"/>
          </w:tcPr>
          <w:p>
            <w:r/>
            <w:r>
              <w:rPr>
                <w:b w:val="0"/>
                <w:sz w:val="18"/>
              </w:rPr>
              <w:t>SIEM/log-source and retention configuration</w:t>
            </w:r>
          </w:p>
        </w:tc>
        <w:tc>
          <w:tcPr>
            <w:tcW w:type="dxa" w:w="1008"/>
            <w:vAlign w:val="center"/>
          </w:tcPr>
          <w:p>
            <w:r/>
            <w:r>
              <w:rPr>
                <w:b w:val="0"/>
                <w:sz w:val="18"/>
              </w:rPr>
              <w:t>☐</w:t>
            </w:r>
          </w:p>
        </w:tc>
        <w:tc>
          <w:tcPr>
            <w:tcW w:type="dxa" w:w="1008"/>
            <w:vAlign w:val="center"/>
          </w:tcPr>
          <w:p>
            <w:r/>
            <w:r>
              <w:rPr>
                <w:b w:val="0"/>
                <w:sz w:val="18"/>
              </w:rPr>
              <w:t>☐</w:t>
            </w:r>
          </w:p>
        </w:tc>
        <w:tc>
          <w:tcPr>
            <w:tcW w:type="dxa" w:w="1440"/>
            <w:vAlign w:val="center"/>
          </w:tcPr>
          <w:p>
            <w:r/>
            <w:r>
              <w:rPr>
                <w:b w:val="0"/>
                <w:sz w:val="18"/>
              </w:rPr>
            </w:r>
          </w:p>
        </w:tc>
      </w:tr>
      <w:tr>
        <w:tc>
          <w:tcPr>
            <w:tcW w:type="dxa" w:w="576"/>
            <w:vAlign w:val="center"/>
          </w:tcPr>
          <w:p>
            <w:r/>
            <w:r>
              <w:rPr>
                <w:b w:val="0"/>
                <w:sz w:val="18"/>
              </w:rPr>
              <w:t>9</w:t>
            </w:r>
          </w:p>
        </w:tc>
        <w:tc>
          <w:tcPr>
            <w:tcW w:type="dxa" w:w="5472"/>
            <w:vAlign w:val="center"/>
          </w:tcPr>
          <w:p>
            <w:r/>
            <w:r>
              <w:rPr>
                <w:b w:val="0"/>
                <w:sz w:val="18"/>
              </w:rPr>
              <w:t>Incident-response plan and exercise records</w:t>
            </w:r>
          </w:p>
        </w:tc>
        <w:tc>
          <w:tcPr>
            <w:tcW w:type="dxa" w:w="1008"/>
            <w:vAlign w:val="center"/>
          </w:tcPr>
          <w:p>
            <w:r/>
            <w:r>
              <w:rPr>
                <w:b w:val="0"/>
                <w:sz w:val="18"/>
              </w:rPr>
              <w:t>☐</w:t>
            </w:r>
          </w:p>
        </w:tc>
        <w:tc>
          <w:tcPr>
            <w:tcW w:type="dxa" w:w="1008"/>
            <w:vAlign w:val="center"/>
          </w:tcPr>
          <w:p>
            <w:r/>
            <w:r>
              <w:rPr>
                <w:b w:val="0"/>
                <w:sz w:val="18"/>
              </w:rPr>
              <w:t>☐</w:t>
            </w:r>
          </w:p>
        </w:tc>
        <w:tc>
          <w:tcPr>
            <w:tcW w:type="dxa" w:w="1440"/>
            <w:vAlign w:val="center"/>
          </w:tcPr>
          <w:p>
            <w:r/>
            <w:r>
              <w:rPr>
                <w:b w:val="0"/>
                <w:sz w:val="18"/>
              </w:rPr>
            </w:r>
          </w:p>
        </w:tc>
      </w:tr>
      <w:tr>
        <w:tc>
          <w:tcPr>
            <w:tcW w:type="dxa" w:w="576"/>
            <w:vAlign w:val="center"/>
          </w:tcPr>
          <w:p>
            <w:r/>
            <w:r>
              <w:rPr>
                <w:b w:val="0"/>
                <w:sz w:val="18"/>
              </w:rPr>
              <w:t>10</w:t>
            </w:r>
          </w:p>
        </w:tc>
        <w:tc>
          <w:tcPr>
            <w:tcW w:type="dxa" w:w="5472"/>
            <w:vAlign w:val="center"/>
          </w:tcPr>
          <w:p>
            <w:r/>
            <w:r>
              <w:rPr>
                <w:b w:val="0"/>
                <w:sz w:val="18"/>
              </w:rPr>
              <w:t>Backup schedule and restoration test evidence</w:t>
            </w:r>
          </w:p>
        </w:tc>
        <w:tc>
          <w:tcPr>
            <w:tcW w:type="dxa" w:w="1008"/>
            <w:vAlign w:val="center"/>
          </w:tcPr>
          <w:p>
            <w:r/>
            <w:r>
              <w:rPr>
                <w:b w:val="0"/>
                <w:sz w:val="18"/>
              </w:rPr>
              <w:t>☐</w:t>
            </w:r>
          </w:p>
        </w:tc>
        <w:tc>
          <w:tcPr>
            <w:tcW w:type="dxa" w:w="1008"/>
            <w:vAlign w:val="center"/>
          </w:tcPr>
          <w:p>
            <w:r/>
            <w:r>
              <w:rPr>
                <w:b w:val="0"/>
                <w:sz w:val="18"/>
              </w:rPr>
              <w:t>☐</w:t>
            </w:r>
          </w:p>
        </w:tc>
        <w:tc>
          <w:tcPr>
            <w:tcW w:type="dxa" w:w="1440"/>
            <w:vAlign w:val="center"/>
          </w:tcPr>
          <w:p>
            <w:r/>
            <w:r>
              <w:rPr>
                <w:b w:val="0"/>
                <w:sz w:val="18"/>
              </w:rPr>
            </w:r>
          </w:p>
        </w:tc>
      </w:tr>
      <w:tr>
        <w:tc>
          <w:tcPr>
            <w:tcW w:type="dxa" w:w="576"/>
            <w:vAlign w:val="center"/>
          </w:tcPr>
          <w:p>
            <w:r/>
            <w:r>
              <w:rPr>
                <w:b w:val="0"/>
                <w:sz w:val="18"/>
              </w:rPr>
              <w:t>11</w:t>
            </w:r>
          </w:p>
        </w:tc>
        <w:tc>
          <w:tcPr>
            <w:tcW w:type="dxa" w:w="5472"/>
            <w:vAlign w:val="center"/>
          </w:tcPr>
          <w:p>
            <w:r/>
            <w:r>
              <w:rPr>
                <w:b w:val="0"/>
                <w:sz w:val="18"/>
              </w:rPr>
              <w:t>Business continuity and disaster recovery documentation</w:t>
            </w:r>
          </w:p>
        </w:tc>
        <w:tc>
          <w:tcPr>
            <w:tcW w:type="dxa" w:w="1008"/>
            <w:vAlign w:val="center"/>
          </w:tcPr>
          <w:p>
            <w:r/>
            <w:r>
              <w:rPr>
                <w:b w:val="0"/>
                <w:sz w:val="18"/>
              </w:rPr>
              <w:t>☐</w:t>
            </w:r>
          </w:p>
        </w:tc>
        <w:tc>
          <w:tcPr>
            <w:tcW w:type="dxa" w:w="1008"/>
            <w:vAlign w:val="center"/>
          </w:tcPr>
          <w:p>
            <w:r/>
            <w:r>
              <w:rPr>
                <w:b w:val="0"/>
                <w:sz w:val="18"/>
              </w:rPr>
              <w:t>☐</w:t>
            </w:r>
          </w:p>
        </w:tc>
        <w:tc>
          <w:tcPr>
            <w:tcW w:type="dxa" w:w="1440"/>
            <w:vAlign w:val="center"/>
          </w:tcPr>
          <w:p>
            <w:r/>
            <w:r>
              <w:rPr>
                <w:b w:val="0"/>
                <w:sz w:val="18"/>
              </w:rPr>
            </w:r>
          </w:p>
        </w:tc>
      </w:tr>
      <w:tr>
        <w:tc>
          <w:tcPr>
            <w:tcW w:type="dxa" w:w="576"/>
            <w:vAlign w:val="center"/>
          </w:tcPr>
          <w:p>
            <w:r/>
            <w:r>
              <w:rPr>
                <w:b w:val="0"/>
                <w:sz w:val="18"/>
              </w:rPr>
              <w:t>12</w:t>
            </w:r>
          </w:p>
        </w:tc>
        <w:tc>
          <w:tcPr>
            <w:tcW w:type="dxa" w:w="5472"/>
            <w:vAlign w:val="center"/>
          </w:tcPr>
          <w:p>
            <w:r/>
            <w:r>
              <w:rPr>
                <w:b w:val="0"/>
                <w:sz w:val="18"/>
              </w:rPr>
              <w:t>Third-party inventory and security assessments</w:t>
            </w:r>
          </w:p>
        </w:tc>
        <w:tc>
          <w:tcPr>
            <w:tcW w:type="dxa" w:w="1008"/>
            <w:vAlign w:val="center"/>
          </w:tcPr>
          <w:p>
            <w:r/>
            <w:r>
              <w:rPr>
                <w:b w:val="0"/>
                <w:sz w:val="18"/>
              </w:rPr>
              <w:t>☐</w:t>
            </w:r>
          </w:p>
        </w:tc>
        <w:tc>
          <w:tcPr>
            <w:tcW w:type="dxa" w:w="1008"/>
            <w:vAlign w:val="center"/>
          </w:tcPr>
          <w:p>
            <w:r/>
            <w:r>
              <w:rPr>
                <w:b w:val="0"/>
                <w:sz w:val="18"/>
              </w:rPr>
              <w:t>☐</w:t>
            </w:r>
          </w:p>
        </w:tc>
        <w:tc>
          <w:tcPr>
            <w:tcW w:type="dxa" w:w="1440"/>
            <w:vAlign w:val="center"/>
          </w:tcPr>
          <w:p>
            <w:r/>
            <w:r>
              <w:rPr>
                <w:b w:val="0"/>
                <w:sz w:val="18"/>
              </w:rPr>
            </w:r>
          </w:p>
        </w:tc>
      </w:tr>
      <w:tr>
        <w:tc>
          <w:tcPr>
            <w:tcW w:type="dxa" w:w="576"/>
            <w:vAlign w:val="center"/>
          </w:tcPr>
          <w:p>
            <w:r/>
            <w:r>
              <w:rPr>
                <w:b w:val="0"/>
                <w:sz w:val="18"/>
              </w:rPr>
              <w:t>13</w:t>
            </w:r>
          </w:p>
        </w:tc>
        <w:tc>
          <w:tcPr>
            <w:tcW w:type="dxa" w:w="5472"/>
            <w:vAlign w:val="center"/>
          </w:tcPr>
          <w:p>
            <w:r/>
            <w:r>
              <w:rPr>
                <w:b w:val="0"/>
                <w:sz w:val="18"/>
              </w:rPr>
              <w:t>Security awareness completion and phishing metrics</w:t>
            </w:r>
          </w:p>
        </w:tc>
        <w:tc>
          <w:tcPr>
            <w:tcW w:type="dxa" w:w="1008"/>
            <w:vAlign w:val="center"/>
          </w:tcPr>
          <w:p>
            <w:r/>
            <w:r>
              <w:rPr>
                <w:b w:val="0"/>
                <w:sz w:val="18"/>
              </w:rPr>
              <w:t>☐</w:t>
            </w:r>
          </w:p>
        </w:tc>
        <w:tc>
          <w:tcPr>
            <w:tcW w:type="dxa" w:w="1008"/>
            <w:vAlign w:val="center"/>
          </w:tcPr>
          <w:p>
            <w:r/>
            <w:r>
              <w:rPr>
                <w:b w:val="0"/>
                <w:sz w:val="18"/>
              </w:rPr>
              <w:t>☐</w:t>
            </w:r>
          </w:p>
        </w:tc>
        <w:tc>
          <w:tcPr>
            <w:tcW w:type="dxa" w:w="1440"/>
            <w:vAlign w:val="center"/>
          </w:tcPr>
          <w:p>
            <w:r/>
            <w:r>
              <w:rPr>
                <w:b w:val="0"/>
                <w:sz w:val="18"/>
              </w:rPr>
            </w:r>
          </w:p>
        </w:tc>
      </w:tr>
      <w:tr>
        <w:tc>
          <w:tcPr>
            <w:tcW w:type="dxa" w:w="576"/>
            <w:vAlign w:val="center"/>
          </w:tcPr>
          <w:p>
            <w:r/>
            <w:r>
              <w:rPr>
                <w:b w:val="0"/>
                <w:sz w:val="18"/>
              </w:rPr>
              <w:t>14</w:t>
            </w:r>
          </w:p>
        </w:tc>
        <w:tc>
          <w:tcPr>
            <w:tcW w:type="dxa" w:w="5472"/>
            <w:vAlign w:val="center"/>
          </w:tcPr>
          <w:p>
            <w:r/>
            <w:r>
              <w:rPr>
                <w:b w:val="0"/>
                <w:sz w:val="18"/>
              </w:rPr>
              <w:t>Secure SDLC evidence and application security test results</w:t>
            </w:r>
          </w:p>
        </w:tc>
        <w:tc>
          <w:tcPr>
            <w:tcW w:type="dxa" w:w="1008"/>
            <w:vAlign w:val="center"/>
          </w:tcPr>
          <w:p>
            <w:r/>
            <w:r>
              <w:rPr>
                <w:b w:val="0"/>
                <w:sz w:val="18"/>
              </w:rPr>
              <w:t>☐</w:t>
            </w:r>
          </w:p>
        </w:tc>
        <w:tc>
          <w:tcPr>
            <w:tcW w:type="dxa" w:w="1008"/>
            <w:vAlign w:val="center"/>
          </w:tcPr>
          <w:p>
            <w:r/>
            <w:r>
              <w:rPr>
                <w:b w:val="0"/>
                <w:sz w:val="18"/>
              </w:rPr>
              <w:t>☐</w:t>
            </w:r>
          </w:p>
        </w:tc>
        <w:tc>
          <w:tcPr>
            <w:tcW w:type="dxa" w:w="1440"/>
            <w:vAlign w:val="center"/>
          </w:tcPr>
          <w:p>
            <w:r/>
            <w:r>
              <w:rPr>
                <w:b w:val="0"/>
                <w:sz w:val="18"/>
              </w:rPr>
            </w:r>
          </w:p>
        </w:tc>
      </w:tr>
      <w:tr>
        <w:tc>
          <w:tcPr>
            <w:tcW w:type="dxa" w:w="576"/>
            <w:vAlign w:val="center"/>
          </w:tcPr>
          <w:p>
            <w:r/>
            <w:r>
              <w:rPr>
                <w:b w:val="0"/>
                <w:sz w:val="18"/>
              </w:rPr>
              <w:t>15</w:t>
            </w:r>
          </w:p>
        </w:tc>
        <w:tc>
          <w:tcPr>
            <w:tcW w:type="dxa" w:w="5472"/>
            <w:vAlign w:val="center"/>
          </w:tcPr>
          <w:p>
            <w:r/>
            <w:r>
              <w:rPr>
                <w:b w:val="0"/>
                <w:sz w:val="18"/>
              </w:rPr>
              <w:t>Risk register and management reporting</w:t>
            </w:r>
          </w:p>
        </w:tc>
        <w:tc>
          <w:tcPr>
            <w:tcW w:type="dxa" w:w="1008"/>
            <w:vAlign w:val="center"/>
          </w:tcPr>
          <w:p>
            <w:r/>
            <w:r>
              <w:rPr>
                <w:b w:val="0"/>
                <w:sz w:val="18"/>
              </w:rPr>
              <w:t>☐</w:t>
            </w:r>
          </w:p>
        </w:tc>
        <w:tc>
          <w:tcPr>
            <w:tcW w:type="dxa" w:w="1008"/>
            <w:vAlign w:val="center"/>
          </w:tcPr>
          <w:p>
            <w:r/>
            <w:r>
              <w:rPr>
                <w:b w:val="0"/>
                <w:sz w:val="18"/>
              </w:rPr>
              <w:t>☐</w:t>
            </w:r>
          </w:p>
        </w:tc>
        <w:tc>
          <w:tcPr>
            <w:tcW w:type="dxa" w:w="1440"/>
            <w:vAlign w:val="center"/>
          </w:tcPr>
          <w:p>
            <w:r/>
            <w:r>
              <w:rPr>
                <w:b w:val="0"/>
                <w:sz w:val="18"/>
              </w:rPr>
            </w:r>
          </w:p>
        </w:tc>
      </w:tr>
    </w:tbl>
    <w:p/>
    <w:p>
      <w:pPr>
        <w:pStyle w:val="Heading1"/>
      </w:pPr>
      <w:r>
        <w:t>Appendix B – Management Action Plan Template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008"/>
            <w:vAlign w:val="center"/>
            <w:shd w:fill="D9EAF7"/>
          </w:tcPr>
          <w:p>
            <w:r/>
            <w:r>
              <w:rPr>
                <w:b/>
                <w:sz w:val="18"/>
              </w:rPr>
              <w:t>Finding ID</w:t>
            </w:r>
          </w:p>
        </w:tc>
        <w:tc>
          <w:tcPr>
            <w:tcW w:type="dxa" w:w="3312"/>
            <w:vAlign w:val="center"/>
            <w:shd w:fill="D9EAF7"/>
          </w:tcPr>
          <w:p>
            <w:r/>
            <w:r>
              <w:rPr>
                <w:b/>
                <w:sz w:val="18"/>
              </w:rPr>
              <w:t>Action</w:t>
            </w:r>
          </w:p>
        </w:tc>
        <w:tc>
          <w:tcPr>
            <w:tcW w:type="dxa" w:w="1440"/>
            <w:vAlign w:val="center"/>
            <w:shd w:fill="D9EAF7"/>
          </w:tcPr>
          <w:p>
            <w:r/>
            <w:r>
              <w:rPr>
                <w:b/>
                <w:sz w:val="18"/>
              </w:rPr>
              <w:t>Owner</w:t>
            </w:r>
          </w:p>
        </w:tc>
        <w:tc>
          <w:tcPr>
            <w:tcW w:type="dxa" w:w="1296"/>
            <w:vAlign w:val="center"/>
            <w:shd w:fill="D9EAF7"/>
          </w:tcPr>
          <w:p>
            <w:r/>
            <w:r>
              <w:rPr>
                <w:b/>
                <w:sz w:val="18"/>
              </w:rPr>
              <w:t>Due date</w:t>
            </w:r>
          </w:p>
        </w:tc>
        <w:tc>
          <w:tcPr>
            <w:tcW w:type="dxa" w:w="1152"/>
            <w:vAlign w:val="center"/>
            <w:shd w:fill="D9EAF7"/>
          </w:tcPr>
          <w:p>
            <w:r/>
            <w:r>
              <w:rPr>
                <w:b/>
                <w:sz w:val="18"/>
              </w:rPr>
              <w:t>Status</w:t>
            </w:r>
          </w:p>
        </w:tc>
        <w:tc>
          <w:tcPr>
            <w:tcW w:type="dxa" w:w="2592"/>
            <w:vAlign w:val="center"/>
            <w:shd w:fill="D9EAF7"/>
          </w:tcPr>
          <w:p>
            <w:r/>
            <w:r>
              <w:rPr>
                <w:b/>
                <w:sz w:val="18"/>
              </w:rPr>
              <w:t>Evidence / closure note</w:t>
            </w:r>
          </w:p>
        </w:tc>
      </w:tr>
      <w:tr>
        <w:tc>
          <w:tcPr>
            <w:tcW w:type="dxa" w:w="1008"/>
            <w:vAlign w:val="center"/>
          </w:tcPr>
          <w:p>
            <w:r/>
            <w:r>
              <w:rPr>
                <w:b w:val="0"/>
                <w:sz w:val="18"/>
              </w:rPr>
              <w:t>F-__</w:t>
            </w:r>
          </w:p>
        </w:tc>
        <w:tc>
          <w:tcPr>
            <w:tcW w:type="dxa" w:w="3312"/>
            <w:vAlign w:val="center"/>
          </w:tcPr>
          <w:p>
            <w:r/>
            <w:r>
              <w:rPr>
                <w:b w:val="0"/>
                <w:sz w:val="18"/>
              </w:rPr>
            </w:r>
          </w:p>
        </w:tc>
        <w:tc>
          <w:tcPr>
            <w:tcW w:type="dxa" w:w="1440"/>
            <w:vAlign w:val="center"/>
          </w:tcPr>
          <w:p>
            <w:r/>
            <w:r>
              <w:rPr>
                <w:b w:val="0"/>
                <w:sz w:val="18"/>
              </w:rPr>
            </w:r>
          </w:p>
        </w:tc>
        <w:tc>
          <w:tcPr>
            <w:tcW w:type="dxa" w:w="1296"/>
            <w:vAlign w:val="center"/>
          </w:tcPr>
          <w:p>
            <w:r/>
            <w:r>
              <w:rPr>
                <w:b w:val="0"/>
                <w:sz w:val="18"/>
              </w:rPr>
            </w:r>
          </w:p>
        </w:tc>
        <w:tc>
          <w:tcPr>
            <w:tcW w:type="dxa" w:w="1152"/>
            <w:vAlign w:val="center"/>
          </w:tcPr>
          <w:p>
            <w:r/>
            <w:r>
              <w:rPr>
                <w:b w:val="0"/>
                <w:sz w:val="18"/>
              </w:rPr>
              <w:t>Open</w:t>
            </w:r>
          </w:p>
        </w:tc>
        <w:tc>
          <w:tcPr>
            <w:tcW w:type="dxa" w:w="2592"/>
            <w:vAlign w:val="center"/>
          </w:tcPr>
          <w:p>
            <w:r/>
            <w:r>
              <w:rPr>
                <w:b w:val="0"/>
                <w:sz w:val="18"/>
              </w:rPr>
            </w:r>
          </w:p>
        </w:tc>
      </w:tr>
      <w:tr>
        <w:tc>
          <w:tcPr>
            <w:tcW w:type="dxa" w:w="1008"/>
            <w:vAlign w:val="center"/>
          </w:tcPr>
          <w:p>
            <w:r/>
            <w:r>
              <w:rPr>
                <w:b w:val="0"/>
                <w:sz w:val="18"/>
              </w:rPr>
              <w:t>F-__</w:t>
            </w:r>
          </w:p>
        </w:tc>
        <w:tc>
          <w:tcPr>
            <w:tcW w:type="dxa" w:w="3312"/>
            <w:vAlign w:val="center"/>
          </w:tcPr>
          <w:p>
            <w:r/>
            <w:r>
              <w:rPr>
                <w:b w:val="0"/>
                <w:sz w:val="18"/>
              </w:rPr>
            </w:r>
          </w:p>
        </w:tc>
        <w:tc>
          <w:tcPr>
            <w:tcW w:type="dxa" w:w="1440"/>
            <w:vAlign w:val="center"/>
          </w:tcPr>
          <w:p>
            <w:r/>
            <w:r>
              <w:rPr>
                <w:b w:val="0"/>
                <w:sz w:val="18"/>
              </w:rPr>
            </w:r>
          </w:p>
        </w:tc>
        <w:tc>
          <w:tcPr>
            <w:tcW w:type="dxa" w:w="1296"/>
            <w:vAlign w:val="center"/>
          </w:tcPr>
          <w:p>
            <w:r/>
            <w:r>
              <w:rPr>
                <w:b w:val="0"/>
                <w:sz w:val="18"/>
              </w:rPr>
            </w:r>
          </w:p>
        </w:tc>
        <w:tc>
          <w:tcPr>
            <w:tcW w:type="dxa" w:w="1152"/>
            <w:vAlign w:val="center"/>
          </w:tcPr>
          <w:p>
            <w:r/>
            <w:r>
              <w:rPr>
                <w:b w:val="0"/>
                <w:sz w:val="18"/>
              </w:rPr>
              <w:t>Open</w:t>
            </w:r>
          </w:p>
        </w:tc>
        <w:tc>
          <w:tcPr>
            <w:tcW w:type="dxa" w:w="2592"/>
            <w:vAlign w:val="center"/>
          </w:tcPr>
          <w:p>
            <w:r/>
            <w:r>
              <w:rPr>
                <w:b w:val="0"/>
                <w:sz w:val="18"/>
              </w:rPr>
            </w:r>
          </w:p>
        </w:tc>
      </w:tr>
      <w:tr>
        <w:tc>
          <w:tcPr>
            <w:tcW w:type="dxa" w:w="1008"/>
            <w:vAlign w:val="center"/>
          </w:tcPr>
          <w:p>
            <w:r/>
            <w:r>
              <w:rPr>
                <w:b w:val="0"/>
                <w:sz w:val="18"/>
              </w:rPr>
              <w:t>F-__</w:t>
            </w:r>
          </w:p>
        </w:tc>
        <w:tc>
          <w:tcPr>
            <w:tcW w:type="dxa" w:w="3312"/>
            <w:vAlign w:val="center"/>
          </w:tcPr>
          <w:p>
            <w:r/>
            <w:r>
              <w:rPr>
                <w:b w:val="0"/>
                <w:sz w:val="18"/>
              </w:rPr>
            </w:r>
          </w:p>
        </w:tc>
        <w:tc>
          <w:tcPr>
            <w:tcW w:type="dxa" w:w="1440"/>
            <w:vAlign w:val="center"/>
          </w:tcPr>
          <w:p>
            <w:r/>
            <w:r>
              <w:rPr>
                <w:b w:val="0"/>
                <w:sz w:val="18"/>
              </w:rPr>
            </w:r>
          </w:p>
        </w:tc>
        <w:tc>
          <w:tcPr>
            <w:tcW w:type="dxa" w:w="1296"/>
            <w:vAlign w:val="center"/>
          </w:tcPr>
          <w:p>
            <w:r/>
            <w:r>
              <w:rPr>
                <w:b w:val="0"/>
                <w:sz w:val="18"/>
              </w:rPr>
            </w:r>
          </w:p>
        </w:tc>
        <w:tc>
          <w:tcPr>
            <w:tcW w:type="dxa" w:w="1152"/>
            <w:vAlign w:val="center"/>
          </w:tcPr>
          <w:p>
            <w:r/>
            <w:r>
              <w:rPr>
                <w:b w:val="0"/>
                <w:sz w:val="18"/>
              </w:rPr>
              <w:t>Open</w:t>
            </w:r>
          </w:p>
        </w:tc>
        <w:tc>
          <w:tcPr>
            <w:tcW w:type="dxa" w:w="2592"/>
            <w:vAlign w:val="center"/>
          </w:tcPr>
          <w:p>
            <w:r/>
            <w:r>
              <w:rPr>
                <w:b w:val="0"/>
                <w:sz w:val="18"/>
              </w:rPr>
            </w:r>
          </w:p>
        </w:tc>
      </w:tr>
      <w:tr>
        <w:tc>
          <w:tcPr>
            <w:tcW w:type="dxa" w:w="1008"/>
            <w:vAlign w:val="center"/>
          </w:tcPr>
          <w:p>
            <w:r/>
            <w:r>
              <w:rPr>
                <w:b w:val="0"/>
                <w:sz w:val="18"/>
              </w:rPr>
              <w:t>F-__</w:t>
            </w:r>
          </w:p>
        </w:tc>
        <w:tc>
          <w:tcPr>
            <w:tcW w:type="dxa" w:w="3312"/>
            <w:vAlign w:val="center"/>
          </w:tcPr>
          <w:p>
            <w:r/>
            <w:r>
              <w:rPr>
                <w:b w:val="0"/>
                <w:sz w:val="18"/>
              </w:rPr>
            </w:r>
          </w:p>
        </w:tc>
        <w:tc>
          <w:tcPr>
            <w:tcW w:type="dxa" w:w="1440"/>
            <w:vAlign w:val="center"/>
          </w:tcPr>
          <w:p>
            <w:r/>
            <w:r>
              <w:rPr>
                <w:b w:val="0"/>
                <w:sz w:val="18"/>
              </w:rPr>
            </w:r>
          </w:p>
        </w:tc>
        <w:tc>
          <w:tcPr>
            <w:tcW w:type="dxa" w:w="1296"/>
            <w:vAlign w:val="center"/>
          </w:tcPr>
          <w:p>
            <w:r/>
            <w:r>
              <w:rPr>
                <w:b w:val="0"/>
                <w:sz w:val="18"/>
              </w:rPr>
            </w:r>
          </w:p>
        </w:tc>
        <w:tc>
          <w:tcPr>
            <w:tcW w:type="dxa" w:w="1152"/>
            <w:vAlign w:val="center"/>
          </w:tcPr>
          <w:p>
            <w:r/>
            <w:r>
              <w:rPr>
                <w:b w:val="0"/>
                <w:sz w:val="18"/>
              </w:rPr>
              <w:t>Open</w:t>
            </w:r>
          </w:p>
        </w:tc>
        <w:tc>
          <w:tcPr>
            <w:tcW w:type="dxa" w:w="2592"/>
            <w:vAlign w:val="center"/>
          </w:tcPr>
          <w:p>
            <w:r/>
            <w:r>
              <w:rPr>
                <w:b w:val="0"/>
                <w:sz w:val="18"/>
              </w:rPr>
            </w:r>
          </w:p>
        </w:tc>
      </w:tr>
      <w:tr>
        <w:tc>
          <w:tcPr>
            <w:tcW w:type="dxa" w:w="1008"/>
            <w:vAlign w:val="center"/>
          </w:tcPr>
          <w:p>
            <w:r/>
            <w:r>
              <w:rPr>
                <w:b w:val="0"/>
                <w:sz w:val="18"/>
              </w:rPr>
              <w:t>F-__</w:t>
            </w:r>
          </w:p>
        </w:tc>
        <w:tc>
          <w:tcPr>
            <w:tcW w:type="dxa" w:w="3312"/>
            <w:vAlign w:val="center"/>
          </w:tcPr>
          <w:p>
            <w:r/>
            <w:r>
              <w:rPr>
                <w:b w:val="0"/>
                <w:sz w:val="18"/>
              </w:rPr>
            </w:r>
          </w:p>
        </w:tc>
        <w:tc>
          <w:tcPr>
            <w:tcW w:type="dxa" w:w="1440"/>
            <w:vAlign w:val="center"/>
          </w:tcPr>
          <w:p>
            <w:r/>
            <w:r>
              <w:rPr>
                <w:b w:val="0"/>
                <w:sz w:val="18"/>
              </w:rPr>
            </w:r>
          </w:p>
        </w:tc>
        <w:tc>
          <w:tcPr>
            <w:tcW w:type="dxa" w:w="1296"/>
            <w:vAlign w:val="center"/>
          </w:tcPr>
          <w:p>
            <w:r/>
            <w:r>
              <w:rPr>
                <w:b w:val="0"/>
                <w:sz w:val="18"/>
              </w:rPr>
            </w:r>
          </w:p>
        </w:tc>
        <w:tc>
          <w:tcPr>
            <w:tcW w:type="dxa" w:w="1152"/>
            <w:vAlign w:val="center"/>
          </w:tcPr>
          <w:p>
            <w:r/>
            <w:r>
              <w:rPr>
                <w:b w:val="0"/>
                <w:sz w:val="18"/>
              </w:rPr>
              <w:t>Open</w:t>
            </w:r>
          </w:p>
        </w:tc>
        <w:tc>
          <w:tcPr>
            <w:tcW w:type="dxa" w:w="2592"/>
            <w:vAlign w:val="center"/>
          </w:tcPr>
          <w:p>
            <w:r/>
            <w:r>
              <w:rPr>
                <w:b w:val="0"/>
                <w:sz w:val="18"/>
              </w:rPr>
            </w:r>
          </w:p>
        </w:tc>
      </w:tr>
    </w:tbl>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 Training / Academic Use Only</w:t>
    </w:r>
    <w:r>
      <w:t xml:space="preserve"> | Page </w:t>
    </w:r>
    <w:fldChar w:fldCharType="begin"/>
    <w:instrText xml:space="preserve">PAGE</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Cyber Security Audit and Reporting | NIST CSF 2.0 | Simulated Academic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