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CYBER THREAT INTELLIGENCE REPORT</w:t>
      </w:r>
    </w:p>
    <w:p>
      <w:pPr>
        <w:jc w:val="center"/>
      </w:pPr>
      <w:r>
        <w:rPr>
          <w:b/>
          <w:sz w:val="30"/>
        </w:rPr>
        <w:t>Emerging Cyber Threats, Threat Actors and Attack Trends (2025–2026)</w:t>
      </w:r>
    </w:p>
    <w:p>
      <w:pPr>
        <w:jc w:val="center"/>
      </w:pPr>
      <w:r>
        <w:rPr>
          <w:sz w:val="22"/>
        </w:rPr>
        <w:br/>
        <w:t>Prepared as a Cyber Security Analyst Threat Intelligence Assessment</w:t>
        <w:br/>
      </w:r>
      <w:r>
        <w:rPr>
          <w:sz w:val="21"/>
        </w:rPr>
        <w:t>Research cut-off: 26 August 2026</w:t>
      </w:r>
    </w:p>
    <w:p>
      <w:pPr>
        <w:jc w:val="center"/>
      </w:pPr>
      <w:r>
        <w:rPr>
          <w:i/>
        </w:rPr>
        <w:br/>
        <w:t>Publicly available-source assessment</w:t>
      </w:r>
    </w:p>
    <w:p>
      <w:r>
        <w:br w:type="page"/>
      </w:r>
    </w:p>
    <w:p>
      <w:pPr>
        <w:pStyle w:val="Heading1"/>
      </w:pPr>
      <w:r>
        <w:t>1. Executive Summary</w:t>
      </w:r>
    </w:p>
    <w:p>
      <w:r>
        <w:t xml:space="preserve">The current cyber threat environment is being shaped by a combination of familiar attacks and faster, more scalable delivery methods. The strongest themes identified across recent intelligence are exploitation of internet-facing vulnerabilities, ransomware and data extortion, identity compromise, supply-chain exposure, social engineering, and the growing use of artificial intelligence to improve attacker speed and deception. The 2026 Verizon Data Breach Investigations Report (DBIR) reports that vulnerability exploitation became the leading breach entry point at 31%, surpassing stolen credentials for the first time in the report's history. It also reports that third-party supply-chain breaches rose to 48% of breaches, while mobile social-engineering attacks are becoming more effective. </w:t>
      </w:r>
    </w:p>
    <w:p>
      <w:r>
        <w:t>Microsoft's 2025 Digital Defense Report reinforces the financial motivation behind a large share of attacks: more than half of attacks with known motivations were driven by ransomware or extortion, while identity-based attacks and infostealers continued to expand. IBM's 2026 X-Force assessment similarly identifies public-facing application exploitation as its most common initial access vector and highlights the continuing value of stolen identities to attackers. Mandiant's M-Trends 2025 findings show that exploits remained the most common initial infection vector in its 2024 investigations, followed by stolen credentials and phishing.</w:t>
      </w:r>
    </w:p>
    <w:p>
      <w:r>
        <w:t>Overall, the highest-risk threats for a typical organization are vulnerability exploitation, ransomware/data extortion, and identity compromise. Supply-chain compromise and AI-enabled social engineering should be treated as high risks because they can bypass traditional perimeter controls and create rapid downstream impact. Organizations should therefore prioritize asset visibility, rapid vulnerability remediation, phishing-resistant MFA, least privilege, endpoint detection and response, segmented and tested backups, third-party risk management, and continuous threat hunting.</w:t>
      </w:r>
    </w:p>
    <w:p>
      <w:pPr>
        <w:pStyle w:val="Heading1"/>
      </w:pPr>
      <w:r>
        <w:t>2. Key Intelligence Findings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9"/>
              </w:rPr>
              <w:t>Threat</w:t>
            </w:r>
          </w:p>
        </w:tc>
        <w:tc>
          <w:tcPr>
            <w:tcW w:type="dxa" w:w="2484"/>
            <w:vAlign w:val="center"/>
            <w:shd w:fill="D9EAF7"/>
          </w:tcPr>
          <w:p>
            <w:r/>
            <w:r>
              <w:rPr>
                <w:b/>
                <w:sz w:val="19"/>
              </w:rPr>
              <w:t>Evidence / Trend</w:t>
            </w:r>
          </w:p>
        </w:tc>
        <w:tc>
          <w:tcPr>
            <w:tcW w:type="dxa" w:w="2484"/>
            <w:vAlign w:val="center"/>
            <w:shd w:fill="D9EAF7"/>
          </w:tcPr>
          <w:p>
            <w:r/>
            <w:r>
              <w:rPr>
                <w:b/>
                <w:sz w:val="19"/>
              </w:rPr>
              <w:t>Risk</w:t>
            </w:r>
          </w:p>
        </w:tc>
        <w:tc>
          <w:tcPr>
            <w:tcW w:type="dxa" w:w="2484"/>
            <w:vAlign w:val="center"/>
            <w:shd w:fill="D9EAF7"/>
          </w:tcPr>
          <w:p>
            <w:r/>
            <w:r>
              <w:rPr>
                <w:b/>
                <w:sz w:val="19"/>
              </w:rPr>
              <w:t>Primary Business Impact</w:t>
            </w:r>
          </w:p>
        </w:tc>
      </w:tr>
      <w:tr>
        <w:tc>
          <w:tcPr>
            <w:tcW w:type="dxa" w:w="2484"/>
            <w:vAlign w:val="center"/>
          </w:tcPr>
          <w:p>
            <w:r/>
            <w:r>
              <w:rPr>
                <w:b w:val="0"/>
                <w:sz w:val="19"/>
              </w:rPr>
              <w:t>Vulnerability exploitation</w:t>
            </w:r>
          </w:p>
        </w:tc>
        <w:tc>
          <w:tcPr>
            <w:tcW w:type="dxa" w:w="2484"/>
            <w:vAlign w:val="center"/>
          </w:tcPr>
          <w:p>
            <w:r/>
            <w:r>
              <w:rPr>
                <w:b w:val="0"/>
                <w:sz w:val="19"/>
              </w:rPr>
              <w:t>31% of breaches in Verizon's 2026 DBIR began with vulnerability exploitation; IBM also found public-facing application exploitation to be the most common initial access vector in its 2025 data.</w:t>
            </w:r>
          </w:p>
        </w:tc>
        <w:tc>
          <w:tcPr>
            <w:tcW w:type="dxa" w:w="2484"/>
            <w:vAlign w:val="center"/>
          </w:tcPr>
          <w:p>
            <w:r/>
            <w:r>
              <w:rPr>
                <w:b w:val="0"/>
                <w:sz w:val="19"/>
              </w:rPr>
              <w:t>Critical</w:t>
            </w:r>
          </w:p>
        </w:tc>
        <w:tc>
          <w:tcPr>
            <w:tcW w:type="dxa" w:w="2484"/>
            <w:vAlign w:val="center"/>
          </w:tcPr>
          <w:p>
            <w:r/>
            <w:r>
              <w:rPr>
                <w:b w:val="0"/>
                <w:sz w:val="19"/>
              </w:rPr>
              <w:t>Initial compromise, data theft, ransomware, service disruption</w:t>
            </w:r>
          </w:p>
        </w:tc>
      </w:tr>
      <w:tr>
        <w:tc>
          <w:tcPr>
            <w:tcW w:type="dxa" w:w="2484"/>
            <w:vAlign w:val="center"/>
          </w:tcPr>
          <w:p>
            <w:r/>
            <w:r>
              <w:rPr>
                <w:b w:val="0"/>
                <w:sz w:val="19"/>
              </w:rPr>
              <w:t>Ransomware &amp; extortion</w:t>
            </w:r>
          </w:p>
        </w:tc>
        <w:tc>
          <w:tcPr>
            <w:tcW w:type="dxa" w:w="2484"/>
            <w:vAlign w:val="center"/>
          </w:tcPr>
          <w:p>
            <w:r/>
            <w:r>
              <w:rPr>
                <w:b w:val="0"/>
                <w:sz w:val="19"/>
              </w:rPr>
              <w:t>Verizon reported ransomware in 44% of breaches in its 2025 DBIR; Microsoft reported that over 52% of attacks with known motivations were ransomware/extortion driven.</w:t>
            </w:r>
          </w:p>
        </w:tc>
        <w:tc>
          <w:tcPr>
            <w:tcW w:type="dxa" w:w="2484"/>
            <w:vAlign w:val="center"/>
          </w:tcPr>
          <w:p>
            <w:r/>
            <w:r>
              <w:rPr>
                <w:b w:val="0"/>
                <w:sz w:val="19"/>
              </w:rPr>
              <w:t>Critical</w:t>
            </w:r>
          </w:p>
        </w:tc>
        <w:tc>
          <w:tcPr>
            <w:tcW w:type="dxa" w:w="2484"/>
            <w:vAlign w:val="center"/>
          </w:tcPr>
          <w:p>
            <w:r/>
            <w:r>
              <w:rPr>
                <w:b w:val="0"/>
                <w:sz w:val="19"/>
              </w:rPr>
              <w:t>Downtime, data loss, extortion, recovery cost, reputational damage</w:t>
            </w:r>
          </w:p>
        </w:tc>
      </w:tr>
      <w:tr>
        <w:tc>
          <w:tcPr>
            <w:tcW w:type="dxa" w:w="2484"/>
            <w:vAlign w:val="center"/>
          </w:tcPr>
          <w:p>
            <w:r/>
            <w:r>
              <w:rPr>
                <w:b w:val="0"/>
                <w:sz w:val="19"/>
              </w:rPr>
              <w:t>Identity compromise &amp; infostealers</w:t>
            </w:r>
          </w:p>
        </w:tc>
        <w:tc>
          <w:tcPr>
            <w:tcW w:type="dxa" w:w="2484"/>
            <w:vAlign w:val="center"/>
          </w:tcPr>
          <w:p>
            <w:r/>
            <w:r>
              <w:rPr>
                <w:b w:val="0"/>
                <w:sz w:val="19"/>
              </w:rPr>
              <w:t>IBM reported identity abuse as a major entry path and an increase in infostealer credential availability; Microsoft reported a 32% rise in identity attacks in H1 2025.</w:t>
            </w:r>
          </w:p>
        </w:tc>
        <w:tc>
          <w:tcPr>
            <w:tcW w:type="dxa" w:w="2484"/>
            <w:vAlign w:val="center"/>
          </w:tcPr>
          <w:p>
            <w:r/>
            <w:r>
              <w:rPr>
                <w:b w:val="0"/>
                <w:sz w:val="19"/>
              </w:rPr>
              <w:t>Critical</w:t>
            </w:r>
          </w:p>
        </w:tc>
        <w:tc>
          <w:tcPr>
            <w:tcW w:type="dxa" w:w="2484"/>
            <w:vAlign w:val="center"/>
          </w:tcPr>
          <w:p>
            <w:r/>
            <w:r>
              <w:rPr>
                <w:b w:val="0"/>
                <w:sz w:val="19"/>
              </w:rPr>
              <w:t>Account takeover, cloud compromise, fraud, privilege abuse</w:t>
            </w:r>
          </w:p>
        </w:tc>
      </w:tr>
      <w:tr>
        <w:tc>
          <w:tcPr>
            <w:tcW w:type="dxa" w:w="2484"/>
            <w:vAlign w:val="center"/>
          </w:tcPr>
          <w:p>
            <w:r/>
            <w:r>
              <w:rPr>
                <w:b w:val="0"/>
                <w:sz w:val="19"/>
              </w:rPr>
              <w:t>Third-party / supply chain</w:t>
            </w:r>
          </w:p>
        </w:tc>
        <w:tc>
          <w:tcPr>
            <w:tcW w:type="dxa" w:w="2484"/>
            <w:vAlign w:val="center"/>
          </w:tcPr>
          <w:p>
            <w:r/>
            <w:r>
              <w:rPr>
                <w:b w:val="0"/>
                <w:sz w:val="19"/>
              </w:rPr>
              <w:t>Verizon's 2026 DBIR reported third-party supply-chain breaches at 48%, while IBM reported major supply-chain incidents increasing sharply over five years.</w:t>
            </w:r>
          </w:p>
        </w:tc>
        <w:tc>
          <w:tcPr>
            <w:tcW w:type="dxa" w:w="2484"/>
            <w:vAlign w:val="center"/>
          </w:tcPr>
          <w:p>
            <w:r/>
            <w:r>
              <w:rPr>
                <w:b w:val="0"/>
                <w:sz w:val="19"/>
              </w:rPr>
              <w:t>High</w:t>
            </w:r>
          </w:p>
        </w:tc>
        <w:tc>
          <w:tcPr>
            <w:tcW w:type="dxa" w:w="2484"/>
            <w:vAlign w:val="center"/>
          </w:tcPr>
          <w:p>
            <w:r/>
            <w:r>
              <w:rPr>
                <w:b w:val="0"/>
                <w:sz w:val="19"/>
              </w:rPr>
              <w:t>Cascading compromise, service outage, data exposure</w:t>
            </w:r>
          </w:p>
        </w:tc>
      </w:tr>
      <w:tr>
        <w:tc>
          <w:tcPr>
            <w:tcW w:type="dxa" w:w="2484"/>
            <w:vAlign w:val="center"/>
          </w:tcPr>
          <w:p>
            <w:r/>
            <w:r>
              <w:rPr>
                <w:b w:val="0"/>
                <w:sz w:val="19"/>
              </w:rPr>
              <w:t>AI-enabled social engineering</w:t>
            </w:r>
          </w:p>
        </w:tc>
        <w:tc>
          <w:tcPr>
            <w:tcW w:type="dxa" w:w="2484"/>
            <w:vAlign w:val="center"/>
          </w:tcPr>
          <w:p>
            <w:r/>
            <w:r>
              <w:rPr>
                <w:b w:val="0"/>
                <w:sz w:val="19"/>
              </w:rPr>
              <w:t>Microsoft reported AI being used to scale phishing; Verizon reported mobile social-engineering success rising 40% compared with traditional email phishing.</w:t>
            </w:r>
          </w:p>
        </w:tc>
        <w:tc>
          <w:tcPr>
            <w:tcW w:type="dxa" w:w="2484"/>
            <w:vAlign w:val="center"/>
          </w:tcPr>
          <w:p>
            <w:r/>
            <w:r>
              <w:rPr>
                <w:b w:val="0"/>
                <w:sz w:val="19"/>
              </w:rPr>
              <w:t>High</w:t>
            </w:r>
          </w:p>
        </w:tc>
        <w:tc>
          <w:tcPr>
            <w:tcW w:type="dxa" w:w="2484"/>
            <w:vAlign w:val="center"/>
          </w:tcPr>
          <w:p>
            <w:r/>
            <w:r>
              <w:rPr>
                <w:b w:val="0"/>
                <w:sz w:val="19"/>
              </w:rPr>
              <w:t>Fraud, credential theft, unauthorized payments, data leakage</w:t>
            </w:r>
          </w:p>
        </w:tc>
      </w:tr>
      <w:tr>
        <w:tc>
          <w:tcPr>
            <w:tcW w:type="dxa" w:w="2484"/>
            <w:vAlign w:val="center"/>
          </w:tcPr>
          <w:p>
            <w:r/>
            <w:r>
              <w:rPr>
                <w:b w:val="0"/>
                <w:sz w:val="19"/>
              </w:rPr>
              <w:t>DDoS / hacktivism</w:t>
            </w:r>
          </w:p>
        </w:tc>
        <w:tc>
          <w:tcPr>
            <w:tcW w:type="dxa" w:w="2484"/>
            <w:vAlign w:val="center"/>
          </w:tcPr>
          <w:p>
            <w:r/>
            <w:r>
              <w:rPr>
                <w:b w:val="0"/>
                <w:sz w:val="19"/>
              </w:rPr>
              <w:t>ENISA assesses hacktivist-led DDoS as likely to persist, especially around high-visibility events and announcements.</w:t>
            </w:r>
          </w:p>
        </w:tc>
        <w:tc>
          <w:tcPr>
            <w:tcW w:type="dxa" w:w="2484"/>
            <w:vAlign w:val="center"/>
          </w:tcPr>
          <w:p>
            <w:r/>
            <w:r>
              <w:rPr>
                <w:b w:val="0"/>
                <w:sz w:val="19"/>
              </w:rPr>
              <w:t>Medium–High</w:t>
            </w:r>
          </w:p>
        </w:tc>
        <w:tc>
          <w:tcPr>
            <w:tcW w:type="dxa" w:w="2484"/>
            <w:vAlign w:val="center"/>
          </w:tcPr>
          <w:p>
            <w:r/>
            <w:r>
              <w:rPr>
                <w:b w:val="0"/>
                <w:sz w:val="19"/>
              </w:rPr>
              <w:t>Availability loss, reputational impact, public-service disruption</w:t>
            </w:r>
          </w:p>
        </w:tc>
      </w:tr>
    </w:tbl>
    <w:p/>
    <w:p>
      <w:pPr>
        <w:pStyle w:val="Heading1"/>
      </w:pPr>
      <w:r>
        <w:t>3. Introduction and Methodology</w:t>
      </w:r>
    </w:p>
    <w:p>
      <w:r>
        <w:t>The objective of this assessment is to simulate a practical cyber threat intelligence collection and analysis process using reputable, publicly available information. The assessment focuses on threats that are relevant to modern enterprises and public-sector organizations, with attention to threat actors, attack vectors, recent trends, risk impact and defensive priorities.</w:t>
      </w:r>
    </w:p>
    <w:p>
      <w:r>
        <w:t>The research method used four stages:</w:t>
      </w:r>
    </w:p>
    <w:p>
      <w:pPr>
        <w:pStyle w:val="ListNumber"/>
        <w:spacing w:after="60"/>
      </w:pPr>
      <w:r>
        <w:t>Collection – reviewed current threat intelligence reports, government advisories and industry research from CISA, Verizon, Microsoft, IBM X-Force, Mandiant/Google Cloud, ENISA and Sophos.</w:t>
      </w:r>
    </w:p>
    <w:p>
      <w:pPr>
        <w:pStyle w:val="ListNumber"/>
        <w:spacing w:after="60"/>
      </w:pPr>
      <w:r>
        <w:t>Validation – compared recurring findings across independent sources instead of relying on a single vendor's statistics.</w:t>
      </w:r>
    </w:p>
    <w:p>
      <w:pPr>
        <w:pStyle w:val="ListNumber"/>
        <w:spacing w:after="60"/>
      </w:pPr>
      <w:r>
        <w:t>Analysis – grouped threats by attack vector, attacker objective, frequency and potential business impact.</w:t>
      </w:r>
    </w:p>
    <w:p>
      <w:pPr>
        <w:pStyle w:val="ListNumber"/>
        <w:spacing w:after="60"/>
      </w:pPr>
      <w:r>
        <w:t>Risk assessment – assigned Critical, High or Medium–High/Medium risk based on likelihood, potential impact and the ability of the threat to affect confidentiality, integrity or availability.</w:t>
      </w:r>
    </w:p>
    <w:p>
      <w:r>
        <w:t>The sources have different methodologies and reporting periods, so their percentages should not be treated as directly comparable measurements. Instead, repeated patterns across the sources are used as stronger indicators of the direction of the threat landscape.</w:t>
      </w:r>
    </w:p>
    <w:p>
      <w:pPr>
        <w:pStyle w:val="Heading1"/>
      </w:pPr>
      <w:r>
        <w:t>4. Current Threat Landscape</w:t>
      </w:r>
    </w:p>
    <w:p>
      <w:pPr>
        <w:pStyle w:val="Heading2"/>
      </w:pPr>
      <w:r>
        <w:t>4.1 Exploitation of Vulnerabilities</w:t>
      </w:r>
    </w:p>
    <w:p>
      <w:r>
        <w:t>Vulnerability exploitation is one of the clearest immediate priorities for defenders. Verizon's 2026 DBIR states that software vulnerabilities accounted for 31% of breaches, making exploitation the leading entry point. IBM's 2026 X-Force research also found public-facing application exploitation to be the most common initial access vector in its 2025 incident-response data, up 44% from the previous year. These findings show that internet-facing applications, VPNs, edge devices, cloud services and externally exposed management interfaces remain valuable targets.</w:t>
      </w:r>
    </w:p>
    <w:p>
      <w:r>
        <w:t>The business risk is high because exploitation can provide an attacker with an initial foothold before normal user-focused controls such as awareness training can help. Once inside, an attacker may steal credentials, move laterally, access sensitive data or deploy ransomware. The defensive priority is therefore not only patching, but maintaining an accurate asset inventory, identifying externally exposed services, prioritizing known exploited vulnerabilities and reducing unnecessary attack surface.</w:t>
      </w:r>
    </w:p>
    <w:p>
      <w:pPr>
        <w:pStyle w:val="Heading2"/>
      </w:pPr>
      <w:r>
        <w:t>4.2 Ransomware and Data Extortion</w:t>
      </w:r>
    </w:p>
    <w:p>
      <w:r>
        <w:t>Ransomware continues to be a major operational threat. Verizon's 2025 DBIR reported ransomware in 44% of breaches and a 37% increase in ransomware attacks from the previous year. Microsoft's 2025 report found that more than 52% of attacks with known motivations were driven by extortion or ransomware. CISA's #StopRansomware guidance emphasizes that modern attacks may combine encryption with data theft, creating double-extortion pressure. CISA also recommends offline, encrypted backups, tested recovery processes, phishing-resistant MFA and least-privilege access.</w:t>
      </w:r>
    </w:p>
    <w:p>
      <w:r>
        <w:t>Threat groups are also becoming more fragmented. Microsoft documented prominent ransomware families including Akira, RansomHub, Fog, Qilin and Play, while CISA and partner agencies continue to publish advisories on active groups such as Play. This means organizations should not build their defense around blocking one ransomware family; they should instead defend against the common access, persistence and privilege-abuse techniques used across ransomware operations.</w:t>
      </w:r>
    </w:p>
    <w:p>
      <w:pPr>
        <w:pStyle w:val="Heading2"/>
      </w:pPr>
      <w:r>
        <w:t>4.3 Identity Compromise, Phishing and Infostealers</w:t>
      </w:r>
    </w:p>
    <w:p>
      <w:r>
        <w:t>Identity has become a central battleground. IBM's 2025 X-Force research reported identity abuse as a preferred entry point and highlighted an increase in infostealer credentials being sold on criminal marketplaces. Mandiant's M-Trends 2025 report found stolen credentials were the second most common initial infection vector in its 2024 investigations, accounting for 16%, while exploits accounted for 33%.</w:t>
      </w:r>
    </w:p>
    <w:p>
      <w:r>
        <w:t>The risk is particularly serious in cloud-first environments because a stolen account can provide access without triggering the same network-based indicators associated with malware. Attackers increasingly combine phishing, credential theft, adversary-in-the-middle techniques, session theft and social engineering. Strong authentication, conditional access, device trust, privileged access management and rapid detection of anomalous sign-ins are therefore essential.</w:t>
      </w:r>
    </w:p>
    <w:p>
      <w:pPr>
        <w:pStyle w:val="Heading2"/>
      </w:pPr>
      <w:r>
        <w:t>4.4 Supply-Chain and Third-Party Risk</w:t>
      </w:r>
    </w:p>
    <w:p>
      <w:r>
        <w:t>Organizations increasingly depend on software vendors, managed service providers, SaaS platforms, contractors and open-source components. Verizon's 2026 DBIR reported third-party involvement in 48% of breaches, while IBM's 2026 X-Force research observed that major supply-chain incidents have increased nearly fourfold over five years.</w:t>
      </w:r>
    </w:p>
    <w:p>
      <w:r>
        <w:t>The key concern is concentration of trust: a single compromised vendor or integration can provide access to many downstream organizations. Defenses should include vendor security assessments, contractual security requirements, strong identity controls for suppliers, network segmentation, monitoring of third-party accounts, software composition analysis and an incident plan that explicitly covers supplier compromise.</w:t>
      </w:r>
    </w:p>
    <w:p>
      <w:pPr>
        <w:pStyle w:val="Heading2"/>
      </w:pPr>
      <w:r>
        <w:t>4.5 AI-Enabled Social Engineering and Automation</w:t>
      </w:r>
    </w:p>
    <w:p>
      <w:r>
        <w:t>Artificial intelligence is changing the economics of cybercrime rather than replacing established attack methods. Microsoft reports that threat actors are using AI to scale phishing and improve deception, while Verizon's 2026 DBIR reports a 40% increase in the success of mobile social-engineering attacks compared with traditional email phishing. AI can help attackers generate convincing messages, personalize lures and automate parts of reconnaissance or fraud.</w:t>
      </w:r>
    </w:p>
    <w:p>
      <w:r>
        <w:t>Organizations should respond by strengthening identity assurance rather than relying solely on employees to recognize perfect-looking messages. Phishing-resistant MFA, transaction verification, out-of-band confirmation for sensitive requests, secure email controls and awareness training based on realistic scenarios are more resilient than simple rules about spelling or suspicious-looking emails.</w:t>
      </w:r>
    </w:p>
    <w:p>
      <w:pPr>
        <w:pStyle w:val="Heading2"/>
      </w:pPr>
      <w:r>
        <w:t>4.6 DDoS, Hacktivism and Availability Threats</w:t>
      </w:r>
    </w:p>
    <w:p>
      <w:r>
        <w:t>ENISA's 2025 threat landscape expects hacktivist-led distributed denial-of-service activity to persist, particularly around high-visibility events and political or public announcements. Although DDoS may not always result in data theft, it can interrupt websites, APIs, public services and customer-facing applications. For critical services, availability should therefore be treated as a security requirement.</w:t>
      </w:r>
    </w:p>
    <w:p>
      <w:pPr>
        <w:pStyle w:val="Heading1"/>
      </w:pPr>
      <w:r>
        <w:t>5. Threat Actor Assessment</w:t>
      </w:r>
    </w:p>
    <w:p>
      <w:r>
        <w:t>Threat actors can be grouped by motivation rather than by malware family. This is useful because the same organization may face several different adversary types at once.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2F0D9"/>
          </w:tcPr>
          <w:p>
            <w:r/>
            <w:r>
              <w:rPr>
                <w:b/>
                <w:sz w:val="19"/>
              </w:rPr>
              <w:t>Actor Category</w:t>
            </w:r>
          </w:p>
        </w:tc>
        <w:tc>
          <w:tcPr>
            <w:tcW w:type="dxa" w:w="2484"/>
            <w:vAlign w:val="center"/>
            <w:shd w:fill="E2F0D9"/>
          </w:tcPr>
          <w:p>
            <w:r/>
            <w:r>
              <w:rPr>
                <w:b/>
                <w:sz w:val="19"/>
              </w:rPr>
              <w:t>Typical Objective</w:t>
            </w:r>
          </w:p>
        </w:tc>
        <w:tc>
          <w:tcPr>
            <w:tcW w:type="dxa" w:w="2484"/>
            <w:vAlign w:val="center"/>
            <w:shd w:fill="E2F0D9"/>
          </w:tcPr>
          <w:p>
            <w:r/>
            <w:r>
              <w:rPr>
                <w:b/>
                <w:sz w:val="19"/>
              </w:rPr>
              <w:t>Common Methods</w:t>
            </w:r>
          </w:p>
        </w:tc>
        <w:tc>
          <w:tcPr>
            <w:tcW w:type="dxa" w:w="2484"/>
            <w:vAlign w:val="center"/>
            <w:shd w:fill="E2F0D9"/>
          </w:tcPr>
          <w:p>
            <w:r/>
            <w:r>
              <w:rPr>
                <w:b/>
                <w:sz w:val="19"/>
              </w:rPr>
              <w:t>Risk</w:t>
            </w:r>
          </w:p>
        </w:tc>
      </w:tr>
      <w:tr>
        <w:tc>
          <w:tcPr>
            <w:tcW w:type="dxa" w:w="2484"/>
            <w:vAlign w:val="center"/>
          </w:tcPr>
          <w:p>
            <w:r/>
            <w:r>
              <w:rPr>
                <w:b w:val="0"/>
                <w:sz w:val="19"/>
              </w:rPr>
              <w:t>Cybercriminal / ransomware groups</w:t>
            </w:r>
          </w:p>
        </w:tc>
        <w:tc>
          <w:tcPr>
            <w:tcW w:type="dxa" w:w="2484"/>
            <w:vAlign w:val="center"/>
          </w:tcPr>
          <w:p>
            <w:r/>
            <w:r>
              <w:rPr>
                <w:b w:val="0"/>
                <w:sz w:val="19"/>
              </w:rPr>
              <w:t>Financial gain</w:t>
            </w:r>
          </w:p>
        </w:tc>
        <w:tc>
          <w:tcPr>
            <w:tcW w:type="dxa" w:w="2484"/>
            <w:vAlign w:val="center"/>
          </w:tcPr>
          <w:p>
            <w:r/>
            <w:r>
              <w:rPr>
                <w:b w:val="0"/>
                <w:sz w:val="19"/>
              </w:rPr>
              <w:t>Credential theft, exploitation, lateral movement, data theft, extortion</w:t>
            </w:r>
          </w:p>
        </w:tc>
        <w:tc>
          <w:tcPr>
            <w:tcW w:type="dxa" w:w="2484"/>
            <w:vAlign w:val="center"/>
          </w:tcPr>
          <w:p>
            <w:r/>
            <w:r>
              <w:rPr>
                <w:b w:val="0"/>
                <w:sz w:val="19"/>
              </w:rPr>
              <w:t>Critical</w:t>
            </w:r>
          </w:p>
        </w:tc>
      </w:tr>
      <w:tr>
        <w:tc>
          <w:tcPr>
            <w:tcW w:type="dxa" w:w="2484"/>
            <w:vAlign w:val="center"/>
          </w:tcPr>
          <w:p>
            <w:r/>
            <w:r>
              <w:rPr>
                <w:b w:val="0"/>
                <w:sz w:val="19"/>
              </w:rPr>
              <w:t>Access brokers / credential sellers</w:t>
            </w:r>
          </w:p>
        </w:tc>
        <w:tc>
          <w:tcPr>
            <w:tcW w:type="dxa" w:w="2484"/>
            <w:vAlign w:val="center"/>
          </w:tcPr>
          <w:p>
            <w:r/>
            <w:r>
              <w:rPr>
                <w:b w:val="0"/>
                <w:sz w:val="19"/>
              </w:rPr>
              <w:t>Sell unauthorized access</w:t>
            </w:r>
          </w:p>
        </w:tc>
        <w:tc>
          <w:tcPr>
            <w:tcW w:type="dxa" w:w="2484"/>
            <w:vAlign w:val="center"/>
          </w:tcPr>
          <w:p>
            <w:r/>
            <w:r>
              <w:rPr>
                <w:b w:val="0"/>
                <w:sz w:val="19"/>
              </w:rPr>
              <w:t>Infostealers, phishing, stolen sessions, compromised accounts</w:t>
            </w:r>
          </w:p>
        </w:tc>
        <w:tc>
          <w:tcPr>
            <w:tcW w:type="dxa" w:w="2484"/>
            <w:vAlign w:val="center"/>
          </w:tcPr>
          <w:p>
            <w:r/>
            <w:r>
              <w:rPr>
                <w:b w:val="0"/>
                <w:sz w:val="19"/>
              </w:rPr>
              <w:t>Critical</w:t>
            </w:r>
          </w:p>
        </w:tc>
      </w:tr>
      <w:tr>
        <w:tc>
          <w:tcPr>
            <w:tcW w:type="dxa" w:w="2484"/>
            <w:vAlign w:val="center"/>
          </w:tcPr>
          <w:p>
            <w:r/>
            <w:r>
              <w:rPr>
                <w:b w:val="0"/>
                <w:sz w:val="19"/>
              </w:rPr>
              <w:t>Nation-state / state-nexus actors</w:t>
            </w:r>
          </w:p>
        </w:tc>
        <w:tc>
          <w:tcPr>
            <w:tcW w:type="dxa" w:w="2484"/>
            <w:vAlign w:val="center"/>
          </w:tcPr>
          <w:p>
            <w:r/>
            <w:r>
              <w:rPr>
                <w:b w:val="0"/>
                <w:sz w:val="19"/>
              </w:rPr>
              <w:t>Espionage, strategic access, influence</w:t>
            </w:r>
          </w:p>
        </w:tc>
        <w:tc>
          <w:tcPr>
            <w:tcW w:type="dxa" w:w="2484"/>
            <w:vAlign w:val="center"/>
          </w:tcPr>
          <w:p>
            <w:r/>
            <w:r>
              <w:rPr>
                <w:b w:val="0"/>
                <w:sz w:val="19"/>
              </w:rPr>
              <w:t>Exploitation, identity compromise, supply-chain access, stealthy persistence</w:t>
            </w:r>
          </w:p>
        </w:tc>
        <w:tc>
          <w:tcPr>
            <w:tcW w:type="dxa" w:w="2484"/>
            <w:vAlign w:val="center"/>
          </w:tcPr>
          <w:p>
            <w:r/>
            <w:r>
              <w:rPr>
                <w:b w:val="0"/>
                <w:sz w:val="19"/>
              </w:rPr>
              <w:t>High</w:t>
            </w:r>
          </w:p>
        </w:tc>
      </w:tr>
      <w:tr>
        <w:tc>
          <w:tcPr>
            <w:tcW w:type="dxa" w:w="2484"/>
            <w:vAlign w:val="center"/>
          </w:tcPr>
          <w:p>
            <w:r/>
            <w:r>
              <w:rPr>
                <w:b w:val="0"/>
                <w:sz w:val="19"/>
              </w:rPr>
              <w:t>Hacktivists</w:t>
            </w:r>
          </w:p>
        </w:tc>
        <w:tc>
          <w:tcPr>
            <w:tcW w:type="dxa" w:w="2484"/>
            <w:vAlign w:val="center"/>
          </w:tcPr>
          <w:p>
            <w:r/>
            <w:r>
              <w:rPr>
                <w:b w:val="0"/>
                <w:sz w:val="19"/>
              </w:rPr>
              <w:t>Publicity, disruption, political messaging</w:t>
            </w:r>
          </w:p>
        </w:tc>
        <w:tc>
          <w:tcPr>
            <w:tcW w:type="dxa" w:w="2484"/>
            <w:vAlign w:val="center"/>
          </w:tcPr>
          <w:p>
            <w:r/>
            <w:r>
              <w:rPr>
                <w:b w:val="0"/>
                <w:sz w:val="19"/>
              </w:rPr>
              <w:t>DDoS, website disruption, data exposure</w:t>
            </w:r>
          </w:p>
        </w:tc>
        <w:tc>
          <w:tcPr>
            <w:tcW w:type="dxa" w:w="2484"/>
            <w:vAlign w:val="center"/>
          </w:tcPr>
          <w:p>
            <w:r/>
            <w:r>
              <w:rPr>
                <w:b w:val="0"/>
                <w:sz w:val="19"/>
              </w:rPr>
              <w:t>Medium–High</w:t>
            </w:r>
          </w:p>
        </w:tc>
      </w:tr>
      <w:tr>
        <w:tc>
          <w:tcPr>
            <w:tcW w:type="dxa" w:w="2484"/>
            <w:vAlign w:val="center"/>
          </w:tcPr>
          <w:p>
            <w:r/>
            <w:r>
              <w:rPr>
                <w:b w:val="0"/>
                <w:sz w:val="19"/>
              </w:rPr>
              <w:t>Insiders / compromised insiders</w:t>
            </w:r>
          </w:p>
        </w:tc>
        <w:tc>
          <w:tcPr>
            <w:tcW w:type="dxa" w:w="2484"/>
            <w:vAlign w:val="center"/>
          </w:tcPr>
          <w:p>
            <w:r/>
            <w:r>
              <w:rPr>
                <w:b w:val="0"/>
                <w:sz w:val="19"/>
              </w:rPr>
              <w:t>Fraud, sabotage, data theft</w:t>
            </w:r>
          </w:p>
        </w:tc>
        <w:tc>
          <w:tcPr>
            <w:tcW w:type="dxa" w:w="2484"/>
            <w:vAlign w:val="center"/>
          </w:tcPr>
          <w:p>
            <w:r/>
            <w:r>
              <w:rPr>
                <w:b w:val="0"/>
                <w:sz w:val="19"/>
              </w:rPr>
              <w:t>Valid accounts, privilege misuse, data exfiltration</w:t>
            </w:r>
          </w:p>
        </w:tc>
        <w:tc>
          <w:tcPr>
            <w:tcW w:type="dxa" w:w="2484"/>
            <w:vAlign w:val="center"/>
          </w:tcPr>
          <w:p>
            <w:r/>
            <w:r>
              <w:rPr>
                <w:b w:val="0"/>
                <w:sz w:val="19"/>
              </w:rPr>
              <w:t>Medium–High</w:t>
            </w:r>
          </w:p>
        </w:tc>
      </w:tr>
    </w:tbl>
    <w:p>
      <w:r>
        <w:t>Recent reporting also shows that threat-actor ecosystems are increasingly service-oriented. Access brokers can sell entry to criminal groups, while stolen credentials, phishing kits and malware services reduce the technical barrier for less-skilled attackers. This industrialization means defenders should focus on disrupting the attack chain at multiple points.</w:t>
      </w:r>
    </w:p>
    <w:p>
      <w:pPr>
        <w:pStyle w:val="Heading1"/>
      </w:pPr>
      <w:r>
        <w:t>6. Risk Categorization by Severity, Frequency and Business Impact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FCE4D6"/>
          </w:tcPr>
          <w:p>
            <w:r/>
            <w:r>
              <w:rPr>
                <w:b/>
                <w:sz w:val="19"/>
              </w:rPr>
              <w:t>Threat</w:t>
            </w:r>
          </w:p>
        </w:tc>
        <w:tc>
          <w:tcPr>
            <w:tcW w:type="dxa" w:w="1656"/>
            <w:vAlign w:val="center"/>
            <w:shd w:fill="FCE4D6"/>
          </w:tcPr>
          <w:p>
            <w:r/>
            <w:r>
              <w:rPr>
                <w:b/>
                <w:sz w:val="19"/>
              </w:rPr>
              <w:t>Likelihood</w:t>
            </w:r>
          </w:p>
        </w:tc>
        <w:tc>
          <w:tcPr>
            <w:tcW w:type="dxa" w:w="1656"/>
            <w:vAlign w:val="center"/>
            <w:shd w:fill="FCE4D6"/>
          </w:tcPr>
          <w:p>
            <w:r/>
            <w:r>
              <w:rPr>
                <w:b/>
                <w:sz w:val="19"/>
              </w:rPr>
              <w:t>Severity</w:t>
            </w:r>
          </w:p>
        </w:tc>
        <w:tc>
          <w:tcPr>
            <w:tcW w:type="dxa" w:w="1656"/>
            <w:vAlign w:val="center"/>
            <w:shd w:fill="FCE4D6"/>
          </w:tcPr>
          <w:p>
            <w:r/>
            <w:r>
              <w:rPr>
                <w:b/>
                <w:sz w:val="19"/>
              </w:rPr>
              <w:t>Business Impact</w:t>
            </w:r>
          </w:p>
        </w:tc>
        <w:tc>
          <w:tcPr>
            <w:tcW w:type="dxa" w:w="1656"/>
            <w:vAlign w:val="center"/>
            <w:shd w:fill="FCE4D6"/>
          </w:tcPr>
          <w:p>
            <w:r/>
            <w:r>
              <w:rPr>
                <w:b/>
                <w:sz w:val="19"/>
              </w:rPr>
              <w:t>Overall Risk</w:t>
            </w:r>
          </w:p>
        </w:tc>
        <w:tc>
          <w:tcPr>
            <w:tcW w:type="dxa" w:w="1656"/>
            <w:vAlign w:val="center"/>
            <w:shd w:fill="FCE4D6"/>
          </w:tcPr>
          <w:p>
            <w:r/>
            <w:r>
              <w:rPr>
                <w:b/>
                <w:sz w:val="19"/>
              </w:rPr>
              <w:t>Priority</w:t>
            </w:r>
          </w:p>
        </w:tc>
      </w:tr>
      <w:tr>
        <w:tc>
          <w:tcPr>
            <w:tcW w:type="dxa" w:w="1656"/>
            <w:vAlign w:val="center"/>
          </w:tcPr>
          <w:p>
            <w:r/>
            <w:r>
              <w:rPr>
                <w:b w:val="0"/>
                <w:sz w:val="19"/>
              </w:rPr>
              <w:t>Vulnerability exploitation</w:t>
            </w:r>
          </w:p>
        </w:tc>
        <w:tc>
          <w:tcPr>
            <w:tcW w:type="dxa" w:w="1656"/>
            <w:vAlign w:val="center"/>
          </w:tcPr>
          <w:p>
            <w:r/>
            <w:r>
              <w:rPr>
                <w:b w:val="0"/>
                <w:sz w:val="19"/>
              </w:rPr>
              <w:t>Very High</w:t>
            </w:r>
          </w:p>
        </w:tc>
        <w:tc>
          <w:tcPr>
            <w:tcW w:type="dxa" w:w="1656"/>
            <w:vAlign w:val="center"/>
          </w:tcPr>
          <w:p>
            <w:r/>
            <w:r>
              <w:rPr>
                <w:b w:val="0"/>
                <w:sz w:val="19"/>
              </w:rPr>
              <w:t>Critical</w:t>
            </w:r>
          </w:p>
        </w:tc>
        <w:tc>
          <w:tcPr>
            <w:tcW w:type="dxa" w:w="1656"/>
            <w:vAlign w:val="center"/>
          </w:tcPr>
          <w:p>
            <w:r/>
            <w:r>
              <w:rPr>
                <w:b w:val="0"/>
                <w:sz w:val="19"/>
              </w:rPr>
              <w:t>Very High</w:t>
            </w:r>
          </w:p>
        </w:tc>
        <w:tc>
          <w:tcPr>
            <w:tcW w:type="dxa" w:w="1656"/>
            <w:vAlign w:val="center"/>
          </w:tcPr>
          <w:p>
            <w:r/>
            <w:r>
              <w:rPr>
                <w:b w:val="0"/>
                <w:sz w:val="19"/>
              </w:rPr>
              <w:t>Critical</w:t>
            </w:r>
          </w:p>
        </w:tc>
        <w:tc>
          <w:tcPr>
            <w:tcW w:type="dxa" w:w="1656"/>
            <w:vAlign w:val="center"/>
          </w:tcPr>
          <w:p>
            <w:r/>
            <w:r>
              <w:rPr>
                <w:b w:val="0"/>
                <w:sz w:val="19"/>
              </w:rPr>
              <w:t>Immediate</w:t>
            </w:r>
          </w:p>
        </w:tc>
      </w:tr>
      <w:tr>
        <w:tc>
          <w:tcPr>
            <w:tcW w:type="dxa" w:w="1656"/>
            <w:vAlign w:val="center"/>
          </w:tcPr>
          <w:p>
            <w:r/>
            <w:r>
              <w:rPr>
                <w:b w:val="0"/>
                <w:sz w:val="19"/>
              </w:rPr>
              <w:t>Ransomware / extortion</w:t>
            </w:r>
          </w:p>
        </w:tc>
        <w:tc>
          <w:tcPr>
            <w:tcW w:type="dxa" w:w="1656"/>
            <w:vAlign w:val="center"/>
          </w:tcPr>
          <w:p>
            <w:r/>
            <w:r>
              <w:rPr>
                <w:b w:val="0"/>
                <w:sz w:val="19"/>
              </w:rPr>
              <w:t>High</w:t>
            </w:r>
          </w:p>
        </w:tc>
        <w:tc>
          <w:tcPr>
            <w:tcW w:type="dxa" w:w="1656"/>
            <w:vAlign w:val="center"/>
          </w:tcPr>
          <w:p>
            <w:r/>
            <w:r>
              <w:rPr>
                <w:b w:val="0"/>
                <w:sz w:val="19"/>
              </w:rPr>
              <w:t>Critical</w:t>
            </w:r>
          </w:p>
        </w:tc>
        <w:tc>
          <w:tcPr>
            <w:tcW w:type="dxa" w:w="1656"/>
            <w:vAlign w:val="center"/>
          </w:tcPr>
          <w:p>
            <w:r/>
            <w:r>
              <w:rPr>
                <w:b w:val="0"/>
                <w:sz w:val="19"/>
              </w:rPr>
              <w:t>Very High</w:t>
            </w:r>
          </w:p>
        </w:tc>
        <w:tc>
          <w:tcPr>
            <w:tcW w:type="dxa" w:w="1656"/>
            <w:vAlign w:val="center"/>
          </w:tcPr>
          <w:p>
            <w:r/>
            <w:r>
              <w:rPr>
                <w:b w:val="0"/>
                <w:sz w:val="19"/>
              </w:rPr>
              <w:t>Critical</w:t>
            </w:r>
          </w:p>
        </w:tc>
        <w:tc>
          <w:tcPr>
            <w:tcW w:type="dxa" w:w="1656"/>
            <w:vAlign w:val="center"/>
          </w:tcPr>
          <w:p>
            <w:r/>
            <w:r>
              <w:rPr>
                <w:b w:val="0"/>
                <w:sz w:val="19"/>
              </w:rPr>
              <w:t>Immediate</w:t>
            </w:r>
          </w:p>
        </w:tc>
      </w:tr>
      <w:tr>
        <w:tc>
          <w:tcPr>
            <w:tcW w:type="dxa" w:w="1656"/>
            <w:vAlign w:val="center"/>
          </w:tcPr>
          <w:p>
            <w:r/>
            <w:r>
              <w:rPr>
                <w:b w:val="0"/>
                <w:sz w:val="19"/>
              </w:rPr>
              <w:t>Identity compromise / infostealers</w:t>
            </w:r>
          </w:p>
        </w:tc>
        <w:tc>
          <w:tcPr>
            <w:tcW w:type="dxa" w:w="1656"/>
            <w:vAlign w:val="center"/>
          </w:tcPr>
          <w:p>
            <w:r/>
            <w:r>
              <w:rPr>
                <w:b w:val="0"/>
                <w:sz w:val="19"/>
              </w:rPr>
              <w:t>Very High</w:t>
            </w:r>
          </w:p>
        </w:tc>
        <w:tc>
          <w:tcPr>
            <w:tcW w:type="dxa" w:w="1656"/>
            <w:vAlign w:val="center"/>
          </w:tcPr>
          <w:p>
            <w:r/>
            <w:r>
              <w:rPr>
                <w:b w:val="0"/>
                <w:sz w:val="19"/>
              </w:rPr>
              <w:t>High</w:t>
            </w:r>
          </w:p>
        </w:tc>
        <w:tc>
          <w:tcPr>
            <w:tcW w:type="dxa" w:w="1656"/>
            <w:vAlign w:val="center"/>
          </w:tcPr>
          <w:p>
            <w:r/>
            <w:r>
              <w:rPr>
                <w:b w:val="0"/>
                <w:sz w:val="19"/>
              </w:rPr>
              <w:t>Very High</w:t>
            </w:r>
          </w:p>
        </w:tc>
        <w:tc>
          <w:tcPr>
            <w:tcW w:type="dxa" w:w="1656"/>
            <w:vAlign w:val="center"/>
          </w:tcPr>
          <w:p>
            <w:r/>
            <w:r>
              <w:rPr>
                <w:b w:val="0"/>
                <w:sz w:val="19"/>
              </w:rPr>
              <w:t>Critical</w:t>
            </w:r>
          </w:p>
        </w:tc>
        <w:tc>
          <w:tcPr>
            <w:tcW w:type="dxa" w:w="1656"/>
            <w:vAlign w:val="center"/>
          </w:tcPr>
          <w:p>
            <w:r/>
            <w:r>
              <w:rPr>
                <w:b w:val="0"/>
                <w:sz w:val="19"/>
              </w:rPr>
              <w:t>Immediate</w:t>
            </w:r>
          </w:p>
        </w:tc>
      </w:tr>
      <w:tr>
        <w:tc>
          <w:tcPr>
            <w:tcW w:type="dxa" w:w="1656"/>
            <w:vAlign w:val="center"/>
          </w:tcPr>
          <w:p>
            <w:r/>
            <w:r>
              <w:rPr>
                <w:b w:val="0"/>
                <w:sz w:val="19"/>
              </w:rPr>
              <w:t>Third-party / supply chain</w:t>
            </w:r>
          </w:p>
        </w:tc>
        <w:tc>
          <w:tcPr>
            <w:tcW w:type="dxa" w:w="1656"/>
            <w:vAlign w:val="center"/>
          </w:tcPr>
          <w:p>
            <w:r/>
            <w:r>
              <w:rPr>
                <w:b w:val="0"/>
                <w:sz w:val="19"/>
              </w:rPr>
              <w:t>High</w:t>
            </w:r>
          </w:p>
        </w:tc>
        <w:tc>
          <w:tcPr>
            <w:tcW w:type="dxa" w:w="1656"/>
            <w:vAlign w:val="center"/>
          </w:tcPr>
          <w:p>
            <w:r/>
            <w:r>
              <w:rPr>
                <w:b w:val="0"/>
                <w:sz w:val="19"/>
              </w:rPr>
              <w:t>High</w:t>
            </w:r>
          </w:p>
        </w:tc>
        <w:tc>
          <w:tcPr>
            <w:tcW w:type="dxa" w:w="1656"/>
            <w:vAlign w:val="center"/>
          </w:tcPr>
          <w:p>
            <w:r/>
            <w:r>
              <w:rPr>
                <w:b w:val="0"/>
                <w:sz w:val="19"/>
              </w:rPr>
              <w:t>Very High</w:t>
            </w:r>
          </w:p>
        </w:tc>
        <w:tc>
          <w:tcPr>
            <w:tcW w:type="dxa" w:w="1656"/>
            <w:vAlign w:val="center"/>
          </w:tcPr>
          <w:p>
            <w:r/>
            <w:r>
              <w:rPr>
                <w:b w:val="0"/>
                <w:sz w:val="19"/>
              </w:rPr>
              <w:t>High</w:t>
            </w:r>
          </w:p>
        </w:tc>
        <w:tc>
          <w:tcPr>
            <w:tcW w:type="dxa" w:w="1656"/>
            <w:vAlign w:val="center"/>
          </w:tcPr>
          <w:p>
            <w:r/>
            <w:r>
              <w:rPr>
                <w:b w:val="0"/>
                <w:sz w:val="19"/>
              </w:rPr>
              <w:t>High</w:t>
            </w:r>
          </w:p>
        </w:tc>
      </w:tr>
      <w:tr>
        <w:tc>
          <w:tcPr>
            <w:tcW w:type="dxa" w:w="1656"/>
            <w:vAlign w:val="center"/>
          </w:tcPr>
          <w:p>
            <w:r/>
            <w:r>
              <w:rPr>
                <w:b w:val="0"/>
                <w:sz w:val="19"/>
              </w:rPr>
              <w:t>AI-enabled social engineering</w:t>
            </w:r>
          </w:p>
        </w:tc>
        <w:tc>
          <w:tcPr>
            <w:tcW w:type="dxa" w:w="1656"/>
            <w:vAlign w:val="center"/>
          </w:tcPr>
          <w:p>
            <w:r/>
            <w:r>
              <w:rPr>
                <w:b w:val="0"/>
                <w:sz w:val="19"/>
              </w:rPr>
              <w:t>High</w:t>
            </w:r>
          </w:p>
        </w:tc>
        <w:tc>
          <w:tcPr>
            <w:tcW w:type="dxa" w:w="1656"/>
            <w:vAlign w:val="center"/>
          </w:tcPr>
          <w:p>
            <w:r/>
            <w:r>
              <w:rPr>
                <w:b w:val="0"/>
                <w:sz w:val="19"/>
              </w:rPr>
              <w:t>High</w:t>
            </w:r>
          </w:p>
        </w:tc>
        <w:tc>
          <w:tcPr>
            <w:tcW w:type="dxa" w:w="1656"/>
            <w:vAlign w:val="center"/>
          </w:tcPr>
          <w:p>
            <w:r/>
            <w:r>
              <w:rPr>
                <w:b w:val="0"/>
                <w:sz w:val="19"/>
              </w:rPr>
              <w:t>High</w:t>
            </w:r>
          </w:p>
        </w:tc>
        <w:tc>
          <w:tcPr>
            <w:tcW w:type="dxa" w:w="1656"/>
            <w:vAlign w:val="center"/>
          </w:tcPr>
          <w:p>
            <w:r/>
            <w:r>
              <w:rPr>
                <w:b w:val="0"/>
                <w:sz w:val="19"/>
              </w:rPr>
              <w:t>High</w:t>
            </w:r>
          </w:p>
        </w:tc>
        <w:tc>
          <w:tcPr>
            <w:tcW w:type="dxa" w:w="1656"/>
            <w:vAlign w:val="center"/>
          </w:tcPr>
          <w:p>
            <w:r/>
            <w:r>
              <w:rPr>
                <w:b w:val="0"/>
                <w:sz w:val="19"/>
              </w:rPr>
              <w:t>High</w:t>
            </w:r>
          </w:p>
        </w:tc>
      </w:tr>
      <w:tr>
        <w:tc>
          <w:tcPr>
            <w:tcW w:type="dxa" w:w="1656"/>
            <w:vAlign w:val="center"/>
          </w:tcPr>
          <w:p>
            <w:r/>
            <w:r>
              <w:rPr>
                <w:b w:val="0"/>
                <w:sz w:val="19"/>
              </w:rPr>
              <w:t>DDoS / hacktivism</w:t>
            </w:r>
          </w:p>
        </w:tc>
        <w:tc>
          <w:tcPr>
            <w:tcW w:type="dxa" w:w="1656"/>
            <w:vAlign w:val="center"/>
          </w:tcPr>
          <w:p>
            <w:r/>
            <w:r>
              <w:rPr>
                <w:b w:val="0"/>
                <w:sz w:val="19"/>
              </w:rPr>
              <w:t>Medium–High</w:t>
            </w:r>
          </w:p>
        </w:tc>
        <w:tc>
          <w:tcPr>
            <w:tcW w:type="dxa" w:w="1656"/>
            <w:vAlign w:val="center"/>
          </w:tcPr>
          <w:p>
            <w:r/>
            <w:r>
              <w:rPr>
                <w:b w:val="0"/>
                <w:sz w:val="19"/>
              </w:rPr>
              <w:t>Medium–High</w:t>
            </w:r>
          </w:p>
        </w:tc>
        <w:tc>
          <w:tcPr>
            <w:tcW w:type="dxa" w:w="1656"/>
            <w:vAlign w:val="center"/>
          </w:tcPr>
          <w:p>
            <w:r/>
            <w:r>
              <w:rPr>
                <w:b w:val="0"/>
                <w:sz w:val="19"/>
              </w:rPr>
              <w:t>Medium–High</w:t>
            </w:r>
          </w:p>
        </w:tc>
        <w:tc>
          <w:tcPr>
            <w:tcW w:type="dxa" w:w="1656"/>
            <w:vAlign w:val="center"/>
          </w:tcPr>
          <w:p>
            <w:r/>
            <w:r>
              <w:rPr>
                <w:b w:val="0"/>
                <w:sz w:val="19"/>
              </w:rPr>
              <w:t>Medium–High</w:t>
            </w:r>
          </w:p>
        </w:tc>
        <w:tc>
          <w:tcPr>
            <w:tcW w:type="dxa" w:w="1656"/>
            <w:vAlign w:val="center"/>
          </w:tcPr>
          <w:p>
            <w:r/>
            <w:r>
              <w:rPr>
                <w:b w:val="0"/>
                <w:sz w:val="19"/>
              </w:rPr>
              <w:t>Planned</w:t>
            </w:r>
          </w:p>
        </w:tc>
      </w:tr>
      <w:tr>
        <w:tc>
          <w:tcPr>
            <w:tcW w:type="dxa" w:w="1656"/>
            <w:vAlign w:val="center"/>
          </w:tcPr>
          <w:p>
            <w:r/>
            <w:r>
              <w:rPr>
                <w:b w:val="0"/>
                <w:sz w:val="19"/>
              </w:rPr>
              <w:t>Nation-state espionage</w:t>
            </w:r>
          </w:p>
        </w:tc>
        <w:tc>
          <w:tcPr>
            <w:tcW w:type="dxa" w:w="1656"/>
            <w:vAlign w:val="center"/>
          </w:tcPr>
          <w:p>
            <w:r/>
            <w:r>
              <w:rPr>
                <w:b w:val="0"/>
                <w:sz w:val="19"/>
              </w:rPr>
              <w:t>Medium</w:t>
            </w:r>
          </w:p>
        </w:tc>
        <w:tc>
          <w:tcPr>
            <w:tcW w:type="dxa" w:w="1656"/>
            <w:vAlign w:val="center"/>
          </w:tcPr>
          <w:p>
            <w:r/>
            <w:r>
              <w:rPr>
                <w:b w:val="0"/>
                <w:sz w:val="19"/>
              </w:rPr>
              <w:t>High</w:t>
            </w:r>
          </w:p>
        </w:tc>
        <w:tc>
          <w:tcPr>
            <w:tcW w:type="dxa" w:w="1656"/>
            <w:vAlign w:val="center"/>
          </w:tcPr>
          <w:p>
            <w:r/>
            <w:r>
              <w:rPr>
                <w:b w:val="0"/>
                <w:sz w:val="19"/>
              </w:rPr>
              <w:t>High</w:t>
            </w:r>
          </w:p>
        </w:tc>
        <w:tc>
          <w:tcPr>
            <w:tcW w:type="dxa" w:w="1656"/>
            <w:vAlign w:val="center"/>
          </w:tcPr>
          <w:p>
            <w:r/>
            <w:r>
              <w:rPr>
                <w:b w:val="0"/>
                <w:sz w:val="19"/>
              </w:rPr>
              <w:t>High</w:t>
            </w:r>
          </w:p>
        </w:tc>
        <w:tc>
          <w:tcPr>
            <w:tcW w:type="dxa" w:w="1656"/>
            <w:vAlign w:val="center"/>
          </w:tcPr>
          <w:p>
            <w:r/>
            <w:r>
              <w:rPr>
                <w:b w:val="0"/>
                <w:sz w:val="19"/>
              </w:rPr>
              <w:t>High</w:t>
            </w:r>
          </w:p>
        </w:tc>
      </w:tr>
    </w:tbl>
    <w:p>
      <w:r>
        <w:t>Risk ratings are an analytical judgment for a typical organization and should be adjusted to the organization's industry, geography, technology stack, regulatory exposure and threat profile.</w:t>
      </w:r>
    </w:p>
    <w:p>
      <w:pPr>
        <w:pStyle w:val="Heading1"/>
      </w:pPr>
      <w:r>
        <w:t>7. Recommendations and Risk Mitigation</w:t>
      </w:r>
    </w:p>
    <w:p>
      <w:pPr>
        <w:spacing w:after="80"/>
      </w:pPr>
      <w:r>
        <w:rPr>
          <w:b/>
        </w:rPr>
        <w:t xml:space="preserve">Establish vulnerability management as a business process. </w:t>
      </w:r>
      <w:r>
        <w:t>Maintain a complete inventory of internet-facing assets; prioritize actively exploited and high-impact vulnerabilities; define remediation deadlines; verify that patches actually reached production.</w:t>
      </w:r>
    </w:p>
    <w:p>
      <w:pPr>
        <w:spacing w:after="80"/>
      </w:pPr>
      <w:r>
        <w:rPr>
          <w:b/>
        </w:rPr>
        <w:t xml:space="preserve">Adopt phishing-resistant MFA. </w:t>
      </w:r>
      <w:r>
        <w:t>Use FIDO2/passkeys or equivalent phishing-resistant authentication for administrators, remote access, email and other high-value services. Review legacy authentication paths and disable unnecessary ones.</w:t>
      </w:r>
    </w:p>
    <w:p>
      <w:pPr>
        <w:spacing w:after="80"/>
      </w:pPr>
      <w:r>
        <w:rPr>
          <w:b/>
        </w:rPr>
        <w:t xml:space="preserve">Strengthen identity monitoring. </w:t>
      </w:r>
      <w:r>
        <w:t>Monitor impossible travel, unusual device use, risky sign-ins, privilege changes, suspicious OAuth/application consent and unusual data access. Separate administrative accounts from everyday accounts.</w:t>
      </w:r>
    </w:p>
    <w:p>
      <w:pPr>
        <w:spacing w:after="80"/>
      </w:pPr>
      <w:r>
        <w:rPr>
          <w:b/>
        </w:rPr>
        <w:t xml:space="preserve">Protect against ransomware with recoverable backups. </w:t>
      </w:r>
      <w:r>
        <w:t>Keep offline or logically isolated encrypted backups, test restoration regularly, maintain clean system images and define recovery priorities for critical business services.</w:t>
      </w:r>
    </w:p>
    <w:p>
      <w:pPr>
        <w:spacing w:after="80"/>
      </w:pPr>
      <w:r>
        <w:rPr>
          <w:b/>
        </w:rPr>
        <w:t xml:space="preserve">Improve endpoint and network detection. </w:t>
      </w:r>
      <w:r>
        <w:t>Deploy EDR/XDR where appropriate, centralize important logs, retain sufficient telemetry and establish alerting for credential abuse, lateral movement and suspicious administrative activity.</w:t>
      </w:r>
    </w:p>
    <w:p>
      <w:pPr>
        <w:spacing w:after="80"/>
      </w:pPr>
      <w:r>
        <w:rPr>
          <w:b/>
        </w:rPr>
        <w:t xml:space="preserve">Reduce third-party exposure. </w:t>
      </w:r>
      <w:r>
        <w:t>Assess critical vendors, require security controls contractually, use least privilege for supplier accounts, monitor integrations and prepare a supplier-compromise response plan.</w:t>
      </w:r>
    </w:p>
    <w:p>
      <w:pPr>
        <w:spacing w:after="80"/>
      </w:pPr>
      <w:r>
        <w:rPr>
          <w:b/>
        </w:rPr>
        <w:t xml:space="preserve">Prepare for AI-enabled fraud. </w:t>
      </w:r>
      <w:r>
        <w:t>Train staff to verify unusual payment, password-reset and data-sharing requests through independent channels. Establish an approved-use policy for generative AI and monitor sensitive data leakage.</w:t>
      </w:r>
    </w:p>
    <w:p>
      <w:pPr>
        <w:spacing w:after="80"/>
      </w:pPr>
      <w:r>
        <w:rPr>
          <w:b/>
        </w:rPr>
        <w:t xml:space="preserve">Build a threat-intelligence workflow. </w:t>
      </w:r>
      <w:r>
        <w:t>Track relevant CISA advisories, vendor intelligence, sector alerts and vulnerability feeds. Convert intelligence into prioritized detections, patching actions and threat-hunting hypotheses.</w:t>
      </w:r>
    </w:p>
    <w:p>
      <w:pPr>
        <w:spacing w:after="80"/>
      </w:pPr>
      <w:r>
        <w:rPr>
          <w:b/>
        </w:rPr>
        <w:t xml:space="preserve">Exercise incident response. </w:t>
      </w:r>
      <w:r>
        <w:t>Run ransomware, account takeover, data breach and third-party compromise exercises. Include IT, security, legal, communications, management and business continuity teams.</w:t>
      </w:r>
    </w:p>
    <w:p>
      <w:pPr>
        <w:pStyle w:val="Heading1"/>
      </w:pPr>
      <w:r>
        <w:t>8. Analyst Assessment</w:t>
      </w:r>
    </w:p>
    <w:p>
      <w:r>
        <w:t>The most important conclusion from the cross-source review is that the threat landscape is not being transformed by one new malware family or one isolated technique. Instead, attackers are combining proven methods—exploitation, stolen credentials, phishing, social engineering and data theft—with automation, criminal marketplaces and AI.</w:t>
      </w:r>
    </w:p>
    <w:p>
      <w:r>
        <w:t>This convergence reduces the time available to defenders. A vulnerability can be exploited before a traditional monthly patch cycle; a stolen credential can bypass perimeter controls; a compromised supplier can create a trusted path into several organizations; and AI can make fraudulent communications more convincing. The strongest security strategy is therefore layered resilience: reduce exposure, make identity difficult to abuse, detect abnormal behavior quickly, limit lateral movement and maintain the ability to recover without depending on the attacker.</w:t>
      </w:r>
    </w:p>
    <w:p>
      <w:pPr>
        <w:pStyle w:val="Heading1"/>
      </w:pPr>
      <w:r>
        <w:t>9. Conclusion</w:t>
      </w:r>
    </w:p>
    <w:p>
      <w:r>
        <w:t>The 2025–2026 threat environment shows a clear shift toward speed, identity abuse and exploitation of trusted relationships. Vulnerability exploitation, ransomware/extortion and identity compromise represent the most urgent risks, while supply-chain attacks and AI-enabled social engineering are important growth areas. DDoS and nation-state activity remain significant depending on the organization's sector and geopolitical exposure.</w:t>
      </w:r>
    </w:p>
    <w:p>
      <w:r>
        <w:t>Organizations that focus only on perimeter security are likely to remain exposed. A mature defense program should combine rapid vulnerability management, phishing-resistant authentication, least privilege, endpoint and cloud monitoring, third-party governance, tested backups and continuous threat intelligence. These measures directly address the attack patterns repeatedly identified by independent government, industry and incident-response sources.</w:t>
      </w:r>
    </w:p>
    <w:p>
      <w:pPr>
        <w:pStyle w:val="Heading1"/>
      </w:pPr>
      <w:r>
        <w:t>10. Sources Consulted</w:t>
      </w:r>
    </w:p>
    <w:p>
      <w:pPr>
        <w:spacing w:after="80"/>
      </w:pPr>
      <w:r>
        <w:rPr>
          <w:b/>
        </w:rPr>
        <w:t xml:space="preserve">CISA –  #StopRansomware Guide. </w:t>
      </w:r>
      <w:r>
        <w:t xml:space="preserve">Ransomware prevention, response, MFA, backups, zero trust and common initial-access vectors. </w:t>
      </w:r>
      <w:hyperlink r:id="rId10">
        <w:r>
          <w:rPr>
            <w:color w:val="0563C1"/>
            <w:u w:val="single"/>
          </w:rPr>
          <w:t>Source</w:t>
        </w:r>
      </w:hyperlink>
    </w:p>
    <w:p>
      <w:pPr>
        <w:spacing w:after="80"/>
      </w:pPr>
      <w:r>
        <w:rPr>
          <w:b/>
        </w:rPr>
        <w:t xml:space="preserve">CISA / FBI / ASD's ACSC –  #StopRansomware: Play Ransomware. </w:t>
      </w:r>
      <w:r>
        <w:t xml:space="preserve">Current Play ransomware TTPs, IOCs and mitigations; revised June 4, 2025. </w:t>
      </w:r>
      <w:hyperlink r:id="rId11">
        <w:r>
          <w:rPr>
            <w:color w:val="0563C1"/>
            <w:u w:val="single"/>
          </w:rPr>
          <w:t>Source</w:t>
        </w:r>
      </w:hyperlink>
    </w:p>
    <w:p>
      <w:pPr>
        <w:spacing w:after="80"/>
      </w:pPr>
      <w:r>
        <w:rPr>
          <w:b/>
        </w:rPr>
        <w:t xml:space="preserve">Microsoft – Microsoft Digital Defense Report 2025. </w:t>
      </w:r>
      <w:r>
        <w:t xml:space="preserve">Global threat trends, ransomware/extortion, identity, cloud, AI and nation-state activity. </w:t>
      </w:r>
      <w:hyperlink r:id="rId12">
        <w:r>
          <w:rPr>
            <w:color w:val="0563C1"/>
            <w:u w:val="single"/>
          </w:rPr>
          <w:t>Source</w:t>
        </w:r>
      </w:hyperlink>
    </w:p>
    <w:p>
      <w:pPr>
        <w:spacing w:after="80"/>
      </w:pPr>
      <w:r>
        <w:rPr>
          <w:b/>
        </w:rPr>
        <w:t xml:space="preserve">Verizon – 2026 Data Breach Investigations Report. </w:t>
      </w:r>
      <w:r>
        <w:t xml:space="preserve">Breach entry points, vulnerability exploitation, supply-chain risk, mobile social engineering and AI-related trends. </w:t>
      </w:r>
      <w:hyperlink r:id="rId13">
        <w:r>
          <w:rPr>
            <w:color w:val="0563C1"/>
            <w:u w:val="single"/>
          </w:rPr>
          <w:t>Source</w:t>
        </w:r>
      </w:hyperlink>
    </w:p>
    <w:p>
      <w:pPr>
        <w:spacing w:after="80"/>
      </w:pPr>
      <w:r>
        <w:rPr>
          <w:b/>
        </w:rPr>
        <w:t xml:space="preserve">Verizon – 2025 Data Breach Investigations Report. </w:t>
      </w:r>
      <w:r>
        <w:t xml:space="preserve">Ransomware, vulnerability exploitation, third-party involvement and social engineering trends. </w:t>
      </w:r>
      <w:hyperlink r:id="rId14">
        <w:r>
          <w:rPr>
            <w:color w:val="0563C1"/>
            <w:u w:val="single"/>
          </w:rPr>
          <w:t>Source</w:t>
        </w:r>
      </w:hyperlink>
    </w:p>
    <w:p>
      <w:pPr>
        <w:spacing w:after="80"/>
      </w:pPr>
      <w:r>
        <w:rPr>
          <w:b/>
        </w:rPr>
        <w:t xml:space="preserve">IBM X-Force – 2026 X-Force Threat Intelligence Index. </w:t>
      </w:r>
      <w:r>
        <w:t xml:space="preserve">Public-facing application exploitation, identity threats, supply-chain risk and ransomware ecosystem trends. </w:t>
      </w:r>
      <w:hyperlink r:id="rId15">
        <w:r>
          <w:rPr>
            <w:color w:val="0563C1"/>
            <w:u w:val="single"/>
          </w:rPr>
          <w:t>Source</w:t>
        </w:r>
      </w:hyperlink>
    </w:p>
    <w:p>
      <w:pPr>
        <w:spacing w:after="80"/>
      </w:pPr>
      <w:r>
        <w:rPr>
          <w:b/>
        </w:rPr>
        <w:t xml:space="preserve">Google Cloud / Mandiant – M-Trends 2025. </w:t>
      </w:r>
      <w:r>
        <w:t xml:space="preserve">Incident-response findings on initial access, attacker motivation and targeted industries. </w:t>
      </w:r>
      <w:hyperlink r:id="rId16">
        <w:r>
          <w:rPr>
            <w:color w:val="0563C1"/>
            <w:u w:val="single"/>
          </w:rPr>
          <w:t>Source</w:t>
        </w:r>
      </w:hyperlink>
    </w:p>
    <w:p>
      <w:pPr>
        <w:spacing w:after="80"/>
      </w:pPr>
      <w:r>
        <w:rPr>
          <w:b/>
        </w:rPr>
        <w:t xml:space="preserve">ENISA – ENISA Threat Landscape 2025. </w:t>
      </w:r>
      <w:r>
        <w:t xml:space="preserve">European threat trends including DDoS, hacktivism, supply-chain access and AI-driven threats. </w:t>
      </w:r>
      <w:hyperlink r:id="rId17">
        <w:r>
          <w:rPr>
            <w:color w:val="0563C1"/>
            <w:u w:val="single"/>
          </w:rPr>
          <w:t>Source</w:t>
        </w:r>
      </w:hyperlink>
    </w:p>
    <w:p>
      <w:pPr>
        <w:spacing w:after="80"/>
      </w:pPr>
      <w:r>
        <w:rPr>
          <w:b/>
        </w:rPr>
        <w:t xml:space="preserve">Sophos – The State of Ransomware 2025. </w:t>
      </w:r>
      <w:r>
        <w:t xml:space="preserve">Ransomware causes, recovery costs, operational factors and victim experience across 17 countries. </w:t>
      </w:r>
      <w:hyperlink r:id="rId18">
        <w:r>
          <w:rPr>
            <w:color w:val="0563C1"/>
            <w:u w:val="single"/>
          </w:rPr>
          <w:t>Source</w:t>
        </w:r>
      </w:hyperlink>
    </w:p>
    <w:p/>
    <w:p>
      <w:r>
        <w:rPr>
          <w:b/>
        </w:rPr>
        <w:t xml:space="preserve">Note on research quality: </w:t>
      </w:r>
      <w:r>
        <w:t>Statistics in this report are reproduced or paraphrased from the cited publications. Reporting periods and methodologies differ, so figures from different sources are used for trend validation rather than direct statistical comparison.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Cyber Threat Intelligence Report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cisa.gov/stopransomware/ransomware-guide" TargetMode="External"/><Relationship Id="rId11" Type="http://schemas.openxmlformats.org/officeDocument/2006/relationships/hyperlink" Target="https://www.cisa.gov/news-events/cybersecurity-advisories/aa23-352a" TargetMode="External"/><Relationship Id="rId12" Type="http://schemas.openxmlformats.org/officeDocument/2006/relationships/hyperlink" Target="https://www.microsoft.com/en-us/security/security-insider/threat-landscape/microsoft-digital-defense-report-2025" TargetMode="External"/><Relationship Id="rId13" Type="http://schemas.openxmlformats.org/officeDocument/2006/relationships/hyperlink" Target="https://www.verizon.com/about/news/breach-industry-wide-dbir-finds" TargetMode="External"/><Relationship Id="rId14" Type="http://schemas.openxmlformats.org/officeDocument/2006/relationships/hyperlink" Target="https://www.verizon.com/about/news/2025-data-breach-investigations-report-emea" TargetMode="External"/><Relationship Id="rId15" Type="http://schemas.openxmlformats.org/officeDocument/2006/relationships/hyperlink" Target="https://www.ibm.com/think/x-force/threat-intelligence-index-2026-securing-identities-ai-detection-risk-management" TargetMode="External"/><Relationship Id="rId16" Type="http://schemas.openxmlformats.org/officeDocument/2006/relationships/hyperlink" Target="https://cloud.google.com/blog/topics/threat-intelligence/m-trends-2025" TargetMode="External"/><Relationship Id="rId17" Type="http://schemas.openxmlformats.org/officeDocument/2006/relationships/hyperlink" Target="https://www.enisa.europa.eu/sites/default/files/2025-10/ENISA%20Threat%20Landscape%202025_0.pdf" TargetMode="External"/><Relationship Id="rId18" Type="http://schemas.openxmlformats.org/officeDocument/2006/relationships/hyperlink" Target="https://www.sophos.com/en-gb/content/state-of-ransom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