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07D19"/>
          <w:sz w:val="24"/>
        </w:rPr>
        <w:t>WEEK 5 CYBERSECURITY TASK</w:t>
      </w:r>
    </w:p>
    <w:p>
      <w:pPr>
        <w:jc w:val="center"/>
      </w:pPr>
      <w:r>
        <w:rPr>
          <w:b/>
          <w:color w:val="19375A"/>
          <w:sz w:val="48"/>
        </w:rPr>
        <w:t>Penetration Testing Preparedness</w:t>
        <w:br/>
        <w:t>and System Hardening Recommendations</w:t>
      </w:r>
    </w:p>
    <w:p>
      <w:pPr>
        <w:jc w:val="center"/>
      </w:pPr>
      <w:r>
        <w:rPr>
          <w:i/>
          <w:sz w:val="24"/>
        </w:rPr>
        <w:t>Comprehensive Security Assessment Plan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9375A"/>
          </w:tcPr>
          <w:p>
            <w:r/>
            <w:r>
              <w:rPr>
                <w:b/>
                <w:color w:val="FFFFFF"/>
                <w:sz w:val="20"/>
              </w:rPr>
              <w:t>Prepared For</w:t>
            </w:r>
          </w:p>
        </w:tc>
        <w:tc>
          <w:tcPr>
            <w:tcW w:type="dxa" w:w="4968"/>
            <w:vAlign w:val="center"/>
          </w:tcPr>
          <w:p>
            <w:r/>
            <w:r>
              <w:rPr>
                <w:b w:val="0"/>
                <w:sz w:val="20"/>
              </w:rPr>
              <w:t>Cybersecurity Assessment / Week 5 Task</w:t>
            </w:r>
          </w:p>
        </w:tc>
      </w:tr>
      <w:tr>
        <w:tc>
          <w:tcPr>
            <w:tcW w:type="dxa" w:w="4968"/>
            <w:vAlign w:val="center"/>
            <w:shd w:fill="19375A"/>
          </w:tcPr>
          <w:p>
            <w:r/>
            <w:r>
              <w:rPr>
                <w:b/>
                <w:color w:val="FFFFFF"/>
                <w:sz w:val="20"/>
              </w:rPr>
              <w:t>Role</w:t>
            </w:r>
          </w:p>
        </w:tc>
        <w:tc>
          <w:tcPr>
            <w:tcW w:type="dxa" w:w="4968"/>
            <w:vAlign w:val="center"/>
          </w:tcPr>
          <w:p>
            <w:r/>
            <w:r>
              <w:rPr>
                <w:b w:val="0"/>
                <w:sz w:val="20"/>
              </w:rPr>
              <w:t>Cyber Security Analyst</w:t>
            </w:r>
          </w:p>
        </w:tc>
      </w:tr>
      <w:tr>
        <w:tc>
          <w:tcPr>
            <w:tcW w:type="dxa" w:w="4968"/>
            <w:vAlign w:val="center"/>
            <w:shd w:fill="19375A"/>
          </w:tcPr>
          <w:p>
            <w:r/>
            <w:r>
              <w:rPr>
                <w:b/>
                <w:color w:val="FFFFFF"/>
                <w:sz w:val="20"/>
              </w:rPr>
              <w:t>Document Type</w:t>
            </w:r>
          </w:p>
        </w:tc>
        <w:tc>
          <w:tcPr>
            <w:tcW w:type="dxa" w:w="4968"/>
            <w:vAlign w:val="center"/>
          </w:tcPr>
          <w:p>
            <w:r/>
            <w:r>
              <w:rPr>
                <w:b w:val="0"/>
                <w:sz w:val="20"/>
              </w:rPr>
              <w:t>Penetration Testing Preparedness &amp; Hardening Report</w:t>
            </w:r>
          </w:p>
        </w:tc>
      </w:tr>
      <w:tr>
        <w:tc>
          <w:tcPr>
            <w:tcW w:type="dxa" w:w="4968"/>
            <w:vAlign w:val="center"/>
            <w:shd w:fill="19375A"/>
          </w:tcPr>
          <w:p>
            <w:r/>
            <w:r>
              <w:rPr>
                <w:b/>
                <w:color w:val="FFFFFF"/>
                <w:sz w:val="20"/>
              </w:rPr>
              <w:t>Assessment Context</w:t>
            </w:r>
          </w:p>
        </w:tc>
        <w:tc>
          <w:tcPr>
            <w:tcW w:type="dxa" w:w="4968"/>
            <w:vAlign w:val="center"/>
          </w:tcPr>
          <w:p>
            <w:r/>
            <w:r>
              <w:rPr>
                <w:b w:val="0"/>
                <w:sz w:val="20"/>
              </w:rPr>
              <w:t>Authorized organizational environment (planning exercise)</w:t>
            </w:r>
          </w:p>
        </w:tc>
      </w:tr>
      <w:tr>
        <w:tc>
          <w:tcPr>
            <w:tcW w:type="dxa" w:w="4968"/>
            <w:vAlign w:val="center"/>
            <w:shd w:fill="19375A"/>
          </w:tcPr>
          <w:p>
            <w:r/>
            <w:r>
              <w:rPr>
                <w:b/>
                <w:color w:val="FFFFFF"/>
                <w:sz w:val="20"/>
              </w:rPr>
              <w:t>Date</w:t>
            </w:r>
          </w:p>
        </w:tc>
        <w:tc>
          <w:tcPr>
            <w:tcW w:type="dxa" w:w="4968"/>
            <w:vAlign w:val="center"/>
          </w:tcPr>
          <w:p>
            <w:r/>
            <w:r>
              <w:rPr>
                <w:b w:val="0"/>
                <w:sz w:val="20"/>
              </w:rPr>
              <w:t>18 September 2026</w:t>
            </w:r>
          </w:p>
        </w:tc>
      </w:tr>
    </w:tbl>
    <w:p/>
    <w:p>
      <w:pPr>
        <w:jc w:val="center"/>
      </w:pPr>
      <w:r>
        <w:rPr>
          <w:b/>
          <w:sz w:val="20"/>
        </w:rPr>
        <w:t>Confidentiality Notice</w:t>
      </w:r>
    </w:p>
    <w:p>
      <w:pPr>
        <w:jc w:val="center"/>
      </w:pPr>
      <w:r>
        <w:rPr>
          <w:sz w:val="18"/>
        </w:rPr>
        <w:t>This document is a security-planning deliverable. Any real penetration test must be conducted only with written authorization, defined scope, approved testing windows, and appropriate evidence-handling controls.</w:t>
      </w:r>
    </w:p>
    <w:p>
      <w:r>
        <w:br w:type="page"/>
      </w:r>
    </w:p>
    <w:p>
      <w:pPr>
        <w:pStyle w:val="Heading1"/>
        <w:spacing w:before="200" w:after="100"/>
      </w:pPr>
      <w:r>
        <w:t>1. Executive Summary</w:t>
      </w:r>
    </w:p>
    <w:p>
      <w:pPr>
        <w:spacing w:after="120" w:line="259" w:lineRule="auto"/>
      </w:pPr>
      <w:r>
        <w:t>Penetration testing is a controlled security assessment used to identify weaknesses that could be abused by an attacker and to validate whether preventive and detective controls work as intended. NIST SP 800-115 describes information security testing as a process that should be planned, conducted, analyzed, and followed by mitigation activities. This report translates that principle into a practical preparedness plan covering scope, rules of engagement, reconnaissance, vulnerability assessment, controlled validation, risk analysis, remediation, retesting, and reporting.</w:t>
      </w:r>
    </w:p>
    <w:p>
      <w:pPr>
        <w:spacing w:after="120" w:line="259" w:lineRule="auto"/>
      </w:pPr>
      <w:r>
        <w:t>The proposed assessment follows a risk-based approach. Testing begins with authorization and asset identification, continues through passive and active reconnaissance, vulnerability discovery, controlled validation, and evidence collection, and concludes with a management-ready report. The objective is not to exploit systems for its own sake, but to produce actionable evidence that helps the organization reduce exposure while protecting availability, confidentiality, and integrity.</w:t>
      </w:r>
    </w:p>
    <w:p>
      <w:pPr>
        <w:spacing w:after="120" w:line="259" w:lineRule="auto"/>
      </w:pPr>
      <w:r>
        <w:t>System hardening is treated as a continuous process rather than a one-time activity. The recommendations in this report focus on secure configuration, timely patching, least-privilege access, strong authentication, network segmentation, logging and monitoring, backup protection, endpoint security, application security, and vulnerability management. CIS Controls emphasize secure configurations, access control, continuous vulnerability management, and audit logging as practical safeguards for reducing common attack opportunities.</w:t>
      </w:r>
    </w:p>
    <w:p>
      <w:pPr>
        <w:pStyle w:val="Heading1"/>
        <w:spacing w:before="200" w:after="100"/>
      </w:pPr>
      <w:r>
        <w:t>2. Assessment Objectives</w:t>
      </w:r>
    </w:p>
    <w:p>
      <w:pPr>
        <w:pStyle w:val="ListBullet"/>
        <w:spacing w:after="60"/>
      </w:pPr>
      <w:r>
        <w:t>Establish a documented and authorized penetration testing plan before any technical testing begins.</w:t>
      </w:r>
    </w:p>
    <w:p>
      <w:pPr>
        <w:pStyle w:val="ListBullet"/>
        <w:spacing w:after="60"/>
      </w:pPr>
      <w:r>
        <w:t>Identify exposed assets, services, applications, accounts, configurations, and security controls within the approved scope.</w:t>
      </w:r>
    </w:p>
    <w:p>
      <w:pPr>
        <w:pStyle w:val="ListBullet"/>
        <w:spacing w:after="60"/>
      </w:pPr>
      <w:r>
        <w:t>Discover vulnerabilities using a combination of reconnaissance, automated scanning, manual validation, and configuration review.</w:t>
      </w:r>
    </w:p>
    <w:p>
      <w:pPr>
        <w:pStyle w:val="ListBullet"/>
        <w:spacing w:after="60"/>
      </w:pPr>
      <w:r>
        <w:t>Safely validate whether significant findings are practically exploitable without causing unnecessary disruption or data loss.</w:t>
      </w:r>
    </w:p>
    <w:p>
      <w:pPr>
        <w:pStyle w:val="ListBullet"/>
        <w:spacing w:after="60"/>
      </w:pPr>
      <w:r>
        <w:t>Assess the likely business impact of vulnerabilities and prioritize remediation according to risk.</w:t>
      </w:r>
    </w:p>
    <w:p>
      <w:pPr>
        <w:pStyle w:val="ListBullet"/>
        <w:spacing w:after="60"/>
      </w:pPr>
      <w:r>
        <w:t>Recommend practical hardening measures for configuration, patch management, authentication, access control, network security, applications, endpoints, and monitoring.</w:t>
      </w:r>
    </w:p>
    <w:p>
      <w:pPr>
        <w:pStyle w:val="ListBullet"/>
        <w:spacing w:after="60"/>
      </w:pPr>
      <w:r>
        <w:t>Define evidence, reporting, remediation tracking, and retesting requirements so that findings can be closed and verified.</w:t>
      </w:r>
    </w:p>
    <w:p>
      <w:pPr>
        <w:pStyle w:val="Heading1"/>
        <w:spacing w:before="200" w:after="100"/>
      </w:pPr>
      <w:r>
        <w:t>3. Scope and Rules of Engagement</w:t>
      </w:r>
    </w:p>
    <w:p>
      <w:pPr>
        <w:spacing w:after="120" w:line="259" w:lineRule="auto"/>
      </w:pPr>
      <w:r>
        <w:t>Because this is a planning deliverable rather than an assessment of a named live environment, the scope below is a reusable template. For an actual engagement, every target must be explicitly listed and approved before testing starts.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9375A"/>
          </w:tcPr>
          <w:p>
            <w:r/>
            <w:r>
              <w:rPr>
                <w:b/>
                <w:color w:val="FFFFFF"/>
                <w:sz w:val="18"/>
              </w:rPr>
              <w:t>Area</w:t>
            </w:r>
          </w:p>
        </w:tc>
        <w:tc>
          <w:tcPr>
            <w:tcW w:type="dxa" w:w="2484"/>
            <w:vAlign w:val="center"/>
            <w:shd w:fill="19375A"/>
          </w:tcPr>
          <w:p>
            <w:r/>
            <w:r>
              <w:rPr>
                <w:b/>
                <w:color w:val="FFFFFF"/>
                <w:sz w:val="18"/>
              </w:rPr>
              <w:t>In Scope Example</w:t>
            </w:r>
          </w:p>
        </w:tc>
        <w:tc>
          <w:tcPr>
            <w:tcW w:type="dxa" w:w="2484"/>
            <w:vAlign w:val="center"/>
            <w:shd w:fill="19375A"/>
          </w:tcPr>
          <w:p>
            <w:r/>
            <w:r>
              <w:rPr>
                <w:b/>
                <w:color w:val="FFFFFF"/>
                <w:sz w:val="18"/>
              </w:rPr>
              <w:t>Out of Scope Example</w:t>
            </w:r>
          </w:p>
        </w:tc>
        <w:tc>
          <w:tcPr>
            <w:tcW w:type="dxa" w:w="2484"/>
            <w:vAlign w:val="center"/>
            <w:shd w:fill="19375A"/>
          </w:tcPr>
          <w:p>
            <w:r/>
            <w:r>
              <w:rPr>
                <w:b/>
                <w:color w:val="FFFFFF"/>
                <w:sz w:val="18"/>
              </w:rPr>
              <w:t>Approval Requirement</w:t>
            </w:r>
          </w:p>
        </w:tc>
      </w:tr>
      <w:tr>
        <w:tc>
          <w:tcPr>
            <w:tcW w:type="dxa" w:w="2484"/>
            <w:vAlign w:val="center"/>
          </w:tcPr>
          <w:p>
            <w:r/>
            <w:r>
              <w:rPr>
                <w:b w:val="0"/>
                <w:sz w:val="17"/>
              </w:rPr>
              <w:t>Network</w:t>
            </w:r>
          </w:p>
        </w:tc>
        <w:tc>
          <w:tcPr>
            <w:tcW w:type="dxa" w:w="2484"/>
            <w:vAlign w:val="center"/>
          </w:tcPr>
          <w:p>
            <w:r/>
            <w:r>
              <w:rPr>
                <w:b w:val="0"/>
                <w:sz w:val="17"/>
              </w:rPr>
              <w:t>Approved IP ranges, firewalls, VPN gateways</w:t>
            </w:r>
          </w:p>
        </w:tc>
        <w:tc>
          <w:tcPr>
            <w:tcW w:type="dxa" w:w="2484"/>
            <w:vAlign w:val="center"/>
          </w:tcPr>
          <w:p>
            <w:r/>
            <w:r>
              <w:rPr>
                <w:b w:val="0"/>
                <w:sz w:val="17"/>
              </w:rPr>
              <w:t>Third-party networks not owned/authorized</w:t>
            </w:r>
          </w:p>
        </w:tc>
        <w:tc>
          <w:tcPr>
            <w:tcW w:type="dxa" w:w="2484"/>
            <w:vAlign w:val="center"/>
          </w:tcPr>
          <w:p>
            <w:r/>
            <w:r>
              <w:rPr>
                <w:b w:val="0"/>
                <w:sz w:val="17"/>
              </w:rPr>
              <w:t>Written scope</w:t>
            </w:r>
          </w:p>
        </w:tc>
      </w:tr>
      <w:tr>
        <w:tc>
          <w:tcPr>
            <w:tcW w:type="dxa" w:w="2484"/>
            <w:vAlign w:val="center"/>
          </w:tcPr>
          <w:p>
            <w:r/>
            <w:r>
              <w:rPr>
                <w:b w:val="0"/>
                <w:sz w:val="17"/>
              </w:rPr>
              <w:t>Applications</w:t>
            </w:r>
          </w:p>
        </w:tc>
        <w:tc>
          <w:tcPr>
            <w:tcW w:type="dxa" w:w="2484"/>
            <w:vAlign w:val="center"/>
          </w:tcPr>
          <w:p>
            <w:r/>
            <w:r>
              <w:rPr>
                <w:b w:val="0"/>
                <w:sz w:val="17"/>
              </w:rPr>
              <w:t>Approved web/mobile/API applications</w:t>
            </w:r>
          </w:p>
        </w:tc>
        <w:tc>
          <w:tcPr>
            <w:tcW w:type="dxa" w:w="2484"/>
            <w:vAlign w:val="center"/>
          </w:tcPr>
          <w:p>
            <w:r/>
            <w:r>
              <w:rPr>
                <w:b w:val="0"/>
                <w:sz w:val="17"/>
              </w:rPr>
              <w:t>Unapproved production systems</w:t>
            </w:r>
          </w:p>
        </w:tc>
        <w:tc>
          <w:tcPr>
            <w:tcW w:type="dxa" w:w="2484"/>
            <w:vAlign w:val="center"/>
          </w:tcPr>
          <w:p>
            <w:r/>
            <w:r>
              <w:rPr>
                <w:b w:val="0"/>
                <w:sz w:val="17"/>
              </w:rPr>
              <w:t>Application owner approval</w:t>
            </w:r>
          </w:p>
        </w:tc>
      </w:tr>
      <w:tr>
        <w:tc>
          <w:tcPr>
            <w:tcW w:type="dxa" w:w="2484"/>
            <w:vAlign w:val="center"/>
          </w:tcPr>
          <w:p>
            <w:r/>
            <w:r>
              <w:rPr>
                <w:b w:val="0"/>
                <w:sz w:val="17"/>
              </w:rPr>
              <w:t>Identity</w:t>
            </w:r>
          </w:p>
        </w:tc>
        <w:tc>
          <w:tcPr>
            <w:tcW w:type="dxa" w:w="2484"/>
            <w:vAlign w:val="center"/>
          </w:tcPr>
          <w:p>
            <w:r/>
            <w:r>
              <w:rPr>
                <w:b w:val="0"/>
                <w:sz w:val="17"/>
              </w:rPr>
              <w:t>Test accounts and approved privilege paths</w:t>
            </w:r>
          </w:p>
        </w:tc>
        <w:tc>
          <w:tcPr>
            <w:tcW w:type="dxa" w:w="2484"/>
            <w:vAlign w:val="center"/>
          </w:tcPr>
          <w:p>
            <w:r/>
            <w:r>
              <w:rPr>
                <w:b w:val="0"/>
                <w:sz w:val="17"/>
              </w:rPr>
              <w:t>Employee personal accounts</w:t>
            </w:r>
          </w:p>
        </w:tc>
        <w:tc>
          <w:tcPr>
            <w:tcW w:type="dxa" w:w="2484"/>
            <w:vAlign w:val="center"/>
          </w:tcPr>
          <w:p>
            <w:r/>
            <w:r>
              <w:rPr>
                <w:b w:val="0"/>
                <w:sz w:val="17"/>
              </w:rPr>
              <w:t>IAM/security approval</w:t>
            </w:r>
          </w:p>
        </w:tc>
      </w:tr>
      <w:tr>
        <w:tc>
          <w:tcPr>
            <w:tcW w:type="dxa" w:w="2484"/>
            <w:vAlign w:val="center"/>
          </w:tcPr>
          <w:p>
            <w:r/>
            <w:r>
              <w:rPr>
                <w:b w:val="0"/>
                <w:sz w:val="17"/>
              </w:rPr>
              <w:t>Cloud</w:t>
            </w:r>
          </w:p>
        </w:tc>
        <w:tc>
          <w:tcPr>
            <w:tcW w:type="dxa" w:w="2484"/>
            <w:vAlign w:val="center"/>
          </w:tcPr>
          <w:p>
            <w:r/>
            <w:r>
              <w:rPr>
                <w:b w:val="0"/>
                <w:sz w:val="17"/>
              </w:rPr>
              <w:t>Approved subscriptions/accounts/resources</w:t>
            </w:r>
          </w:p>
        </w:tc>
        <w:tc>
          <w:tcPr>
            <w:tcW w:type="dxa" w:w="2484"/>
            <w:vAlign w:val="center"/>
          </w:tcPr>
          <w:p>
            <w:r/>
            <w:r>
              <w:rPr>
                <w:b w:val="0"/>
                <w:sz w:val="17"/>
              </w:rPr>
              <w:t>Provider-managed infrastructure outside contract</w:t>
            </w:r>
          </w:p>
        </w:tc>
        <w:tc>
          <w:tcPr>
            <w:tcW w:type="dxa" w:w="2484"/>
            <w:vAlign w:val="center"/>
          </w:tcPr>
          <w:p>
            <w:r/>
            <w:r>
              <w:rPr>
                <w:b w:val="0"/>
                <w:sz w:val="17"/>
              </w:rPr>
              <w:t>Cloud owner approval</w:t>
            </w:r>
          </w:p>
        </w:tc>
      </w:tr>
      <w:tr>
        <w:tc>
          <w:tcPr>
            <w:tcW w:type="dxa" w:w="2484"/>
            <w:vAlign w:val="center"/>
          </w:tcPr>
          <w:p>
            <w:r/>
            <w:r>
              <w:rPr>
                <w:b w:val="0"/>
                <w:sz w:val="17"/>
              </w:rPr>
              <w:t>Social engineering</w:t>
            </w:r>
          </w:p>
        </w:tc>
        <w:tc>
          <w:tcPr>
            <w:tcW w:type="dxa" w:w="2484"/>
            <w:vAlign w:val="center"/>
          </w:tcPr>
          <w:p>
            <w:r/>
            <w:r>
              <w:rPr>
                <w:b w:val="0"/>
                <w:sz w:val="17"/>
              </w:rPr>
              <w:t>Only if explicitly authorized</w:t>
            </w:r>
          </w:p>
        </w:tc>
        <w:tc>
          <w:tcPr>
            <w:tcW w:type="dxa" w:w="2484"/>
            <w:vAlign w:val="center"/>
          </w:tcPr>
          <w:p>
            <w:r/>
            <w:r>
              <w:rPr>
                <w:b w:val="0"/>
                <w:sz w:val="17"/>
              </w:rPr>
              <w:t>Unapproved phishing or impersonation</w:t>
            </w:r>
          </w:p>
        </w:tc>
        <w:tc>
          <w:tcPr>
            <w:tcW w:type="dxa" w:w="2484"/>
            <w:vAlign w:val="center"/>
          </w:tcPr>
          <w:p>
            <w:r/>
            <w:r>
              <w:rPr>
                <w:b w:val="0"/>
                <w:sz w:val="17"/>
              </w:rPr>
              <w:t>Executive/legal approval</w:t>
            </w:r>
          </w:p>
        </w:tc>
      </w:tr>
    </w:tbl>
    <w:p>
      <w:pPr>
        <w:pStyle w:val="Heading2"/>
        <w:spacing w:before="200" w:after="100"/>
      </w:pPr>
      <w:r>
        <w:t>3.1 Rules of Engagement</w:t>
      </w:r>
    </w:p>
    <w:p>
      <w:pPr>
        <w:pStyle w:val="ListBullet"/>
        <w:spacing w:after="60"/>
      </w:pPr>
      <w:r>
        <w:t>Obtain written authorization identifying the organization, testing team, dates, targets, permitted techniques, and emergency contacts.</w:t>
      </w:r>
    </w:p>
    <w:p>
      <w:pPr>
        <w:pStyle w:val="ListBullet"/>
        <w:spacing w:after="60"/>
      </w:pPr>
      <w:r>
        <w:t>Define prohibited activities such as destructive actions, denial-of-service testing, data deletion, uncontrolled credential attacks, or testing against third-party systems.</w:t>
      </w:r>
    </w:p>
    <w:p>
      <w:pPr>
        <w:pStyle w:val="ListBullet"/>
        <w:spacing w:after="60"/>
      </w:pPr>
      <w:r>
        <w:t>Use dedicated test accounts and synthetic data wherever possible; never intentionally access unnecessary personal or confidential data.</w:t>
      </w:r>
    </w:p>
    <w:p>
      <w:pPr>
        <w:pStyle w:val="ListBullet"/>
        <w:spacing w:after="60"/>
      </w:pPr>
      <w:r>
        <w:t>Establish stop conditions. Testing should pause if a system becomes unstable, sensitive information is exposed unexpectedly, or the agreed scope is exceeded.</w:t>
      </w:r>
    </w:p>
    <w:p>
      <w:pPr>
        <w:pStyle w:val="ListBullet"/>
        <w:spacing w:after="60"/>
      </w:pPr>
      <w:r>
        <w:t>Protect evidence. Store screenshots, logs, scanner output, and notes in an access-controlled location and remove unnecessary sensitive data from the final report.</w:t>
      </w:r>
    </w:p>
    <w:p>
      <w:pPr>
        <w:pStyle w:val="ListBullet"/>
        <w:spacing w:after="60"/>
      </w:pPr>
      <w:r>
        <w:t>Notify the designated contact immediately for critical discoveries or signs of active compromise.</w:t>
      </w:r>
    </w:p>
    <w:p>
      <w:pPr>
        <w:pStyle w:val="ListBullet"/>
        <w:spacing w:after="60"/>
      </w:pPr>
      <w:r>
        <w:t>Perform cleanup at the end of testing: remove temporary accounts, files, tokens, test configurations, and other artifacts created by the assessment.</w:t>
      </w:r>
    </w:p>
    <w:p>
      <w:pPr>
        <w:pStyle w:val="Heading1"/>
        <w:spacing w:before="200" w:after="100"/>
      </w:pPr>
      <w:r>
        <w:t>4. Penetration Testing Methodology</w:t>
      </w:r>
    </w:p>
    <w:p>
      <w:pPr>
        <w:spacing w:after="120" w:line="259" w:lineRule="auto"/>
      </w:pPr>
      <w:r>
        <w:t>The methodology combines the planning principles in NIST SP 800-115 with the web-application testing structure provided by the OWASP Web Security Testing Guide (WSTG). The process is divided into five major stages: preparation, reconnaissance, vulnerability discovery, controlled validation, and reporting/remediation.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9375A"/>
          </w:tcPr>
          <w:p>
            <w:r/>
            <w:r>
              <w:rPr>
                <w:b/>
                <w:color w:val="FFFFFF"/>
                <w:sz w:val="18"/>
              </w:rPr>
              <w:t>Phase</w:t>
            </w:r>
          </w:p>
        </w:tc>
        <w:tc>
          <w:tcPr>
            <w:tcW w:type="dxa" w:w="2484"/>
            <w:vAlign w:val="center"/>
            <w:shd w:fill="19375A"/>
          </w:tcPr>
          <w:p>
            <w:r/>
            <w:r>
              <w:rPr>
                <w:b/>
                <w:color w:val="FFFFFF"/>
                <w:sz w:val="18"/>
              </w:rPr>
              <w:t>Activities</w:t>
            </w:r>
          </w:p>
        </w:tc>
        <w:tc>
          <w:tcPr>
            <w:tcW w:type="dxa" w:w="2484"/>
            <w:vAlign w:val="center"/>
            <w:shd w:fill="19375A"/>
          </w:tcPr>
          <w:p>
            <w:r/>
            <w:r>
              <w:rPr>
                <w:b/>
                <w:color w:val="FFFFFF"/>
                <w:sz w:val="18"/>
              </w:rPr>
              <w:t>Outputs</w:t>
            </w:r>
          </w:p>
        </w:tc>
        <w:tc>
          <w:tcPr>
            <w:tcW w:type="dxa" w:w="2484"/>
            <w:vAlign w:val="center"/>
            <w:shd w:fill="19375A"/>
          </w:tcPr>
          <w:p>
            <w:r/>
            <w:r>
              <w:rPr>
                <w:b/>
                <w:color w:val="FFFFFF"/>
                <w:sz w:val="18"/>
              </w:rPr>
              <w:t>Exit Criteria</w:t>
            </w:r>
          </w:p>
        </w:tc>
      </w:tr>
      <w:tr>
        <w:tc>
          <w:tcPr>
            <w:tcW w:type="dxa" w:w="2484"/>
            <w:vAlign w:val="center"/>
          </w:tcPr>
          <w:p>
            <w:r/>
            <w:r>
              <w:rPr>
                <w:b w:val="0"/>
                <w:sz w:val="17"/>
              </w:rPr>
              <w:t>1. Preparation</w:t>
            </w:r>
          </w:p>
        </w:tc>
        <w:tc>
          <w:tcPr>
            <w:tcW w:type="dxa" w:w="2484"/>
            <w:vAlign w:val="center"/>
          </w:tcPr>
          <w:p>
            <w:r/>
            <w:r>
              <w:rPr>
                <w:b w:val="0"/>
                <w:sz w:val="17"/>
              </w:rPr>
              <w:t>Authorization, scope, contacts, test window, backups, success criteria</w:t>
            </w:r>
          </w:p>
        </w:tc>
        <w:tc>
          <w:tcPr>
            <w:tcW w:type="dxa" w:w="2484"/>
            <w:vAlign w:val="center"/>
          </w:tcPr>
          <w:p>
            <w:r/>
            <w:r>
              <w:rPr>
                <w:b w:val="0"/>
                <w:sz w:val="17"/>
              </w:rPr>
              <w:t>Rules of engagement, asset list</w:t>
            </w:r>
          </w:p>
        </w:tc>
        <w:tc>
          <w:tcPr>
            <w:tcW w:type="dxa" w:w="2484"/>
            <w:vAlign w:val="center"/>
          </w:tcPr>
          <w:p>
            <w:r/>
            <w:r>
              <w:rPr>
                <w:b w:val="0"/>
                <w:sz w:val="17"/>
              </w:rPr>
              <w:t>All approvals complete</w:t>
            </w:r>
          </w:p>
        </w:tc>
      </w:tr>
      <w:tr>
        <w:tc>
          <w:tcPr>
            <w:tcW w:type="dxa" w:w="2484"/>
            <w:vAlign w:val="center"/>
          </w:tcPr>
          <w:p>
            <w:r/>
            <w:r>
              <w:rPr>
                <w:b w:val="0"/>
                <w:sz w:val="17"/>
              </w:rPr>
              <w:t>2. Reconnaissance</w:t>
            </w:r>
          </w:p>
        </w:tc>
        <w:tc>
          <w:tcPr>
            <w:tcW w:type="dxa" w:w="2484"/>
            <w:vAlign w:val="center"/>
          </w:tcPr>
          <w:p>
            <w:r/>
            <w:r>
              <w:rPr>
                <w:b w:val="0"/>
                <w:sz w:val="17"/>
              </w:rPr>
              <w:t>Passive discovery, asset mapping, technology identification, attack-surface review</w:t>
            </w:r>
          </w:p>
        </w:tc>
        <w:tc>
          <w:tcPr>
            <w:tcW w:type="dxa" w:w="2484"/>
            <w:vAlign w:val="center"/>
          </w:tcPr>
          <w:p>
            <w:r/>
            <w:r>
              <w:rPr>
                <w:b w:val="0"/>
                <w:sz w:val="17"/>
              </w:rPr>
              <w:t>Attack-surface map</w:t>
            </w:r>
          </w:p>
        </w:tc>
        <w:tc>
          <w:tcPr>
            <w:tcW w:type="dxa" w:w="2484"/>
            <w:vAlign w:val="center"/>
          </w:tcPr>
          <w:p>
            <w:r/>
            <w:r>
              <w:rPr>
                <w:b w:val="0"/>
                <w:sz w:val="17"/>
              </w:rPr>
              <w:t>Scope confirmed</w:t>
            </w:r>
          </w:p>
        </w:tc>
      </w:tr>
      <w:tr>
        <w:tc>
          <w:tcPr>
            <w:tcW w:type="dxa" w:w="2484"/>
            <w:vAlign w:val="center"/>
          </w:tcPr>
          <w:p>
            <w:r/>
            <w:r>
              <w:rPr>
                <w:b w:val="0"/>
                <w:sz w:val="17"/>
              </w:rPr>
              <w:t>3. Vulnerability Discovery</w:t>
            </w:r>
          </w:p>
        </w:tc>
        <w:tc>
          <w:tcPr>
            <w:tcW w:type="dxa" w:w="2484"/>
            <w:vAlign w:val="center"/>
          </w:tcPr>
          <w:p>
            <w:r/>
            <w:r>
              <w:rPr>
                <w:b w:val="0"/>
                <w:sz w:val="17"/>
              </w:rPr>
              <w:t>Scanning, configuration checks, application tests, manual review</w:t>
            </w:r>
          </w:p>
        </w:tc>
        <w:tc>
          <w:tcPr>
            <w:tcW w:type="dxa" w:w="2484"/>
            <w:vAlign w:val="center"/>
          </w:tcPr>
          <w:p>
            <w:r/>
            <w:r>
              <w:rPr>
                <w:b w:val="0"/>
                <w:sz w:val="17"/>
              </w:rPr>
              <w:t>Validated candidate findings</w:t>
            </w:r>
          </w:p>
        </w:tc>
        <w:tc>
          <w:tcPr>
            <w:tcW w:type="dxa" w:w="2484"/>
            <w:vAlign w:val="center"/>
          </w:tcPr>
          <w:p>
            <w:r/>
            <w:r>
              <w:rPr>
                <w:b w:val="0"/>
                <w:sz w:val="17"/>
              </w:rPr>
              <w:t>Evidence collected</w:t>
            </w:r>
          </w:p>
        </w:tc>
      </w:tr>
      <w:tr>
        <w:tc>
          <w:tcPr>
            <w:tcW w:type="dxa" w:w="2484"/>
            <w:vAlign w:val="center"/>
          </w:tcPr>
          <w:p>
            <w:r/>
            <w:r>
              <w:rPr>
                <w:b w:val="0"/>
                <w:sz w:val="17"/>
              </w:rPr>
              <w:t>4. Controlled Validation</w:t>
            </w:r>
          </w:p>
        </w:tc>
        <w:tc>
          <w:tcPr>
            <w:tcW w:type="dxa" w:w="2484"/>
            <w:vAlign w:val="center"/>
          </w:tcPr>
          <w:p>
            <w:r/>
            <w:r>
              <w:rPr>
                <w:b w:val="0"/>
                <w:sz w:val="17"/>
              </w:rPr>
              <w:t>Safe proof-of-concept and impact validation within limits</w:t>
            </w:r>
          </w:p>
        </w:tc>
        <w:tc>
          <w:tcPr>
            <w:tcW w:type="dxa" w:w="2484"/>
            <w:vAlign w:val="center"/>
          </w:tcPr>
          <w:p>
            <w:r/>
            <w:r>
              <w:rPr>
                <w:b w:val="0"/>
                <w:sz w:val="17"/>
              </w:rPr>
              <w:t>Reproducible evidence</w:t>
            </w:r>
          </w:p>
        </w:tc>
        <w:tc>
          <w:tcPr>
            <w:tcW w:type="dxa" w:w="2484"/>
            <w:vAlign w:val="center"/>
          </w:tcPr>
          <w:p>
            <w:r/>
            <w:r>
              <w:rPr>
                <w:b w:val="0"/>
                <w:sz w:val="17"/>
              </w:rPr>
              <w:t>Risk understood</w:t>
            </w:r>
          </w:p>
        </w:tc>
      </w:tr>
      <w:tr>
        <w:tc>
          <w:tcPr>
            <w:tcW w:type="dxa" w:w="2484"/>
            <w:vAlign w:val="center"/>
          </w:tcPr>
          <w:p>
            <w:r/>
            <w:r>
              <w:rPr>
                <w:b w:val="0"/>
                <w:sz w:val="17"/>
              </w:rPr>
              <w:t>5. Reporting &amp; Retest</w:t>
            </w:r>
          </w:p>
        </w:tc>
        <w:tc>
          <w:tcPr>
            <w:tcW w:type="dxa" w:w="2484"/>
            <w:vAlign w:val="center"/>
          </w:tcPr>
          <w:p>
            <w:r/>
            <w:r>
              <w:rPr>
                <w:b w:val="0"/>
                <w:sz w:val="17"/>
              </w:rPr>
              <w:t>Risk rating, remediation plan, management report, retesting</w:t>
            </w:r>
          </w:p>
        </w:tc>
        <w:tc>
          <w:tcPr>
            <w:tcW w:type="dxa" w:w="2484"/>
            <w:vAlign w:val="center"/>
          </w:tcPr>
          <w:p>
            <w:r/>
            <w:r>
              <w:rPr>
                <w:b w:val="0"/>
                <w:sz w:val="17"/>
              </w:rPr>
              <w:t>Final report and closure record</w:t>
            </w:r>
          </w:p>
        </w:tc>
        <w:tc>
          <w:tcPr>
            <w:tcW w:type="dxa" w:w="2484"/>
            <w:vAlign w:val="center"/>
          </w:tcPr>
          <w:p>
            <w:r/>
            <w:r>
              <w:rPr>
                <w:b w:val="0"/>
                <w:sz w:val="17"/>
              </w:rPr>
              <w:t>Findings tracked/verified</w:t>
            </w:r>
          </w:p>
        </w:tc>
      </w:tr>
    </w:tbl>
    <w:p>
      <w:pPr>
        <w:pStyle w:val="Heading2"/>
        <w:spacing w:before="200" w:after="100"/>
      </w:pPr>
      <w:r>
        <w:t>4.1 Reconnaissance</w:t>
      </w:r>
    </w:p>
    <w:p>
      <w:pPr>
        <w:spacing w:after="120" w:line="259" w:lineRule="auto"/>
      </w:pPr>
      <w:r>
        <w:t>Reconnaissance establishes what exists before deeper testing begins. Passive reconnaissance may review approved documentation, DNS records, certificate information, public-facing technology information, and organizational asset inventories. Active reconnaissance, when authorized, can identify reachable hosts, services, application entry points, and protocol exposure. The key output is an accurate attack-surface inventory, not a collection of unverified assumptions.</w:t>
      </w:r>
    </w:p>
    <w:p>
      <w:pPr>
        <w:pStyle w:val="ListBullet"/>
        <w:spacing w:after="60"/>
      </w:pPr>
      <w:r>
        <w:t>Confirm ownership and authorization for every discovered asset before continuing.</w:t>
      </w:r>
    </w:p>
    <w:p>
      <w:pPr>
        <w:pStyle w:val="ListBullet"/>
        <w:spacing w:after="60"/>
      </w:pPr>
      <w:r>
        <w:t>Identify public-facing services, administrative interfaces, APIs, remote access services, and exposed cloud resources.</w:t>
      </w:r>
    </w:p>
    <w:p>
      <w:pPr>
        <w:pStyle w:val="ListBullet"/>
        <w:spacing w:after="60"/>
      </w:pPr>
      <w:r>
        <w:t>Record software versions and technology fingerprints where they can be collected safely.</w:t>
      </w:r>
    </w:p>
    <w:p>
      <w:pPr>
        <w:pStyle w:val="ListBullet"/>
        <w:spacing w:after="60"/>
      </w:pPr>
      <w:r>
        <w:t>Map application entry points, authentication boundaries, roles, and sensitive functions.</w:t>
      </w:r>
    </w:p>
    <w:p>
      <w:pPr>
        <w:pStyle w:val="Heading2"/>
        <w:spacing w:before="200" w:after="100"/>
      </w:pPr>
      <w:r>
        <w:t>4.2 Vulnerability Scanning and Analysis</w:t>
      </w:r>
    </w:p>
    <w:p>
      <w:pPr>
        <w:spacing w:after="120" w:line="259" w:lineRule="auto"/>
      </w:pPr>
      <w:r>
        <w:t>Automated scanning is useful for breadth but should not be treated as a final verdict. Scanner results must be reviewed for false positives, affected versions, business context, compensating controls, and exploitability. Manual testing is then used to validate important findings and identify logic or configuration weaknesses that automated tools may miss.</w:t>
      </w:r>
    </w:p>
    <w:p>
      <w:pPr>
        <w:pStyle w:val="ListBullet"/>
        <w:spacing w:after="60"/>
      </w:pPr>
      <w:r>
        <w:t>Prioritize internet-facing and business-critical assets first.</w:t>
      </w:r>
    </w:p>
    <w:p>
      <w:pPr>
        <w:pStyle w:val="ListBullet"/>
        <w:spacing w:after="60"/>
      </w:pPr>
      <w:r>
        <w:t>Correlate scanner results with asset inventory and patch/version information.</w:t>
      </w:r>
    </w:p>
    <w:p>
      <w:pPr>
        <w:pStyle w:val="ListBullet"/>
        <w:spacing w:after="60"/>
      </w:pPr>
      <w:r>
        <w:t>Validate high-impact findings manually before assigning final severity.</w:t>
      </w:r>
    </w:p>
    <w:p>
      <w:pPr>
        <w:pStyle w:val="ListBullet"/>
        <w:spacing w:after="60"/>
      </w:pPr>
      <w:r>
        <w:t>Record evidence and affected components for each finding.</w:t>
      </w:r>
    </w:p>
    <w:p>
      <w:pPr>
        <w:pStyle w:val="ListBullet"/>
        <w:spacing w:after="60"/>
      </w:pPr>
      <w:r>
        <w:t>Avoid aggressive settings that could cause service disruption unless explicitly approved.</w:t>
      </w:r>
    </w:p>
    <w:p>
      <w:pPr>
        <w:pStyle w:val="Heading2"/>
        <w:spacing w:before="200" w:after="100"/>
      </w:pPr>
      <w:r>
        <w:t>4.3 Controlled Exploitation / Validation</w:t>
      </w:r>
    </w:p>
    <w:p>
      <w:pPr>
        <w:spacing w:after="120" w:line="259" w:lineRule="auto"/>
      </w:pPr>
      <w:r>
        <w:t>Exploitation should be limited to the minimum proof necessary to demonstrate impact. A controlled proof of concept can confirm whether a vulnerability is actually reachable and whether security boundaries can be crossed, while avoiding destructive actions. For example, a test may demonstrate access to a non-sensitive test record rather than extracting a production database.</w:t>
      </w:r>
    </w:p>
    <w:p>
      <w:pPr>
        <w:pStyle w:val="ListBullet"/>
        <w:spacing w:after="60"/>
      </w:pPr>
      <w:r>
        <w:t>Use non-destructive validation whenever possible.</w:t>
      </w:r>
    </w:p>
    <w:p>
      <w:pPr>
        <w:pStyle w:val="ListBullet"/>
        <w:spacing w:after="60"/>
      </w:pPr>
      <w:r>
        <w:t>Do not deploy persistent malware, ransomware, destructive payloads, or uncontrolled denial-of-service activity.</w:t>
      </w:r>
    </w:p>
    <w:p>
      <w:pPr>
        <w:pStyle w:val="ListBullet"/>
        <w:spacing w:after="60"/>
      </w:pPr>
      <w:r>
        <w:t>Stop once sufficient evidence has been collected to establish impact.</w:t>
      </w:r>
    </w:p>
    <w:p>
      <w:pPr>
        <w:pStyle w:val="ListBullet"/>
        <w:spacing w:after="60"/>
      </w:pPr>
      <w:r>
        <w:t>Document timestamps, affected assets, test account, technique category, and observed result.</w:t>
      </w:r>
    </w:p>
    <w:p>
      <w:pPr>
        <w:pStyle w:val="Heading2"/>
        <w:spacing w:before="200" w:after="100"/>
      </w:pPr>
      <w:r>
        <w:t>4.4 Reporting</w:t>
      </w:r>
    </w:p>
    <w:p>
      <w:pPr>
        <w:spacing w:after="120" w:line="259" w:lineRule="auto"/>
      </w:pPr>
      <w:r>
        <w:t>The final report should serve both management and technical teams. OWASP recommends a structure that clearly communicates overall risk and gives engineers enough information to understand and remediate individual findings. Each finding should contain the affected asset, technical description, evidence, severity, business impact, remediation, and relevant references.</w:t>
      </w:r>
    </w:p>
    <w:p>
      <w:pPr>
        <w:pStyle w:val="Heading1"/>
        <w:spacing w:before="200" w:after="100"/>
      </w:pPr>
      <w:r>
        <w:t>5. Testing Process and Evaluation Criteria</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9375A"/>
          </w:tcPr>
          <w:p>
            <w:r/>
            <w:r>
              <w:rPr>
                <w:b/>
                <w:color w:val="FFFFFF"/>
                <w:sz w:val="18"/>
              </w:rPr>
              <w:t>Evaluation Area</w:t>
            </w:r>
          </w:p>
        </w:tc>
        <w:tc>
          <w:tcPr>
            <w:tcW w:type="dxa" w:w="3312"/>
            <w:vAlign w:val="center"/>
            <w:shd w:fill="19375A"/>
          </w:tcPr>
          <w:p>
            <w:r/>
            <w:r>
              <w:rPr>
                <w:b/>
                <w:color w:val="FFFFFF"/>
                <w:sz w:val="18"/>
              </w:rPr>
              <w:t>Key Question</w:t>
            </w:r>
          </w:p>
        </w:tc>
        <w:tc>
          <w:tcPr>
            <w:tcW w:type="dxa" w:w="3312"/>
            <w:vAlign w:val="center"/>
            <w:shd w:fill="19375A"/>
          </w:tcPr>
          <w:p>
            <w:r/>
            <w:r>
              <w:rPr>
                <w:b/>
                <w:color w:val="FFFFFF"/>
                <w:sz w:val="18"/>
              </w:rPr>
              <w:t>Evidence / Metric</w:t>
            </w:r>
          </w:p>
        </w:tc>
      </w:tr>
      <w:tr>
        <w:tc>
          <w:tcPr>
            <w:tcW w:type="dxa" w:w="3312"/>
            <w:vAlign w:val="center"/>
          </w:tcPr>
          <w:p>
            <w:r/>
            <w:r>
              <w:rPr>
                <w:b w:val="0"/>
                <w:sz w:val="17"/>
              </w:rPr>
              <w:t>Coverage</w:t>
            </w:r>
          </w:p>
        </w:tc>
        <w:tc>
          <w:tcPr>
            <w:tcW w:type="dxa" w:w="3312"/>
            <w:vAlign w:val="center"/>
          </w:tcPr>
          <w:p>
            <w:r/>
            <w:r>
              <w:rPr>
                <w:b w:val="0"/>
                <w:sz w:val="17"/>
              </w:rPr>
              <w:t>Were all approved assets and major attack surfaces assessed?</w:t>
            </w:r>
          </w:p>
        </w:tc>
        <w:tc>
          <w:tcPr>
            <w:tcW w:type="dxa" w:w="3312"/>
            <w:vAlign w:val="center"/>
          </w:tcPr>
          <w:p>
            <w:r/>
            <w:r>
              <w:rPr>
                <w:b w:val="0"/>
                <w:sz w:val="17"/>
              </w:rPr>
              <w:t>Asset/test matrix; coverage percentage</w:t>
            </w:r>
          </w:p>
        </w:tc>
      </w:tr>
      <w:tr>
        <w:tc>
          <w:tcPr>
            <w:tcW w:type="dxa" w:w="3312"/>
            <w:vAlign w:val="center"/>
          </w:tcPr>
          <w:p>
            <w:r/>
            <w:r>
              <w:rPr>
                <w:b w:val="0"/>
                <w:sz w:val="17"/>
              </w:rPr>
              <w:t>Accuracy</w:t>
            </w:r>
          </w:p>
        </w:tc>
        <w:tc>
          <w:tcPr>
            <w:tcW w:type="dxa" w:w="3312"/>
            <w:vAlign w:val="center"/>
          </w:tcPr>
          <w:p>
            <w:r/>
            <w:r>
              <w:rPr>
                <w:b w:val="0"/>
                <w:sz w:val="17"/>
              </w:rPr>
              <w:t>Were important scanner findings manually validated?</w:t>
            </w:r>
          </w:p>
        </w:tc>
        <w:tc>
          <w:tcPr>
            <w:tcW w:type="dxa" w:w="3312"/>
            <w:vAlign w:val="center"/>
          </w:tcPr>
          <w:p>
            <w:r/>
            <w:r>
              <w:rPr>
                <w:b w:val="0"/>
                <w:sz w:val="17"/>
              </w:rPr>
              <w:t>Validation notes; false-positive rate</w:t>
            </w:r>
          </w:p>
        </w:tc>
      </w:tr>
      <w:tr>
        <w:tc>
          <w:tcPr>
            <w:tcW w:type="dxa" w:w="3312"/>
            <w:vAlign w:val="center"/>
          </w:tcPr>
          <w:p>
            <w:r/>
            <w:r>
              <w:rPr>
                <w:b w:val="0"/>
                <w:sz w:val="17"/>
              </w:rPr>
              <w:t>Impact</w:t>
            </w:r>
          </w:p>
        </w:tc>
        <w:tc>
          <w:tcPr>
            <w:tcW w:type="dxa" w:w="3312"/>
            <w:vAlign w:val="center"/>
          </w:tcPr>
          <w:p>
            <w:r/>
            <w:r>
              <w:rPr>
                <w:b w:val="0"/>
                <w:sz w:val="17"/>
              </w:rPr>
              <w:t>Could the finding affect confidentiality, integrity, or availability?</w:t>
            </w:r>
          </w:p>
        </w:tc>
        <w:tc>
          <w:tcPr>
            <w:tcW w:type="dxa" w:w="3312"/>
            <w:vAlign w:val="center"/>
          </w:tcPr>
          <w:p>
            <w:r/>
            <w:r>
              <w:rPr>
                <w:b w:val="0"/>
                <w:sz w:val="17"/>
              </w:rPr>
              <w:t>Observed impact and affected business function</w:t>
            </w:r>
          </w:p>
        </w:tc>
      </w:tr>
      <w:tr>
        <w:tc>
          <w:tcPr>
            <w:tcW w:type="dxa" w:w="3312"/>
            <w:vAlign w:val="center"/>
          </w:tcPr>
          <w:p>
            <w:r/>
            <w:r>
              <w:rPr>
                <w:b w:val="0"/>
                <w:sz w:val="17"/>
              </w:rPr>
              <w:t>Detection</w:t>
            </w:r>
          </w:p>
        </w:tc>
        <w:tc>
          <w:tcPr>
            <w:tcW w:type="dxa" w:w="3312"/>
            <w:vAlign w:val="center"/>
          </w:tcPr>
          <w:p>
            <w:r/>
            <w:r>
              <w:rPr>
                <w:b w:val="0"/>
                <w:sz w:val="17"/>
              </w:rPr>
              <w:t>Did monitoring detect the test activity where expected?</w:t>
            </w:r>
          </w:p>
        </w:tc>
        <w:tc>
          <w:tcPr>
            <w:tcW w:type="dxa" w:w="3312"/>
            <w:vAlign w:val="center"/>
          </w:tcPr>
          <w:p>
            <w:r/>
            <w:r>
              <w:rPr>
                <w:b w:val="0"/>
                <w:sz w:val="17"/>
              </w:rPr>
              <w:t>SIEM/EDR/firewall alerts</w:t>
            </w:r>
          </w:p>
        </w:tc>
      </w:tr>
      <w:tr>
        <w:tc>
          <w:tcPr>
            <w:tcW w:type="dxa" w:w="3312"/>
            <w:vAlign w:val="center"/>
          </w:tcPr>
          <w:p>
            <w:r/>
            <w:r>
              <w:rPr>
                <w:b w:val="0"/>
                <w:sz w:val="17"/>
              </w:rPr>
              <w:t>Remediation</w:t>
            </w:r>
          </w:p>
        </w:tc>
        <w:tc>
          <w:tcPr>
            <w:tcW w:type="dxa" w:w="3312"/>
            <w:vAlign w:val="center"/>
          </w:tcPr>
          <w:p>
            <w:r/>
            <w:r>
              <w:rPr>
                <w:b w:val="0"/>
                <w:sz w:val="17"/>
              </w:rPr>
              <w:t>Are corrective actions specific and owned?</w:t>
            </w:r>
          </w:p>
        </w:tc>
        <w:tc>
          <w:tcPr>
            <w:tcW w:type="dxa" w:w="3312"/>
            <w:vAlign w:val="center"/>
          </w:tcPr>
          <w:p>
            <w:r/>
            <w:r>
              <w:rPr>
                <w:b w:val="0"/>
                <w:sz w:val="17"/>
              </w:rPr>
              <w:t>Owner, due date, status</w:t>
            </w:r>
          </w:p>
        </w:tc>
      </w:tr>
      <w:tr>
        <w:tc>
          <w:tcPr>
            <w:tcW w:type="dxa" w:w="3312"/>
            <w:vAlign w:val="center"/>
          </w:tcPr>
          <w:p>
            <w:r/>
            <w:r>
              <w:rPr>
                <w:b w:val="0"/>
                <w:sz w:val="17"/>
              </w:rPr>
              <w:t>Retesting</w:t>
            </w:r>
          </w:p>
        </w:tc>
        <w:tc>
          <w:tcPr>
            <w:tcW w:type="dxa" w:w="3312"/>
            <w:vAlign w:val="center"/>
          </w:tcPr>
          <w:p>
            <w:r/>
            <w:r>
              <w:rPr>
                <w:b w:val="0"/>
                <w:sz w:val="17"/>
              </w:rPr>
              <w:t>Was remediation verified?</w:t>
            </w:r>
          </w:p>
        </w:tc>
        <w:tc>
          <w:tcPr>
            <w:tcW w:type="dxa" w:w="3312"/>
            <w:vAlign w:val="center"/>
          </w:tcPr>
          <w:p>
            <w:r/>
            <w:r>
              <w:rPr>
                <w:b w:val="0"/>
                <w:sz w:val="17"/>
              </w:rPr>
              <w:t>Retest evidence and closure status</w:t>
            </w:r>
          </w:p>
        </w:tc>
      </w:tr>
    </w:tbl>
    <w:p>
      <w:pPr>
        <w:pStyle w:val="Heading1"/>
        <w:spacing w:before="200" w:after="100"/>
      </w:pPr>
      <w:r>
        <w:t>6. Risk Assessment Framework</w:t>
      </w:r>
    </w:p>
    <w:p>
      <w:pPr>
        <w:spacing w:after="120" w:line="259" w:lineRule="auto"/>
      </w:pPr>
      <w:r>
        <w:t>Risk should be based on both technical severity and business context. A vulnerability with a high technical score may be less urgent on an isolated test asset than a moderate vulnerability affecting an internet-facing system containing sensitive information. Where appropriate, CVSS can be used as a standardized technical severity measure, while business criticality and exposure are used to determine remediation priority.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vAlign w:val="center"/>
            <w:shd w:fill="19375A"/>
          </w:tcPr>
          <w:p>
            <w:r/>
            <w:r>
              <w:rPr>
                <w:b/>
                <w:color w:val="FFFFFF"/>
                <w:sz w:val="17"/>
              </w:rPr>
              <w:t>Risk</w:t>
            </w:r>
          </w:p>
        </w:tc>
        <w:tc>
          <w:tcPr>
            <w:tcW w:type="dxa" w:w="1987"/>
            <w:vAlign w:val="center"/>
            <w:shd w:fill="19375A"/>
          </w:tcPr>
          <w:p>
            <w:r/>
            <w:r>
              <w:rPr>
                <w:b/>
                <w:color w:val="FFFFFF"/>
                <w:sz w:val="17"/>
              </w:rPr>
              <w:t>Typical Characteristics</w:t>
            </w:r>
          </w:p>
        </w:tc>
        <w:tc>
          <w:tcPr>
            <w:tcW w:type="dxa" w:w="1987"/>
            <w:vAlign w:val="center"/>
            <w:shd w:fill="19375A"/>
          </w:tcPr>
          <w:p>
            <w:r/>
            <w:r>
              <w:rPr>
                <w:b/>
                <w:color w:val="FFFFFF"/>
                <w:sz w:val="17"/>
              </w:rPr>
              <w:t>Business Impact</w:t>
            </w:r>
          </w:p>
        </w:tc>
        <w:tc>
          <w:tcPr>
            <w:tcW w:type="dxa" w:w="1987"/>
            <w:vAlign w:val="center"/>
            <w:shd w:fill="19375A"/>
          </w:tcPr>
          <w:p>
            <w:r/>
            <w:r>
              <w:rPr>
                <w:b/>
                <w:color w:val="FFFFFF"/>
                <w:sz w:val="17"/>
              </w:rPr>
              <w:t>Target Response</w:t>
            </w:r>
          </w:p>
        </w:tc>
        <w:tc>
          <w:tcPr>
            <w:tcW w:type="dxa" w:w="1987"/>
            <w:vAlign w:val="center"/>
            <w:shd w:fill="19375A"/>
          </w:tcPr>
          <w:p>
            <w:r/>
            <w:r>
              <w:rPr>
                <w:b/>
                <w:color w:val="FFFFFF"/>
                <w:sz w:val="17"/>
              </w:rPr>
              <w:t>Example</w:t>
            </w:r>
          </w:p>
        </w:tc>
      </w:tr>
      <w:tr>
        <w:tc>
          <w:tcPr>
            <w:tcW w:type="dxa" w:w="1987"/>
            <w:vAlign w:val="center"/>
          </w:tcPr>
          <w:p>
            <w:r/>
            <w:r>
              <w:rPr>
                <w:b w:val="0"/>
                <w:sz w:val="15"/>
              </w:rPr>
              <w:t>Critical</w:t>
            </w:r>
          </w:p>
        </w:tc>
        <w:tc>
          <w:tcPr>
            <w:tcW w:type="dxa" w:w="1987"/>
            <w:vAlign w:val="center"/>
          </w:tcPr>
          <w:p>
            <w:r/>
            <w:r>
              <w:rPr>
                <w:b w:val="0"/>
                <w:sz w:val="15"/>
              </w:rPr>
              <w:t>Severe weakness with credible path to major compromise</w:t>
            </w:r>
          </w:p>
        </w:tc>
        <w:tc>
          <w:tcPr>
            <w:tcW w:type="dxa" w:w="1987"/>
            <w:vAlign w:val="center"/>
          </w:tcPr>
          <w:p>
            <w:r/>
            <w:r>
              <w:rPr>
                <w:b w:val="0"/>
                <w:sz w:val="15"/>
              </w:rPr>
              <w:t>Potential major data loss, service compromise, or broad privilege impact</w:t>
            </w:r>
          </w:p>
        </w:tc>
        <w:tc>
          <w:tcPr>
            <w:tcW w:type="dxa" w:w="1987"/>
            <w:vAlign w:val="center"/>
          </w:tcPr>
          <w:p>
            <w:r/>
            <w:r>
              <w:rPr>
                <w:b w:val="0"/>
                <w:sz w:val="15"/>
              </w:rPr>
              <w:t>Immediate containment and remediation</w:t>
            </w:r>
          </w:p>
        </w:tc>
        <w:tc>
          <w:tcPr>
            <w:tcW w:type="dxa" w:w="1987"/>
            <w:vAlign w:val="center"/>
          </w:tcPr>
          <w:p>
            <w:r/>
            <w:r>
              <w:rPr>
                <w:b w:val="0"/>
                <w:sz w:val="15"/>
              </w:rPr>
              <w:t>Critical exposed service with a verified high-impact weakness</w:t>
            </w:r>
          </w:p>
        </w:tc>
      </w:tr>
      <w:tr>
        <w:tc>
          <w:tcPr>
            <w:tcW w:type="dxa" w:w="1987"/>
            <w:vAlign w:val="center"/>
          </w:tcPr>
          <w:p>
            <w:r/>
            <w:r>
              <w:rPr>
                <w:b w:val="0"/>
                <w:sz w:val="15"/>
              </w:rPr>
              <w:t>High</w:t>
            </w:r>
          </w:p>
        </w:tc>
        <w:tc>
          <w:tcPr>
            <w:tcW w:type="dxa" w:w="1987"/>
            <w:vAlign w:val="center"/>
          </w:tcPr>
          <w:p>
            <w:r/>
            <w:r>
              <w:rPr>
                <w:b w:val="0"/>
                <w:sz w:val="15"/>
              </w:rPr>
              <w:t>Significant exploitable weakness or sensitive exposure</w:t>
            </w:r>
          </w:p>
        </w:tc>
        <w:tc>
          <w:tcPr>
            <w:tcW w:type="dxa" w:w="1987"/>
            <w:vAlign w:val="center"/>
          </w:tcPr>
          <w:p>
            <w:r/>
            <w:r>
              <w:rPr>
                <w:b w:val="0"/>
                <w:sz w:val="15"/>
              </w:rPr>
              <w:t>Material compromise of systems/data or privileged access</w:t>
            </w:r>
          </w:p>
        </w:tc>
        <w:tc>
          <w:tcPr>
            <w:tcW w:type="dxa" w:w="1987"/>
            <w:vAlign w:val="center"/>
          </w:tcPr>
          <w:p>
            <w:r/>
            <w:r>
              <w:rPr>
                <w:b w:val="0"/>
                <w:sz w:val="15"/>
              </w:rPr>
              <w:t>Urgent remediation</w:t>
            </w:r>
          </w:p>
        </w:tc>
        <w:tc>
          <w:tcPr>
            <w:tcW w:type="dxa" w:w="1987"/>
            <w:vAlign w:val="center"/>
          </w:tcPr>
          <w:p>
            <w:r/>
            <w:r>
              <w:rPr>
                <w:b w:val="0"/>
                <w:sz w:val="15"/>
              </w:rPr>
              <w:t>Weak administrative access control on a public-facing service</w:t>
            </w:r>
          </w:p>
        </w:tc>
      </w:tr>
      <w:tr>
        <w:tc>
          <w:tcPr>
            <w:tcW w:type="dxa" w:w="1987"/>
            <w:vAlign w:val="center"/>
          </w:tcPr>
          <w:p>
            <w:r/>
            <w:r>
              <w:rPr>
                <w:b w:val="0"/>
                <w:sz w:val="15"/>
              </w:rPr>
              <w:t>Medium</w:t>
            </w:r>
          </w:p>
        </w:tc>
        <w:tc>
          <w:tcPr>
            <w:tcW w:type="dxa" w:w="1987"/>
            <w:vAlign w:val="center"/>
          </w:tcPr>
          <w:p>
            <w:r/>
            <w:r>
              <w:rPr>
                <w:b w:val="0"/>
                <w:sz w:val="15"/>
              </w:rPr>
              <w:t>Meaningful weakness with limited conditions or impact</w:t>
            </w:r>
          </w:p>
        </w:tc>
        <w:tc>
          <w:tcPr>
            <w:tcW w:type="dxa" w:w="1987"/>
            <w:vAlign w:val="center"/>
          </w:tcPr>
          <w:p>
            <w:r/>
            <w:r>
              <w:rPr>
                <w:b w:val="0"/>
                <w:sz w:val="15"/>
              </w:rPr>
              <w:t>Localized data exposure or increased attack opportunity</w:t>
            </w:r>
          </w:p>
        </w:tc>
        <w:tc>
          <w:tcPr>
            <w:tcW w:type="dxa" w:w="1987"/>
            <w:vAlign w:val="center"/>
          </w:tcPr>
          <w:p>
            <w:r/>
            <w:r>
              <w:rPr>
                <w:b w:val="0"/>
                <w:sz w:val="15"/>
              </w:rPr>
              <w:t>Planned remediation</w:t>
            </w:r>
          </w:p>
        </w:tc>
        <w:tc>
          <w:tcPr>
            <w:tcW w:type="dxa" w:w="1987"/>
            <w:vAlign w:val="center"/>
          </w:tcPr>
          <w:p>
            <w:r/>
            <w:r>
              <w:rPr>
                <w:b w:val="0"/>
                <w:sz w:val="15"/>
              </w:rPr>
              <w:t>Missing hardening control on a non-critical service</w:t>
            </w:r>
          </w:p>
        </w:tc>
      </w:tr>
      <w:tr>
        <w:tc>
          <w:tcPr>
            <w:tcW w:type="dxa" w:w="1987"/>
            <w:vAlign w:val="center"/>
          </w:tcPr>
          <w:p>
            <w:r/>
            <w:r>
              <w:rPr>
                <w:b w:val="0"/>
                <w:sz w:val="15"/>
              </w:rPr>
              <w:t>Low</w:t>
            </w:r>
          </w:p>
        </w:tc>
        <w:tc>
          <w:tcPr>
            <w:tcW w:type="dxa" w:w="1987"/>
            <w:vAlign w:val="center"/>
          </w:tcPr>
          <w:p>
            <w:r/>
            <w:r>
              <w:rPr>
                <w:b w:val="0"/>
                <w:sz w:val="15"/>
              </w:rPr>
              <w:t>Limited impact or defense-in-depth gap</w:t>
            </w:r>
          </w:p>
        </w:tc>
        <w:tc>
          <w:tcPr>
            <w:tcW w:type="dxa" w:w="1987"/>
            <w:vAlign w:val="center"/>
          </w:tcPr>
          <w:p>
            <w:r/>
            <w:r>
              <w:rPr>
                <w:b w:val="0"/>
                <w:sz w:val="15"/>
              </w:rPr>
              <w:t>Small increase in exposure</w:t>
            </w:r>
          </w:p>
        </w:tc>
        <w:tc>
          <w:tcPr>
            <w:tcW w:type="dxa" w:w="1987"/>
            <w:vAlign w:val="center"/>
          </w:tcPr>
          <w:p>
            <w:r/>
            <w:r>
              <w:rPr>
                <w:b w:val="0"/>
                <w:sz w:val="15"/>
              </w:rPr>
              <w:t>Address through normal maintenance</w:t>
            </w:r>
          </w:p>
        </w:tc>
        <w:tc>
          <w:tcPr>
            <w:tcW w:type="dxa" w:w="1987"/>
            <w:vAlign w:val="center"/>
          </w:tcPr>
          <w:p>
            <w:r/>
            <w:r>
              <w:rPr>
                <w:b w:val="0"/>
                <w:sz w:val="15"/>
              </w:rPr>
              <w:t>Minor information disclosure</w:t>
            </w:r>
          </w:p>
        </w:tc>
      </w:tr>
      <w:tr>
        <w:tc>
          <w:tcPr>
            <w:tcW w:type="dxa" w:w="1987"/>
            <w:vAlign w:val="center"/>
          </w:tcPr>
          <w:p>
            <w:r/>
            <w:r>
              <w:rPr>
                <w:b w:val="0"/>
                <w:sz w:val="15"/>
              </w:rPr>
              <w:t>Informational</w:t>
            </w:r>
          </w:p>
        </w:tc>
        <w:tc>
          <w:tcPr>
            <w:tcW w:type="dxa" w:w="1987"/>
            <w:vAlign w:val="center"/>
          </w:tcPr>
          <w:p>
            <w:r/>
            <w:r>
              <w:rPr>
                <w:b w:val="0"/>
                <w:sz w:val="15"/>
              </w:rPr>
              <w:t>Observation without direct security impact</w:t>
            </w:r>
          </w:p>
        </w:tc>
        <w:tc>
          <w:tcPr>
            <w:tcW w:type="dxa" w:w="1987"/>
            <w:vAlign w:val="center"/>
          </w:tcPr>
          <w:p>
            <w:r/>
            <w:r>
              <w:rPr>
                <w:b w:val="0"/>
                <w:sz w:val="15"/>
              </w:rPr>
              <w:t>Minimal/no direct impact</w:t>
            </w:r>
          </w:p>
        </w:tc>
        <w:tc>
          <w:tcPr>
            <w:tcW w:type="dxa" w:w="1987"/>
            <w:vAlign w:val="center"/>
          </w:tcPr>
          <w:p>
            <w:r/>
            <w:r>
              <w:rPr>
                <w:b w:val="0"/>
                <w:sz w:val="15"/>
              </w:rPr>
              <w:t>Track if useful</w:t>
            </w:r>
          </w:p>
        </w:tc>
        <w:tc>
          <w:tcPr>
            <w:tcW w:type="dxa" w:w="1987"/>
            <w:vAlign w:val="center"/>
          </w:tcPr>
          <w:p>
            <w:r/>
            <w:r>
              <w:rPr>
                <w:b w:val="0"/>
                <w:sz w:val="15"/>
              </w:rPr>
              <w:t>Non-sensitive configuration observation</w:t>
            </w:r>
          </w:p>
        </w:tc>
      </w:tr>
    </w:tbl>
    <w:p>
      <w:pPr>
        <w:pStyle w:val="Heading2"/>
        <w:spacing w:before="200" w:after="100"/>
      </w:pPr>
      <w:r>
        <w:t>6.1 Illustrative Findings Register</w:t>
      </w:r>
    </w:p>
    <w:p>
      <w:pPr>
        <w:spacing w:after="120" w:line="259" w:lineRule="auto"/>
      </w:pPr>
      <w:r>
        <w:t>The following are hypothetical examples for the assessment plan; they are not claims that these vulnerabilities exist in the organization.</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vAlign w:val="center"/>
            <w:shd w:fill="19375A"/>
          </w:tcPr>
          <w:p>
            <w:r/>
            <w:r>
              <w:rPr>
                <w:b/>
                <w:color w:val="FFFFFF"/>
                <w:sz w:val="16"/>
              </w:rPr>
              <w:t>ID</w:t>
            </w:r>
          </w:p>
        </w:tc>
        <w:tc>
          <w:tcPr>
            <w:tcW w:type="dxa" w:w="1656"/>
            <w:vAlign w:val="center"/>
            <w:shd w:fill="19375A"/>
          </w:tcPr>
          <w:p>
            <w:r/>
            <w:r>
              <w:rPr>
                <w:b/>
                <w:color w:val="FFFFFF"/>
                <w:sz w:val="16"/>
              </w:rPr>
              <w:t>Hypothetical Finding</w:t>
            </w:r>
          </w:p>
        </w:tc>
        <w:tc>
          <w:tcPr>
            <w:tcW w:type="dxa" w:w="1656"/>
            <w:vAlign w:val="center"/>
            <w:shd w:fill="19375A"/>
          </w:tcPr>
          <w:p>
            <w:r/>
            <w:r>
              <w:rPr>
                <w:b/>
                <w:color w:val="FFFFFF"/>
                <w:sz w:val="16"/>
              </w:rPr>
              <w:t>Severity</w:t>
            </w:r>
          </w:p>
        </w:tc>
        <w:tc>
          <w:tcPr>
            <w:tcW w:type="dxa" w:w="1656"/>
            <w:vAlign w:val="center"/>
            <w:shd w:fill="19375A"/>
          </w:tcPr>
          <w:p>
            <w:r/>
            <w:r>
              <w:rPr>
                <w:b/>
                <w:color w:val="FFFFFF"/>
                <w:sz w:val="16"/>
              </w:rPr>
              <w:t>Likelihood</w:t>
            </w:r>
          </w:p>
        </w:tc>
        <w:tc>
          <w:tcPr>
            <w:tcW w:type="dxa" w:w="1656"/>
            <w:vAlign w:val="center"/>
            <w:shd w:fill="19375A"/>
          </w:tcPr>
          <w:p>
            <w:r/>
            <w:r>
              <w:rPr>
                <w:b/>
                <w:color w:val="FFFFFF"/>
                <w:sz w:val="16"/>
              </w:rPr>
              <w:t>Impact</w:t>
            </w:r>
          </w:p>
        </w:tc>
        <w:tc>
          <w:tcPr>
            <w:tcW w:type="dxa" w:w="1656"/>
            <w:vAlign w:val="center"/>
            <w:shd w:fill="19375A"/>
          </w:tcPr>
          <w:p>
            <w:r/>
            <w:r>
              <w:rPr>
                <w:b/>
                <w:color w:val="FFFFFF"/>
                <w:sz w:val="16"/>
              </w:rPr>
              <w:t>Priority Action</w:t>
            </w:r>
          </w:p>
        </w:tc>
      </w:tr>
      <w:tr>
        <w:tc>
          <w:tcPr>
            <w:tcW w:type="dxa" w:w="1656"/>
            <w:vAlign w:val="center"/>
          </w:tcPr>
          <w:p>
            <w:r/>
            <w:r>
              <w:rPr>
                <w:b w:val="0"/>
                <w:sz w:val="15"/>
              </w:rPr>
              <w:t>PT-01</w:t>
            </w:r>
          </w:p>
        </w:tc>
        <w:tc>
          <w:tcPr>
            <w:tcW w:type="dxa" w:w="1656"/>
            <w:vAlign w:val="center"/>
          </w:tcPr>
          <w:p>
            <w:r/>
            <w:r>
              <w:rPr>
                <w:b w:val="0"/>
                <w:sz w:val="15"/>
              </w:rPr>
              <w:t>Unsupported software version on an internet-facing server</w:t>
            </w:r>
          </w:p>
        </w:tc>
        <w:tc>
          <w:tcPr>
            <w:tcW w:type="dxa" w:w="1656"/>
            <w:vAlign w:val="center"/>
          </w:tcPr>
          <w:p>
            <w:r/>
            <w:r>
              <w:rPr>
                <w:b w:val="0"/>
                <w:sz w:val="15"/>
              </w:rPr>
              <w:t>High</w:t>
            </w:r>
          </w:p>
        </w:tc>
        <w:tc>
          <w:tcPr>
            <w:tcW w:type="dxa" w:w="1656"/>
            <w:vAlign w:val="center"/>
          </w:tcPr>
          <w:p>
            <w:r/>
            <w:r>
              <w:rPr>
                <w:b w:val="0"/>
                <w:sz w:val="15"/>
              </w:rPr>
              <w:t>High</w:t>
            </w:r>
          </w:p>
        </w:tc>
        <w:tc>
          <w:tcPr>
            <w:tcW w:type="dxa" w:w="1656"/>
            <w:vAlign w:val="center"/>
          </w:tcPr>
          <w:p>
            <w:r/>
            <w:r>
              <w:rPr>
                <w:b w:val="0"/>
                <w:sz w:val="15"/>
              </w:rPr>
              <w:t>High</w:t>
            </w:r>
          </w:p>
        </w:tc>
        <w:tc>
          <w:tcPr>
            <w:tcW w:type="dxa" w:w="1656"/>
            <w:vAlign w:val="center"/>
          </w:tcPr>
          <w:p>
            <w:r/>
            <w:r>
              <w:rPr>
                <w:b w:val="0"/>
                <w:sz w:val="15"/>
              </w:rPr>
              <w:t>Patch/upgrade and verify exposure</w:t>
            </w:r>
          </w:p>
        </w:tc>
      </w:tr>
      <w:tr>
        <w:tc>
          <w:tcPr>
            <w:tcW w:type="dxa" w:w="1656"/>
            <w:vAlign w:val="center"/>
          </w:tcPr>
          <w:p>
            <w:r/>
            <w:r>
              <w:rPr>
                <w:b w:val="0"/>
                <w:sz w:val="15"/>
              </w:rPr>
              <w:t>PT-02</w:t>
            </w:r>
          </w:p>
        </w:tc>
        <w:tc>
          <w:tcPr>
            <w:tcW w:type="dxa" w:w="1656"/>
            <w:vAlign w:val="center"/>
          </w:tcPr>
          <w:p>
            <w:r/>
            <w:r>
              <w:rPr>
                <w:b w:val="0"/>
                <w:sz w:val="15"/>
              </w:rPr>
              <w:t>Excessive administrative privileges for a standard role</w:t>
            </w:r>
          </w:p>
        </w:tc>
        <w:tc>
          <w:tcPr>
            <w:tcW w:type="dxa" w:w="1656"/>
            <w:vAlign w:val="center"/>
          </w:tcPr>
          <w:p>
            <w:r/>
            <w:r>
              <w:rPr>
                <w:b w:val="0"/>
                <w:sz w:val="15"/>
              </w:rPr>
              <w:t>High</w:t>
            </w:r>
          </w:p>
        </w:tc>
        <w:tc>
          <w:tcPr>
            <w:tcW w:type="dxa" w:w="1656"/>
            <w:vAlign w:val="center"/>
          </w:tcPr>
          <w:p>
            <w:r/>
            <w:r>
              <w:rPr>
                <w:b w:val="0"/>
                <w:sz w:val="15"/>
              </w:rPr>
              <w:t>Medium</w:t>
            </w:r>
          </w:p>
        </w:tc>
        <w:tc>
          <w:tcPr>
            <w:tcW w:type="dxa" w:w="1656"/>
            <w:vAlign w:val="center"/>
          </w:tcPr>
          <w:p>
            <w:r/>
            <w:r>
              <w:rPr>
                <w:b w:val="0"/>
                <w:sz w:val="15"/>
              </w:rPr>
              <w:t>High</w:t>
            </w:r>
          </w:p>
        </w:tc>
        <w:tc>
          <w:tcPr>
            <w:tcW w:type="dxa" w:w="1656"/>
            <w:vAlign w:val="center"/>
          </w:tcPr>
          <w:p>
            <w:r/>
            <w:r>
              <w:rPr>
                <w:b w:val="0"/>
                <w:sz w:val="15"/>
              </w:rPr>
              <w:t>Apply least privilege and review role design</w:t>
            </w:r>
          </w:p>
        </w:tc>
      </w:tr>
      <w:tr>
        <w:tc>
          <w:tcPr>
            <w:tcW w:type="dxa" w:w="1656"/>
            <w:vAlign w:val="center"/>
          </w:tcPr>
          <w:p>
            <w:r/>
            <w:r>
              <w:rPr>
                <w:b w:val="0"/>
                <w:sz w:val="15"/>
              </w:rPr>
              <w:t>PT-03</w:t>
            </w:r>
          </w:p>
        </w:tc>
        <w:tc>
          <w:tcPr>
            <w:tcW w:type="dxa" w:w="1656"/>
            <w:vAlign w:val="center"/>
          </w:tcPr>
          <w:p>
            <w:r/>
            <w:r>
              <w:rPr>
                <w:b w:val="0"/>
                <w:sz w:val="15"/>
              </w:rPr>
              <w:t>Missing security headers on a public web application</w:t>
            </w:r>
          </w:p>
        </w:tc>
        <w:tc>
          <w:tcPr>
            <w:tcW w:type="dxa" w:w="1656"/>
            <w:vAlign w:val="center"/>
          </w:tcPr>
          <w:p>
            <w:r/>
            <w:r>
              <w:rPr>
                <w:b w:val="0"/>
                <w:sz w:val="15"/>
              </w:rPr>
              <w:t>Medium</w:t>
            </w:r>
          </w:p>
        </w:tc>
        <w:tc>
          <w:tcPr>
            <w:tcW w:type="dxa" w:w="1656"/>
            <w:vAlign w:val="center"/>
          </w:tcPr>
          <w:p>
            <w:r/>
            <w:r>
              <w:rPr>
                <w:b w:val="0"/>
                <w:sz w:val="15"/>
              </w:rPr>
              <w:t>Medium</w:t>
            </w:r>
          </w:p>
        </w:tc>
        <w:tc>
          <w:tcPr>
            <w:tcW w:type="dxa" w:w="1656"/>
            <w:vAlign w:val="center"/>
          </w:tcPr>
          <w:p>
            <w:r/>
            <w:r>
              <w:rPr>
                <w:b w:val="0"/>
                <w:sz w:val="15"/>
              </w:rPr>
              <w:t>Medium</w:t>
            </w:r>
          </w:p>
        </w:tc>
        <w:tc>
          <w:tcPr>
            <w:tcW w:type="dxa" w:w="1656"/>
            <w:vAlign w:val="center"/>
          </w:tcPr>
          <w:p>
            <w:r/>
            <w:r>
              <w:rPr>
                <w:b w:val="0"/>
                <w:sz w:val="15"/>
              </w:rPr>
              <w:t>Implement secure headers and regression test</w:t>
            </w:r>
          </w:p>
        </w:tc>
      </w:tr>
      <w:tr>
        <w:tc>
          <w:tcPr>
            <w:tcW w:type="dxa" w:w="1656"/>
            <w:vAlign w:val="center"/>
          </w:tcPr>
          <w:p>
            <w:r/>
            <w:r>
              <w:rPr>
                <w:b w:val="0"/>
                <w:sz w:val="15"/>
              </w:rPr>
              <w:t>PT-04</w:t>
            </w:r>
          </w:p>
        </w:tc>
        <w:tc>
          <w:tcPr>
            <w:tcW w:type="dxa" w:w="1656"/>
            <w:vAlign w:val="center"/>
          </w:tcPr>
          <w:p>
            <w:r/>
            <w:r>
              <w:rPr>
                <w:b w:val="0"/>
                <w:sz w:val="15"/>
              </w:rPr>
              <w:t>Verbose error messages reveal implementation details</w:t>
            </w:r>
          </w:p>
        </w:tc>
        <w:tc>
          <w:tcPr>
            <w:tcW w:type="dxa" w:w="1656"/>
            <w:vAlign w:val="center"/>
          </w:tcPr>
          <w:p>
            <w:r/>
            <w:r>
              <w:rPr>
                <w:b w:val="0"/>
                <w:sz w:val="15"/>
              </w:rPr>
              <w:t>Low</w:t>
            </w:r>
          </w:p>
        </w:tc>
        <w:tc>
          <w:tcPr>
            <w:tcW w:type="dxa" w:w="1656"/>
            <w:vAlign w:val="center"/>
          </w:tcPr>
          <w:p>
            <w:r/>
            <w:r>
              <w:rPr>
                <w:b w:val="0"/>
                <w:sz w:val="15"/>
              </w:rPr>
              <w:t>Medium</w:t>
            </w:r>
          </w:p>
        </w:tc>
        <w:tc>
          <w:tcPr>
            <w:tcW w:type="dxa" w:w="1656"/>
            <w:vAlign w:val="center"/>
          </w:tcPr>
          <w:p>
            <w:r/>
            <w:r>
              <w:rPr>
                <w:b w:val="0"/>
                <w:sz w:val="15"/>
              </w:rPr>
              <w:t>Low</w:t>
            </w:r>
          </w:p>
        </w:tc>
        <w:tc>
          <w:tcPr>
            <w:tcW w:type="dxa" w:w="1656"/>
            <w:vAlign w:val="center"/>
          </w:tcPr>
          <w:p>
            <w:r/>
            <w:r>
              <w:rPr>
                <w:b w:val="0"/>
                <w:sz w:val="15"/>
              </w:rPr>
              <w:t>Use generic production errors and log details securely</w:t>
            </w:r>
          </w:p>
        </w:tc>
      </w:tr>
      <w:tr>
        <w:tc>
          <w:tcPr>
            <w:tcW w:type="dxa" w:w="1656"/>
            <w:vAlign w:val="center"/>
          </w:tcPr>
          <w:p>
            <w:r/>
            <w:r>
              <w:rPr>
                <w:b w:val="0"/>
                <w:sz w:val="15"/>
              </w:rPr>
              <w:t>PT-05</w:t>
            </w:r>
          </w:p>
        </w:tc>
        <w:tc>
          <w:tcPr>
            <w:tcW w:type="dxa" w:w="1656"/>
            <w:vAlign w:val="center"/>
          </w:tcPr>
          <w:p>
            <w:r/>
            <w:r>
              <w:rPr>
                <w:b w:val="0"/>
                <w:sz w:val="15"/>
              </w:rPr>
              <w:t>Inconsistent logging for privileged actions</w:t>
            </w:r>
          </w:p>
        </w:tc>
        <w:tc>
          <w:tcPr>
            <w:tcW w:type="dxa" w:w="1656"/>
            <w:vAlign w:val="center"/>
          </w:tcPr>
          <w:p>
            <w:r/>
            <w:r>
              <w:rPr>
                <w:b w:val="0"/>
                <w:sz w:val="15"/>
              </w:rPr>
              <w:t>Medium</w:t>
            </w:r>
          </w:p>
        </w:tc>
        <w:tc>
          <w:tcPr>
            <w:tcW w:type="dxa" w:w="1656"/>
            <w:vAlign w:val="center"/>
          </w:tcPr>
          <w:p>
            <w:r/>
            <w:r>
              <w:rPr>
                <w:b w:val="0"/>
                <w:sz w:val="15"/>
              </w:rPr>
              <w:t>Medium</w:t>
            </w:r>
          </w:p>
        </w:tc>
        <w:tc>
          <w:tcPr>
            <w:tcW w:type="dxa" w:w="1656"/>
            <w:vAlign w:val="center"/>
          </w:tcPr>
          <w:p>
            <w:r/>
            <w:r>
              <w:rPr>
                <w:b w:val="0"/>
                <w:sz w:val="15"/>
              </w:rPr>
              <w:t>High</w:t>
            </w:r>
          </w:p>
        </w:tc>
        <w:tc>
          <w:tcPr>
            <w:tcW w:type="dxa" w:w="1656"/>
            <w:vAlign w:val="center"/>
          </w:tcPr>
          <w:p>
            <w:r/>
            <w:r>
              <w:rPr>
                <w:b w:val="0"/>
                <w:sz w:val="15"/>
              </w:rPr>
              <w:t>Centralize and alert on privileged activity</w:t>
            </w:r>
          </w:p>
        </w:tc>
      </w:tr>
    </w:tbl>
    <w:p>
      <w:pPr>
        <w:pStyle w:val="Heading1"/>
        <w:spacing w:before="200" w:after="100"/>
      </w:pPr>
      <w:r>
        <w:t>7. System Hardening Recommendations</w:t>
      </w:r>
    </w:p>
    <w:p>
      <w:pPr>
        <w:spacing w:after="120" w:line="259" w:lineRule="auto"/>
      </w:pPr>
      <w:r>
        <w:t>Hardening should reduce unnecessary attack surface, enforce secure defaults, and make unauthorized activity easier to prevent and detect. CIS Control 4 specifically recommends establishing and maintaining secure configurations because default settings may include unnecessary services, permissive access, older protocols, or unnecessary software. The recommendations below are organized so that remediation can be assigned to responsible teams.</w:t>
      </w:r>
    </w:p>
    <w:p>
      <w:pPr>
        <w:pStyle w:val="Heading2"/>
        <w:spacing w:before="200" w:after="100"/>
      </w:pPr>
      <w:r>
        <w:t>7.1 Secure Configuration Management</w:t>
      </w:r>
    </w:p>
    <w:p>
      <w:pPr>
        <w:pStyle w:val="ListBullet"/>
        <w:spacing w:after="60"/>
      </w:pPr>
      <w:r>
        <w:t>Create approved baseline configurations for servers, endpoints, network devices, databases, and cloud resources.</w:t>
      </w:r>
    </w:p>
    <w:p>
      <w:pPr>
        <w:pStyle w:val="ListBullet"/>
        <w:spacing w:after="60"/>
      </w:pPr>
      <w:r>
        <w:t>Disable unnecessary services, ports, protocols, default accounts, and sample applications.</w:t>
      </w:r>
    </w:p>
    <w:p>
      <w:pPr>
        <w:pStyle w:val="ListBullet"/>
        <w:spacing w:after="60"/>
      </w:pPr>
      <w:r>
        <w:t>Use configuration management or infrastructure-as-code where practical so changes are reviewed and traceable.</w:t>
      </w:r>
    </w:p>
    <w:p>
      <w:pPr>
        <w:pStyle w:val="ListBullet"/>
        <w:spacing w:after="60"/>
      </w:pPr>
      <w:r>
        <w:t>Periodically compare deployed configurations against the approved baseline and investigate drift.</w:t>
      </w:r>
    </w:p>
    <w:p>
      <w:pPr>
        <w:pStyle w:val="ListBullet"/>
        <w:spacing w:after="60"/>
      </w:pPr>
      <w:r>
        <w:t>Document exceptions and require an owner, business reason, and review date for each exception.</w:t>
      </w:r>
    </w:p>
    <w:p>
      <w:pPr>
        <w:pStyle w:val="Heading2"/>
        <w:spacing w:before="200" w:after="100"/>
      </w:pPr>
      <w:r>
        <w:t>7.2 Patch and Vulnerability Management</w:t>
      </w:r>
    </w:p>
    <w:p>
      <w:pPr>
        <w:pStyle w:val="ListBullet"/>
        <w:spacing w:after="60"/>
      </w:pPr>
      <w:r>
        <w:t>Maintain accurate hardware, software, and cloud asset inventories.</w:t>
      </w:r>
    </w:p>
    <w:p>
      <w:pPr>
        <w:pStyle w:val="ListBullet"/>
        <w:spacing w:after="60"/>
      </w:pPr>
      <w:r>
        <w:t>Prioritize remediation using severity, exploitability, internet exposure, asset criticality, and available compensating controls.</w:t>
      </w:r>
    </w:p>
    <w:p>
      <w:pPr>
        <w:pStyle w:val="ListBullet"/>
        <w:spacing w:after="60"/>
      </w:pPr>
      <w:r>
        <w:t>Use centralized patch management for operating systems and applications where feasible.</w:t>
      </w:r>
    </w:p>
    <w:p>
      <w:pPr>
        <w:pStyle w:val="ListBullet"/>
        <w:spacing w:after="60"/>
      </w:pPr>
      <w:r>
        <w:t>Track exceptions for systems that cannot be patched and apply compensating controls such as isolation or access restrictions.</w:t>
      </w:r>
    </w:p>
    <w:p>
      <w:pPr>
        <w:pStyle w:val="ListBullet"/>
        <w:spacing w:after="60"/>
      </w:pPr>
      <w:r>
        <w:t>Perform verification scans or targeted retests after remediation.</w:t>
      </w:r>
    </w:p>
    <w:p>
      <w:pPr>
        <w:pStyle w:val="Heading2"/>
        <w:spacing w:before="200" w:after="100"/>
      </w:pPr>
      <w:r>
        <w:t>7.3 Identity and Access Control</w:t>
      </w:r>
    </w:p>
    <w:p>
      <w:pPr>
        <w:pStyle w:val="ListBullet"/>
        <w:spacing w:after="60"/>
      </w:pPr>
      <w:r>
        <w:t>Apply least privilege to user, administrator, service, and application accounts.</w:t>
      </w:r>
    </w:p>
    <w:p>
      <w:pPr>
        <w:pStyle w:val="ListBullet"/>
        <w:spacing w:after="60"/>
      </w:pPr>
      <w:r>
        <w:t>Require strong authentication and multi-factor authentication for privileged and sensitive access.</w:t>
      </w:r>
    </w:p>
    <w:p>
      <w:pPr>
        <w:pStyle w:val="ListBullet"/>
        <w:spacing w:after="60"/>
      </w:pPr>
      <w:r>
        <w:t>Separate administrative accounts from standard user accounts.</w:t>
      </w:r>
    </w:p>
    <w:p>
      <w:pPr>
        <w:pStyle w:val="ListBullet"/>
        <w:spacing w:after="60"/>
      </w:pPr>
      <w:r>
        <w:t>Review privileged access regularly and remove stale accounts promptly.</w:t>
      </w:r>
    </w:p>
    <w:p>
      <w:pPr>
        <w:pStyle w:val="ListBullet"/>
        <w:spacing w:after="60"/>
      </w:pPr>
      <w:r>
        <w:t>Use role-based access control and document approval for privilege changes.</w:t>
      </w:r>
    </w:p>
    <w:p>
      <w:pPr>
        <w:pStyle w:val="Heading2"/>
        <w:spacing w:before="200" w:after="100"/>
      </w:pPr>
      <w:r>
        <w:t>7.4 Network Security</w:t>
      </w:r>
    </w:p>
    <w:p>
      <w:pPr>
        <w:pStyle w:val="ListBullet"/>
        <w:spacing w:after="60"/>
      </w:pPr>
      <w:r>
        <w:t>Segment critical servers, administrative systems, user networks, and sensitive data environments.</w:t>
      </w:r>
    </w:p>
    <w:p>
      <w:pPr>
        <w:pStyle w:val="ListBullet"/>
        <w:spacing w:after="60"/>
      </w:pPr>
      <w:r>
        <w:t>Use firewall rules based on business need and deny unnecessary traffic.</w:t>
      </w:r>
    </w:p>
    <w:p>
      <w:pPr>
        <w:pStyle w:val="ListBullet"/>
        <w:spacing w:after="60"/>
      </w:pPr>
      <w:r>
        <w:t>Restrict administrative interfaces to trusted management paths.</w:t>
      </w:r>
    </w:p>
    <w:p>
      <w:pPr>
        <w:pStyle w:val="ListBullet"/>
        <w:spacing w:after="60"/>
      </w:pPr>
      <w:r>
        <w:t>Protect remote access with strong authentication, encryption, and monitoring.</w:t>
      </w:r>
    </w:p>
    <w:p>
      <w:pPr>
        <w:pStyle w:val="ListBullet"/>
        <w:spacing w:after="60"/>
      </w:pPr>
      <w:r>
        <w:t>Review exposed services regularly and remove unnecessary internet exposure.</w:t>
      </w:r>
    </w:p>
    <w:p>
      <w:pPr>
        <w:pStyle w:val="Heading2"/>
        <w:spacing w:before="200" w:after="100"/>
      </w:pPr>
      <w:r>
        <w:t>7.5 Endpoint and Server Security</w:t>
      </w:r>
    </w:p>
    <w:p>
      <w:pPr>
        <w:pStyle w:val="ListBullet"/>
        <w:spacing w:after="60"/>
      </w:pPr>
      <w:r>
        <w:t>Enable endpoint protection and tamper-resistant security controls.</w:t>
      </w:r>
    </w:p>
    <w:p>
      <w:pPr>
        <w:pStyle w:val="ListBullet"/>
        <w:spacing w:after="60"/>
      </w:pPr>
      <w:r>
        <w:t>Restrict unauthorized software installation and execution.</w:t>
      </w:r>
    </w:p>
    <w:p>
      <w:pPr>
        <w:pStyle w:val="ListBullet"/>
        <w:spacing w:after="60"/>
      </w:pPr>
      <w:r>
        <w:t>Use host-based firewalls where appropriate.</w:t>
      </w:r>
    </w:p>
    <w:p>
      <w:pPr>
        <w:pStyle w:val="ListBullet"/>
        <w:spacing w:after="60"/>
      </w:pPr>
      <w:r>
        <w:t>Encrypt sensitive data at rest and in transit.</w:t>
      </w:r>
    </w:p>
    <w:p>
      <w:pPr>
        <w:pStyle w:val="ListBullet"/>
        <w:spacing w:after="60"/>
      </w:pPr>
      <w:r>
        <w:t>Harden operating systems using approved security benchmarks and test changes before broad deployment.</w:t>
      </w:r>
    </w:p>
    <w:p>
      <w:pPr>
        <w:pStyle w:val="Heading2"/>
        <w:spacing w:before="200" w:after="100"/>
      </w:pPr>
      <w:r>
        <w:t>7.6 Application and API Security</w:t>
      </w:r>
    </w:p>
    <w:p>
      <w:pPr>
        <w:pStyle w:val="ListBullet"/>
        <w:spacing w:after="60"/>
      </w:pPr>
      <w:r>
        <w:t>Use secure coding practices and security review throughout the software lifecycle.</w:t>
      </w:r>
    </w:p>
    <w:p>
      <w:pPr>
        <w:pStyle w:val="ListBullet"/>
        <w:spacing w:after="60"/>
      </w:pPr>
      <w:r>
        <w:t>Validate authentication, authorization, session management, input handling, and error handling.</w:t>
      </w:r>
    </w:p>
    <w:p>
      <w:pPr>
        <w:pStyle w:val="ListBullet"/>
        <w:spacing w:after="60"/>
      </w:pPr>
      <w:r>
        <w:t>Protect APIs with strong authentication, authorization, rate controls, and appropriate logging.</w:t>
      </w:r>
    </w:p>
    <w:p>
      <w:pPr>
        <w:pStyle w:val="ListBullet"/>
        <w:spacing w:after="60"/>
      </w:pPr>
      <w:r>
        <w:t>Remove secrets from source code and configuration files; use managed secret storage.</w:t>
      </w:r>
    </w:p>
    <w:p>
      <w:pPr>
        <w:pStyle w:val="ListBullet"/>
        <w:spacing w:after="60"/>
      </w:pPr>
      <w:r>
        <w:t>Perform security testing before major releases and after significant architectural changes.</w:t>
      </w:r>
    </w:p>
    <w:p>
      <w:pPr>
        <w:pStyle w:val="Heading2"/>
        <w:spacing w:before="200" w:after="100"/>
      </w:pPr>
      <w:r>
        <w:t>7.7 Logging, Monitoring, and Detection</w:t>
      </w:r>
    </w:p>
    <w:p>
      <w:pPr>
        <w:pStyle w:val="ListBullet"/>
        <w:spacing w:after="60"/>
      </w:pPr>
      <w:r>
        <w:t>Centralize important security logs and protect them from unauthorized modification.</w:t>
      </w:r>
    </w:p>
    <w:p>
      <w:pPr>
        <w:pStyle w:val="ListBullet"/>
        <w:spacing w:after="60"/>
      </w:pPr>
      <w:r>
        <w:t>Monitor authentication events, privilege changes, administrative actions, security control failures, and suspicious network activity.</w:t>
      </w:r>
    </w:p>
    <w:p>
      <w:pPr>
        <w:pStyle w:val="ListBullet"/>
        <w:spacing w:after="60"/>
      </w:pPr>
      <w:r>
        <w:t>Synchronize system clocks so events can be correlated reliably.</w:t>
      </w:r>
    </w:p>
    <w:p>
      <w:pPr>
        <w:pStyle w:val="ListBullet"/>
        <w:spacing w:after="60"/>
      </w:pPr>
      <w:r>
        <w:t>Define alert thresholds and escalation paths for high-risk events.</w:t>
      </w:r>
    </w:p>
    <w:p>
      <w:pPr>
        <w:pStyle w:val="ListBullet"/>
        <w:spacing w:after="60"/>
      </w:pPr>
      <w:r>
        <w:t>Regularly test whether important simulated events generate the expected alerts.</w:t>
      </w:r>
    </w:p>
    <w:p>
      <w:pPr>
        <w:pStyle w:val="Heading2"/>
        <w:spacing w:before="200" w:after="100"/>
      </w:pPr>
      <w:r>
        <w:t>7.8 Backup and Recovery</w:t>
      </w:r>
    </w:p>
    <w:p>
      <w:pPr>
        <w:pStyle w:val="ListBullet"/>
        <w:spacing w:after="60"/>
      </w:pPr>
      <w:r>
        <w:t>Maintain regular backups of critical data and configurations.</w:t>
      </w:r>
    </w:p>
    <w:p>
      <w:pPr>
        <w:pStyle w:val="ListBullet"/>
        <w:spacing w:after="60"/>
      </w:pPr>
      <w:r>
        <w:t>Protect backups against unauthorized access and ransomware-style tampering.</w:t>
      </w:r>
    </w:p>
    <w:p>
      <w:pPr>
        <w:pStyle w:val="ListBullet"/>
        <w:spacing w:after="60"/>
      </w:pPr>
      <w:r>
        <w:t>Maintain appropriate offline or logically isolated recovery options.</w:t>
      </w:r>
    </w:p>
    <w:p>
      <w:pPr>
        <w:pStyle w:val="ListBullet"/>
        <w:spacing w:after="60"/>
      </w:pPr>
      <w:r>
        <w:t>Test restoration procedures periodically rather than assuming backups are usable.</w:t>
      </w:r>
    </w:p>
    <w:p>
      <w:pPr>
        <w:pStyle w:val="ListBullet"/>
        <w:spacing w:after="60"/>
      </w:pPr>
      <w:r>
        <w:t>Document recovery priorities, responsible personnel, and recovery objectives.</w:t>
      </w:r>
    </w:p>
    <w:p>
      <w:pPr>
        <w:pStyle w:val="Heading1"/>
        <w:spacing w:before="200" w:after="100"/>
      </w:pPr>
      <w:r>
        <w:t>8. Risk-Based Remediation Plan</w:t>
      </w:r>
    </w:p>
    <w:p>
      <w:pPr>
        <w:spacing w:after="120" w:line="259" w:lineRule="auto"/>
      </w:pPr>
      <w:r>
        <w:t>Remediation should be tracked as a controlled workflow rather than as an informal list of technical issues. Each finding should have an owner, business/system owner, target date, status, evidence of remediation, and retest result. CIS guidance describes vulnerability management as a continuous process and emphasizes risk-based remediation.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vAlign w:val="center"/>
            <w:shd w:fill="19375A"/>
          </w:tcPr>
          <w:p>
            <w:r/>
            <w:r>
              <w:rPr>
                <w:b/>
                <w:color w:val="FFFFFF"/>
                <w:sz w:val="17"/>
              </w:rPr>
              <w:t>Priority</w:t>
            </w:r>
          </w:p>
        </w:tc>
        <w:tc>
          <w:tcPr>
            <w:tcW w:type="dxa" w:w="1987"/>
            <w:vAlign w:val="center"/>
            <w:shd w:fill="19375A"/>
          </w:tcPr>
          <w:p>
            <w:r/>
            <w:r>
              <w:rPr>
                <w:b/>
                <w:color w:val="FFFFFF"/>
                <w:sz w:val="17"/>
              </w:rPr>
              <w:t>Action Window</w:t>
            </w:r>
          </w:p>
        </w:tc>
        <w:tc>
          <w:tcPr>
            <w:tcW w:type="dxa" w:w="1987"/>
            <w:vAlign w:val="center"/>
            <w:shd w:fill="19375A"/>
          </w:tcPr>
          <w:p>
            <w:r/>
            <w:r>
              <w:rPr>
                <w:b/>
                <w:color w:val="FFFFFF"/>
                <w:sz w:val="17"/>
              </w:rPr>
              <w:t>Responsible Team</w:t>
            </w:r>
          </w:p>
        </w:tc>
        <w:tc>
          <w:tcPr>
            <w:tcW w:type="dxa" w:w="1987"/>
            <w:vAlign w:val="center"/>
            <w:shd w:fill="19375A"/>
          </w:tcPr>
          <w:p>
            <w:r/>
            <w:r>
              <w:rPr>
                <w:b/>
                <w:color w:val="FFFFFF"/>
                <w:sz w:val="17"/>
              </w:rPr>
              <w:t>Typical Actions</w:t>
            </w:r>
          </w:p>
        </w:tc>
        <w:tc>
          <w:tcPr>
            <w:tcW w:type="dxa" w:w="1987"/>
            <w:vAlign w:val="center"/>
            <w:shd w:fill="19375A"/>
          </w:tcPr>
          <w:p>
            <w:r/>
            <w:r>
              <w:rPr>
                <w:b/>
                <w:color w:val="FFFFFF"/>
                <w:sz w:val="17"/>
              </w:rPr>
              <w:t>Closure Evidence</w:t>
            </w:r>
          </w:p>
        </w:tc>
      </w:tr>
      <w:tr>
        <w:tc>
          <w:tcPr>
            <w:tcW w:type="dxa" w:w="1987"/>
            <w:vAlign w:val="center"/>
          </w:tcPr>
          <w:p>
            <w:r/>
            <w:r>
              <w:rPr>
                <w:b w:val="0"/>
                <w:sz w:val="15"/>
              </w:rPr>
              <w:t>P1 – Critical</w:t>
            </w:r>
          </w:p>
        </w:tc>
        <w:tc>
          <w:tcPr>
            <w:tcW w:type="dxa" w:w="1987"/>
            <w:vAlign w:val="center"/>
          </w:tcPr>
          <w:p>
            <w:r/>
            <w:r>
              <w:rPr>
                <w:b w:val="0"/>
                <w:sz w:val="15"/>
              </w:rPr>
              <w:t>Immediately / emergency process</w:t>
            </w:r>
          </w:p>
        </w:tc>
        <w:tc>
          <w:tcPr>
            <w:tcW w:type="dxa" w:w="1987"/>
            <w:vAlign w:val="center"/>
          </w:tcPr>
          <w:p>
            <w:r/>
            <w:r>
              <w:rPr>
                <w:b w:val="0"/>
                <w:sz w:val="15"/>
              </w:rPr>
              <w:t>Security + system owner</w:t>
            </w:r>
          </w:p>
        </w:tc>
        <w:tc>
          <w:tcPr>
            <w:tcW w:type="dxa" w:w="1987"/>
            <w:vAlign w:val="center"/>
          </w:tcPr>
          <w:p>
            <w:r/>
            <w:r>
              <w:rPr>
                <w:b w:val="0"/>
                <w:sz w:val="15"/>
              </w:rPr>
              <w:t>Contain exposure, restrict access, emergency patch/configuration</w:t>
            </w:r>
          </w:p>
        </w:tc>
        <w:tc>
          <w:tcPr>
            <w:tcW w:type="dxa" w:w="1987"/>
            <w:vAlign w:val="center"/>
          </w:tcPr>
          <w:p>
            <w:r/>
            <w:r>
              <w:rPr>
                <w:b w:val="0"/>
                <w:sz w:val="15"/>
              </w:rPr>
              <w:t>Retest + management sign-off</w:t>
            </w:r>
          </w:p>
        </w:tc>
      </w:tr>
      <w:tr>
        <w:tc>
          <w:tcPr>
            <w:tcW w:type="dxa" w:w="1987"/>
            <w:vAlign w:val="center"/>
          </w:tcPr>
          <w:p>
            <w:r/>
            <w:r>
              <w:rPr>
                <w:b w:val="0"/>
                <w:sz w:val="15"/>
              </w:rPr>
              <w:t>P2 – High</w:t>
            </w:r>
          </w:p>
        </w:tc>
        <w:tc>
          <w:tcPr>
            <w:tcW w:type="dxa" w:w="1987"/>
            <w:vAlign w:val="center"/>
          </w:tcPr>
          <w:p>
            <w:r/>
            <w:r>
              <w:rPr>
                <w:b w:val="0"/>
                <w:sz w:val="15"/>
              </w:rPr>
              <w:t>Urgent remediation cycle</w:t>
            </w:r>
          </w:p>
        </w:tc>
        <w:tc>
          <w:tcPr>
            <w:tcW w:type="dxa" w:w="1987"/>
            <w:vAlign w:val="center"/>
          </w:tcPr>
          <w:p>
            <w:r/>
            <w:r>
              <w:rPr>
                <w:b w:val="0"/>
                <w:sz w:val="15"/>
              </w:rPr>
              <w:t>System/app owner + security</w:t>
            </w:r>
          </w:p>
        </w:tc>
        <w:tc>
          <w:tcPr>
            <w:tcW w:type="dxa" w:w="1987"/>
            <w:vAlign w:val="center"/>
          </w:tcPr>
          <w:p>
            <w:r/>
            <w:r>
              <w:rPr>
                <w:b w:val="0"/>
                <w:sz w:val="15"/>
              </w:rPr>
              <w:t>Patch, privilege reduction, secure configuration, compensating control</w:t>
            </w:r>
          </w:p>
        </w:tc>
        <w:tc>
          <w:tcPr>
            <w:tcW w:type="dxa" w:w="1987"/>
            <w:vAlign w:val="center"/>
          </w:tcPr>
          <w:p>
            <w:r/>
            <w:r>
              <w:rPr>
                <w:b w:val="0"/>
                <w:sz w:val="15"/>
              </w:rPr>
              <w:t>Retest evidence</w:t>
            </w:r>
          </w:p>
        </w:tc>
      </w:tr>
      <w:tr>
        <w:tc>
          <w:tcPr>
            <w:tcW w:type="dxa" w:w="1987"/>
            <w:vAlign w:val="center"/>
          </w:tcPr>
          <w:p>
            <w:r/>
            <w:r>
              <w:rPr>
                <w:b w:val="0"/>
                <w:sz w:val="15"/>
              </w:rPr>
              <w:t>P3 – Medium</w:t>
            </w:r>
          </w:p>
        </w:tc>
        <w:tc>
          <w:tcPr>
            <w:tcW w:type="dxa" w:w="1987"/>
            <w:vAlign w:val="center"/>
          </w:tcPr>
          <w:p>
            <w:r/>
            <w:r>
              <w:rPr>
                <w:b w:val="0"/>
                <w:sz w:val="15"/>
              </w:rPr>
              <w:t>Planned remediation cycle</w:t>
            </w:r>
          </w:p>
        </w:tc>
        <w:tc>
          <w:tcPr>
            <w:tcW w:type="dxa" w:w="1987"/>
            <w:vAlign w:val="center"/>
          </w:tcPr>
          <w:p>
            <w:r/>
            <w:r>
              <w:rPr>
                <w:b w:val="0"/>
                <w:sz w:val="15"/>
              </w:rPr>
              <w:t>Technical owner</w:t>
            </w:r>
          </w:p>
        </w:tc>
        <w:tc>
          <w:tcPr>
            <w:tcW w:type="dxa" w:w="1987"/>
            <w:vAlign w:val="center"/>
          </w:tcPr>
          <w:p>
            <w:r/>
            <w:r>
              <w:rPr>
                <w:b w:val="0"/>
                <w:sz w:val="15"/>
              </w:rPr>
              <w:t>Configuration and code improvements</w:t>
            </w:r>
          </w:p>
        </w:tc>
        <w:tc>
          <w:tcPr>
            <w:tcW w:type="dxa" w:w="1987"/>
            <w:vAlign w:val="center"/>
          </w:tcPr>
          <w:p>
            <w:r/>
            <w:r>
              <w:rPr>
                <w:b w:val="0"/>
                <w:sz w:val="15"/>
              </w:rPr>
              <w:t>Verification scan/test</w:t>
            </w:r>
          </w:p>
        </w:tc>
      </w:tr>
      <w:tr>
        <w:tc>
          <w:tcPr>
            <w:tcW w:type="dxa" w:w="1987"/>
            <w:vAlign w:val="center"/>
          </w:tcPr>
          <w:p>
            <w:r/>
            <w:r>
              <w:rPr>
                <w:b w:val="0"/>
                <w:sz w:val="15"/>
              </w:rPr>
              <w:t>P4 – Low</w:t>
            </w:r>
          </w:p>
        </w:tc>
        <w:tc>
          <w:tcPr>
            <w:tcW w:type="dxa" w:w="1987"/>
            <w:vAlign w:val="center"/>
          </w:tcPr>
          <w:p>
            <w:r/>
            <w:r>
              <w:rPr>
                <w:b w:val="0"/>
                <w:sz w:val="15"/>
              </w:rPr>
              <w:t>Normal maintenance</w:t>
            </w:r>
          </w:p>
        </w:tc>
        <w:tc>
          <w:tcPr>
            <w:tcW w:type="dxa" w:w="1987"/>
            <w:vAlign w:val="center"/>
          </w:tcPr>
          <w:p>
            <w:r/>
            <w:r>
              <w:rPr>
                <w:b w:val="0"/>
                <w:sz w:val="15"/>
              </w:rPr>
              <w:t>Technical owner</w:t>
            </w:r>
          </w:p>
        </w:tc>
        <w:tc>
          <w:tcPr>
            <w:tcW w:type="dxa" w:w="1987"/>
            <w:vAlign w:val="center"/>
          </w:tcPr>
          <w:p>
            <w:r/>
            <w:r>
              <w:rPr>
                <w:b w:val="0"/>
                <w:sz w:val="15"/>
              </w:rPr>
              <w:t>Hardening and cleanup</w:t>
            </w:r>
          </w:p>
        </w:tc>
        <w:tc>
          <w:tcPr>
            <w:tcW w:type="dxa" w:w="1987"/>
            <w:vAlign w:val="center"/>
          </w:tcPr>
          <w:p>
            <w:r/>
            <w:r>
              <w:rPr>
                <w:b w:val="0"/>
                <w:sz w:val="15"/>
              </w:rPr>
              <w:t>Change record</w:t>
            </w:r>
          </w:p>
        </w:tc>
      </w:tr>
      <w:tr>
        <w:tc>
          <w:tcPr>
            <w:tcW w:type="dxa" w:w="1987"/>
            <w:vAlign w:val="center"/>
          </w:tcPr>
          <w:p>
            <w:r/>
            <w:r>
              <w:rPr>
                <w:b w:val="0"/>
                <w:sz w:val="15"/>
              </w:rPr>
              <w:t>P5 – Informational</w:t>
            </w:r>
          </w:p>
        </w:tc>
        <w:tc>
          <w:tcPr>
            <w:tcW w:type="dxa" w:w="1987"/>
            <w:vAlign w:val="center"/>
          </w:tcPr>
          <w:p>
            <w:r/>
            <w:r>
              <w:rPr>
                <w:b w:val="0"/>
                <w:sz w:val="15"/>
              </w:rPr>
              <w:t>Track as appropriate</w:t>
            </w:r>
          </w:p>
        </w:tc>
        <w:tc>
          <w:tcPr>
            <w:tcW w:type="dxa" w:w="1987"/>
            <w:vAlign w:val="center"/>
          </w:tcPr>
          <w:p>
            <w:r/>
            <w:r>
              <w:rPr>
                <w:b w:val="0"/>
                <w:sz w:val="15"/>
              </w:rPr>
              <w:t>Relevant owner</w:t>
            </w:r>
          </w:p>
        </w:tc>
        <w:tc>
          <w:tcPr>
            <w:tcW w:type="dxa" w:w="1987"/>
            <w:vAlign w:val="center"/>
          </w:tcPr>
          <w:p>
            <w:r/>
            <w:r>
              <w:rPr>
                <w:b w:val="0"/>
                <w:sz w:val="15"/>
              </w:rPr>
              <w:t>Document observation or improvement</w:t>
            </w:r>
          </w:p>
        </w:tc>
        <w:tc>
          <w:tcPr>
            <w:tcW w:type="dxa" w:w="1987"/>
            <w:vAlign w:val="center"/>
          </w:tcPr>
          <w:p>
            <w:r/>
            <w:r>
              <w:rPr>
                <w:b w:val="0"/>
                <w:sz w:val="15"/>
              </w:rPr>
              <w:t>Record/acceptance</w:t>
            </w:r>
          </w:p>
        </w:tc>
      </w:tr>
    </w:tbl>
    <w:p>
      <w:pPr>
        <w:pStyle w:val="Heading2"/>
        <w:spacing w:before="200" w:after="100"/>
      </w:pPr>
      <w:r>
        <w:t>8.1 Remediation Workflow</w:t>
      </w:r>
    </w:p>
    <w:p>
      <w:pPr>
        <w:pStyle w:val="ListNumber"/>
        <w:spacing w:after="60"/>
      </w:pPr>
      <w:r>
        <w:t>Record finding and evidence.</w:t>
      </w:r>
    </w:p>
    <w:p>
      <w:pPr>
        <w:pStyle w:val="ListNumber"/>
        <w:spacing w:after="60"/>
      </w:pPr>
      <w:r>
        <w:t>Validate affected asset and business owner.</w:t>
      </w:r>
    </w:p>
    <w:p>
      <w:pPr>
        <w:pStyle w:val="ListNumber"/>
        <w:spacing w:after="60"/>
      </w:pPr>
      <w:r>
        <w:t>Confirm severity and remediation priority.</w:t>
      </w:r>
    </w:p>
    <w:p>
      <w:pPr>
        <w:pStyle w:val="ListNumber"/>
        <w:spacing w:after="60"/>
      </w:pPr>
      <w:r>
        <w:t>Assign corrective action and target date.</w:t>
      </w:r>
    </w:p>
    <w:p>
      <w:pPr>
        <w:pStyle w:val="ListNumber"/>
        <w:spacing w:after="60"/>
      </w:pPr>
      <w:r>
        <w:t>Implement fix through change-management procedures.</w:t>
      </w:r>
    </w:p>
    <w:p>
      <w:pPr>
        <w:pStyle w:val="ListNumber"/>
        <w:spacing w:after="60"/>
      </w:pPr>
      <w:r>
        <w:t>Perform targeted retest or verification scan.</w:t>
      </w:r>
    </w:p>
    <w:p>
      <w:pPr>
        <w:pStyle w:val="ListNumber"/>
        <w:spacing w:after="60"/>
      </w:pPr>
      <w:r>
        <w:t>Mark the finding closed only when evidence demonstrates that the weakness is addressed or an approved risk acceptance exists.</w:t>
      </w:r>
    </w:p>
    <w:p>
      <w:pPr>
        <w:pStyle w:val="ListNumber"/>
        <w:spacing w:after="60"/>
      </w:pPr>
      <w:r>
        <w:t>Review recurring findings to identify root causes and preventive controls.</w:t>
      </w:r>
    </w:p>
    <w:p>
      <w:pPr>
        <w:pStyle w:val="Heading1"/>
        <w:spacing w:before="200" w:after="100"/>
      </w:pPr>
      <w:r>
        <w:t>9. Recommended Tool Categories</w:t>
      </w:r>
    </w:p>
    <w:p>
      <w:pPr>
        <w:spacing w:after="120" w:line="259" w:lineRule="auto"/>
      </w:pPr>
      <w:r>
        <w:t>Tool selection should follow the scope and rules of engagement. Tools should support evidence collection and validation rather than encourage uncontrolled exploitation. A typical authorized assessment may combine asset discovery, vulnerability scanning, web testing, configuration review, packet/network analysis, and log analysis.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9375A"/>
          </w:tcPr>
          <w:p>
            <w:r/>
            <w:r>
              <w:rPr>
                <w:b/>
                <w:color w:val="FFFFFF"/>
                <w:sz w:val="18"/>
              </w:rPr>
              <w:t>Category</w:t>
            </w:r>
          </w:p>
        </w:tc>
        <w:tc>
          <w:tcPr>
            <w:tcW w:type="dxa" w:w="3312"/>
            <w:vAlign w:val="center"/>
            <w:shd w:fill="19375A"/>
          </w:tcPr>
          <w:p>
            <w:r/>
            <w:r>
              <w:rPr>
                <w:b/>
                <w:color w:val="FFFFFF"/>
                <w:sz w:val="18"/>
              </w:rPr>
              <w:t>Purpose</w:t>
            </w:r>
          </w:p>
        </w:tc>
        <w:tc>
          <w:tcPr>
            <w:tcW w:type="dxa" w:w="3312"/>
            <w:vAlign w:val="center"/>
            <w:shd w:fill="19375A"/>
          </w:tcPr>
          <w:p>
            <w:r/>
            <w:r>
              <w:rPr>
                <w:b/>
                <w:color w:val="FFFFFF"/>
                <w:sz w:val="18"/>
              </w:rPr>
              <w:t>Examples of Use</w:t>
            </w:r>
          </w:p>
        </w:tc>
      </w:tr>
      <w:tr>
        <w:tc>
          <w:tcPr>
            <w:tcW w:type="dxa" w:w="3312"/>
            <w:vAlign w:val="center"/>
          </w:tcPr>
          <w:p>
            <w:r/>
            <w:r>
              <w:rPr>
                <w:b w:val="0"/>
                <w:sz w:val="17"/>
              </w:rPr>
              <w:t>Asset discovery</w:t>
            </w:r>
          </w:p>
        </w:tc>
        <w:tc>
          <w:tcPr>
            <w:tcW w:type="dxa" w:w="3312"/>
            <w:vAlign w:val="center"/>
          </w:tcPr>
          <w:p>
            <w:r/>
            <w:r>
              <w:rPr>
                <w:b w:val="0"/>
                <w:sz w:val="17"/>
              </w:rPr>
              <w:t>Identify approved hosts/services</w:t>
            </w:r>
          </w:p>
        </w:tc>
        <w:tc>
          <w:tcPr>
            <w:tcW w:type="dxa" w:w="3312"/>
            <w:vAlign w:val="center"/>
          </w:tcPr>
          <w:p>
            <w:r/>
            <w:r>
              <w:rPr>
                <w:b w:val="0"/>
                <w:sz w:val="17"/>
              </w:rPr>
              <w:t>Inventory systems and confirm exposed services</w:t>
            </w:r>
          </w:p>
        </w:tc>
      </w:tr>
      <w:tr>
        <w:tc>
          <w:tcPr>
            <w:tcW w:type="dxa" w:w="3312"/>
            <w:vAlign w:val="center"/>
          </w:tcPr>
          <w:p>
            <w:r/>
            <w:r>
              <w:rPr>
                <w:b w:val="0"/>
                <w:sz w:val="17"/>
              </w:rPr>
              <w:t>Vulnerability scanners</w:t>
            </w:r>
          </w:p>
        </w:tc>
        <w:tc>
          <w:tcPr>
            <w:tcW w:type="dxa" w:w="3312"/>
            <w:vAlign w:val="center"/>
          </w:tcPr>
          <w:p>
            <w:r/>
            <w:r>
              <w:rPr>
                <w:b w:val="0"/>
                <w:sz w:val="17"/>
              </w:rPr>
              <w:t>Broad vulnerability discovery</w:t>
            </w:r>
          </w:p>
        </w:tc>
        <w:tc>
          <w:tcPr>
            <w:tcW w:type="dxa" w:w="3312"/>
            <w:vAlign w:val="center"/>
          </w:tcPr>
          <w:p>
            <w:r/>
            <w:r>
              <w:rPr>
                <w:b w:val="0"/>
                <w:sz w:val="17"/>
              </w:rPr>
              <w:t>Identify outdated software and common configuration weaknesses</w:t>
            </w:r>
          </w:p>
        </w:tc>
      </w:tr>
      <w:tr>
        <w:tc>
          <w:tcPr>
            <w:tcW w:type="dxa" w:w="3312"/>
            <w:vAlign w:val="center"/>
          </w:tcPr>
          <w:p>
            <w:r/>
            <w:r>
              <w:rPr>
                <w:b w:val="0"/>
                <w:sz w:val="17"/>
              </w:rPr>
              <w:t>Web testing tools</w:t>
            </w:r>
          </w:p>
        </w:tc>
        <w:tc>
          <w:tcPr>
            <w:tcW w:type="dxa" w:w="3312"/>
            <w:vAlign w:val="center"/>
          </w:tcPr>
          <w:p>
            <w:r/>
            <w:r>
              <w:rPr>
                <w:b w:val="0"/>
                <w:sz w:val="17"/>
              </w:rPr>
              <w:t>Inspect application behavior</w:t>
            </w:r>
          </w:p>
        </w:tc>
        <w:tc>
          <w:tcPr>
            <w:tcW w:type="dxa" w:w="3312"/>
            <w:vAlign w:val="center"/>
          </w:tcPr>
          <w:p>
            <w:r/>
            <w:r>
              <w:rPr>
                <w:b w:val="0"/>
                <w:sz w:val="17"/>
              </w:rPr>
              <w:t>Review authentication, sessions, input handling, access control</w:t>
            </w:r>
          </w:p>
        </w:tc>
      </w:tr>
      <w:tr>
        <w:tc>
          <w:tcPr>
            <w:tcW w:type="dxa" w:w="3312"/>
            <w:vAlign w:val="center"/>
          </w:tcPr>
          <w:p>
            <w:r/>
            <w:r>
              <w:rPr>
                <w:b w:val="0"/>
                <w:sz w:val="17"/>
              </w:rPr>
              <w:t>Network analysis</w:t>
            </w:r>
          </w:p>
        </w:tc>
        <w:tc>
          <w:tcPr>
            <w:tcW w:type="dxa" w:w="3312"/>
            <w:vAlign w:val="center"/>
          </w:tcPr>
          <w:p>
            <w:r/>
            <w:r>
              <w:rPr>
                <w:b w:val="0"/>
                <w:sz w:val="17"/>
              </w:rPr>
              <w:t>Understand protocols and traffic</w:t>
            </w:r>
          </w:p>
        </w:tc>
        <w:tc>
          <w:tcPr>
            <w:tcW w:type="dxa" w:w="3312"/>
            <w:vAlign w:val="center"/>
          </w:tcPr>
          <w:p>
            <w:r/>
            <w:r>
              <w:rPr>
                <w:b w:val="0"/>
                <w:sz w:val="17"/>
              </w:rPr>
              <w:t>Validate segmentation and unexpected communication</w:t>
            </w:r>
          </w:p>
        </w:tc>
      </w:tr>
      <w:tr>
        <w:tc>
          <w:tcPr>
            <w:tcW w:type="dxa" w:w="3312"/>
            <w:vAlign w:val="center"/>
          </w:tcPr>
          <w:p>
            <w:r/>
            <w:r>
              <w:rPr>
                <w:b w:val="0"/>
                <w:sz w:val="17"/>
              </w:rPr>
              <w:t>Configuration auditing</w:t>
            </w:r>
          </w:p>
        </w:tc>
        <w:tc>
          <w:tcPr>
            <w:tcW w:type="dxa" w:w="3312"/>
            <w:vAlign w:val="center"/>
          </w:tcPr>
          <w:p>
            <w:r/>
            <w:r>
              <w:rPr>
                <w:b w:val="0"/>
                <w:sz w:val="17"/>
              </w:rPr>
              <w:t>Compare systems to secure baselines</w:t>
            </w:r>
          </w:p>
        </w:tc>
        <w:tc>
          <w:tcPr>
            <w:tcW w:type="dxa" w:w="3312"/>
            <w:vAlign w:val="center"/>
          </w:tcPr>
          <w:p>
            <w:r/>
            <w:r>
              <w:rPr>
                <w:b w:val="0"/>
                <w:sz w:val="17"/>
              </w:rPr>
              <w:t>Identify unnecessary services and insecure settings</w:t>
            </w:r>
          </w:p>
        </w:tc>
      </w:tr>
      <w:tr>
        <w:tc>
          <w:tcPr>
            <w:tcW w:type="dxa" w:w="3312"/>
            <w:vAlign w:val="center"/>
          </w:tcPr>
          <w:p>
            <w:r/>
            <w:r>
              <w:rPr>
                <w:b w:val="0"/>
                <w:sz w:val="17"/>
              </w:rPr>
              <w:t>SIEM/EDR</w:t>
            </w:r>
          </w:p>
        </w:tc>
        <w:tc>
          <w:tcPr>
            <w:tcW w:type="dxa" w:w="3312"/>
            <w:vAlign w:val="center"/>
          </w:tcPr>
          <w:p>
            <w:r/>
            <w:r>
              <w:rPr>
                <w:b w:val="0"/>
                <w:sz w:val="17"/>
              </w:rPr>
              <w:t>Validate detection capability</w:t>
            </w:r>
          </w:p>
        </w:tc>
        <w:tc>
          <w:tcPr>
            <w:tcW w:type="dxa" w:w="3312"/>
            <w:vAlign w:val="center"/>
          </w:tcPr>
          <w:p>
            <w:r/>
            <w:r>
              <w:rPr>
                <w:b w:val="0"/>
                <w:sz w:val="17"/>
              </w:rPr>
              <w:t>Confirm alerts for privileged or suspicious activity</w:t>
            </w:r>
          </w:p>
        </w:tc>
      </w:tr>
    </w:tbl>
    <w:p>
      <w:pPr>
        <w:pStyle w:val="Heading1"/>
        <w:spacing w:before="200" w:after="100"/>
      </w:pPr>
      <w:r>
        <w:t>10. Evidence and Documentation Standard</w:t>
      </w:r>
    </w:p>
    <w:p>
      <w:pPr>
        <w:pStyle w:val="ListBullet"/>
        <w:spacing w:after="60"/>
      </w:pPr>
      <w:r>
        <w:t>Use a unique finding ID for every vulnerability or observation.</w:t>
      </w:r>
    </w:p>
    <w:p>
      <w:pPr>
        <w:pStyle w:val="ListBullet"/>
        <w:spacing w:after="60"/>
      </w:pPr>
      <w:r>
        <w:t>Record the date/time, tester, target, test case, and authorization reference.</w:t>
      </w:r>
    </w:p>
    <w:p>
      <w:pPr>
        <w:pStyle w:val="ListBullet"/>
        <w:spacing w:after="60"/>
      </w:pPr>
      <w:r>
        <w:t>Capture only the minimum evidence necessary to reproduce and understand the issue.</w:t>
      </w:r>
    </w:p>
    <w:p>
      <w:pPr>
        <w:pStyle w:val="ListBullet"/>
        <w:spacing w:after="60"/>
      </w:pPr>
      <w:r>
        <w:t>Mask passwords, tokens, personal information, customer records, and other sensitive data in the report.</w:t>
      </w:r>
    </w:p>
    <w:p>
      <w:pPr>
        <w:pStyle w:val="ListBullet"/>
        <w:spacing w:after="60"/>
      </w:pPr>
      <w:r>
        <w:t>Store raw evidence separately from the executive report with restricted access.</w:t>
      </w:r>
    </w:p>
    <w:p>
      <w:pPr>
        <w:pStyle w:val="ListBullet"/>
        <w:spacing w:after="60"/>
      </w:pPr>
      <w:r>
        <w:t>Keep a clear chain of notes from discovery to validation to remediation and retest.</w:t>
      </w:r>
    </w:p>
    <w:p>
      <w:pPr>
        <w:pStyle w:val="ListBullet"/>
        <w:spacing w:after="60"/>
      </w:pPr>
      <w:r>
        <w:t>Do not include secrets or exploit payloads that are unnecessary for remediation.</w:t>
      </w:r>
    </w:p>
    <w:p>
      <w:pPr>
        <w:pStyle w:val="Heading2"/>
        <w:spacing w:before="200" w:after="100"/>
      </w:pPr>
      <w:r>
        <w:t>10.1 Finding Template</w:t>
      </w:r>
    </w:p>
    <w:tbl>
      <w:tblPr>
        <w:tblStyle w:val="TableGrid"/>
        <w:tblW w:type="auto" w:w="0"/>
        <w:tblLook w:firstColumn="1" w:firstRow="1" w:lastColumn="0" w:lastRow="0" w:noHBand="0" w:noVBand="1" w:val="04A0"/>
      </w:tblPr>
      <w:tblGrid>
        <w:gridCol w:w="4968"/>
        <w:gridCol w:w="4968"/>
      </w:tblGrid>
      <w:tr>
        <w:tc>
          <w:tcPr>
            <w:tcW w:type="dxa" w:w="4968"/>
          </w:tcPr>
          <w:p/>
        </w:tc>
        <w:tc>
          <w:tcPr>
            <w:tcW w:type="dxa" w:w="4968"/>
          </w:tcPr>
          <w:p/>
        </w:tc>
      </w:tr>
      <w:tr>
        <w:tc>
          <w:tcPr>
            <w:tcW w:type="dxa" w:w="4968"/>
            <w:vAlign w:val="center"/>
          </w:tcPr>
          <w:p>
            <w:r/>
            <w:r>
              <w:rPr>
                <w:b/>
                <w:sz w:val="17"/>
              </w:rPr>
              <w:t>Finding ID</w:t>
            </w:r>
          </w:p>
        </w:tc>
        <w:tc>
          <w:tcPr>
            <w:tcW w:type="dxa" w:w="4968"/>
            <w:vAlign w:val="center"/>
          </w:tcPr>
          <w:p>
            <w:r/>
            <w:r>
              <w:rPr>
                <w:b w:val="0"/>
                <w:sz w:val="17"/>
              </w:rPr>
              <w:t>PT-XX</w:t>
            </w:r>
          </w:p>
        </w:tc>
      </w:tr>
      <w:tr>
        <w:tc>
          <w:tcPr>
            <w:tcW w:type="dxa" w:w="4968"/>
            <w:vAlign w:val="center"/>
          </w:tcPr>
          <w:p>
            <w:r/>
            <w:r>
              <w:rPr>
                <w:b/>
                <w:sz w:val="17"/>
              </w:rPr>
              <w:t>Title</w:t>
            </w:r>
          </w:p>
        </w:tc>
        <w:tc>
          <w:tcPr>
            <w:tcW w:type="dxa" w:w="4968"/>
            <w:vAlign w:val="center"/>
          </w:tcPr>
          <w:p>
            <w:r/>
            <w:r>
              <w:rPr>
                <w:b w:val="0"/>
                <w:sz w:val="17"/>
              </w:rPr>
              <w:t>Short description of the security issue</w:t>
            </w:r>
          </w:p>
        </w:tc>
      </w:tr>
      <w:tr>
        <w:tc>
          <w:tcPr>
            <w:tcW w:type="dxa" w:w="4968"/>
            <w:vAlign w:val="center"/>
          </w:tcPr>
          <w:p>
            <w:r/>
            <w:r>
              <w:rPr>
                <w:b/>
                <w:sz w:val="17"/>
              </w:rPr>
              <w:t>Affected Asset</w:t>
            </w:r>
          </w:p>
        </w:tc>
        <w:tc>
          <w:tcPr>
            <w:tcW w:type="dxa" w:w="4968"/>
            <w:vAlign w:val="center"/>
          </w:tcPr>
          <w:p>
            <w:r/>
            <w:r>
              <w:rPr>
                <w:b w:val="0"/>
                <w:sz w:val="17"/>
              </w:rPr>
              <w:t>Hostname / application / service</w:t>
            </w:r>
          </w:p>
        </w:tc>
      </w:tr>
      <w:tr>
        <w:tc>
          <w:tcPr>
            <w:tcW w:type="dxa" w:w="4968"/>
            <w:vAlign w:val="center"/>
          </w:tcPr>
          <w:p>
            <w:r/>
            <w:r>
              <w:rPr>
                <w:b/>
                <w:sz w:val="17"/>
              </w:rPr>
              <w:t>Category</w:t>
            </w:r>
          </w:p>
        </w:tc>
        <w:tc>
          <w:tcPr>
            <w:tcW w:type="dxa" w:w="4968"/>
            <w:vAlign w:val="center"/>
          </w:tcPr>
          <w:p>
            <w:r/>
            <w:r>
              <w:rPr>
                <w:b w:val="0"/>
                <w:sz w:val="17"/>
              </w:rPr>
              <w:t>Configuration / authentication / authorization / vulnerability / monitoring</w:t>
            </w:r>
          </w:p>
        </w:tc>
      </w:tr>
      <w:tr>
        <w:tc>
          <w:tcPr>
            <w:tcW w:type="dxa" w:w="4968"/>
            <w:vAlign w:val="center"/>
          </w:tcPr>
          <w:p>
            <w:r/>
            <w:r>
              <w:rPr>
                <w:b/>
                <w:sz w:val="17"/>
              </w:rPr>
              <w:t>Severity</w:t>
            </w:r>
          </w:p>
        </w:tc>
        <w:tc>
          <w:tcPr>
            <w:tcW w:type="dxa" w:w="4968"/>
            <w:vAlign w:val="center"/>
          </w:tcPr>
          <w:p>
            <w:r/>
            <w:r>
              <w:rPr>
                <w:b w:val="0"/>
                <w:sz w:val="17"/>
              </w:rPr>
              <w:t>Critical / High / Medium / Low / Informational</w:t>
            </w:r>
          </w:p>
        </w:tc>
      </w:tr>
      <w:tr>
        <w:tc>
          <w:tcPr>
            <w:tcW w:type="dxa" w:w="4968"/>
            <w:vAlign w:val="center"/>
          </w:tcPr>
          <w:p>
            <w:r/>
            <w:r>
              <w:rPr>
                <w:b/>
                <w:sz w:val="17"/>
              </w:rPr>
              <w:t>Evidence</w:t>
            </w:r>
          </w:p>
        </w:tc>
        <w:tc>
          <w:tcPr>
            <w:tcW w:type="dxa" w:w="4968"/>
            <w:vAlign w:val="center"/>
          </w:tcPr>
          <w:p>
            <w:r/>
            <w:r>
              <w:rPr>
                <w:b w:val="0"/>
                <w:sz w:val="17"/>
              </w:rPr>
              <w:t>Minimal reproducible evidence, sanitized</w:t>
            </w:r>
          </w:p>
        </w:tc>
      </w:tr>
      <w:tr>
        <w:tc>
          <w:tcPr>
            <w:tcW w:type="dxa" w:w="4968"/>
            <w:vAlign w:val="center"/>
          </w:tcPr>
          <w:p>
            <w:r/>
            <w:r>
              <w:rPr>
                <w:b/>
                <w:sz w:val="17"/>
              </w:rPr>
              <w:t>Impact</w:t>
            </w:r>
          </w:p>
        </w:tc>
        <w:tc>
          <w:tcPr>
            <w:tcW w:type="dxa" w:w="4968"/>
            <w:vAlign w:val="center"/>
          </w:tcPr>
          <w:p>
            <w:r/>
            <w:r>
              <w:rPr>
                <w:b w:val="0"/>
                <w:sz w:val="17"/>
              </w:rPr>
              <w:t>Confidentiality / Integrity / Availability / business effect</w:t>
            </w:r>
          </w:p>
        </w:tc>
      </w:tr>
      <w:tr>
        <w:tc>
          <w:tcPr>
            <w:tcW w:type="dxa" w:w="4968"/>
            <w:vAlign w:val="center"/>
          </w:tcPr>
          <w:p>
            <w:r/>
            <w:r>
              <w:rPr>
                <w:b/>
                <w:sz w:val="17"/>
              </w:rPr>
              <w:t>Root Cause</w:t>
            </w:r>
          </w:p>
        </w:tc>
        <w:tc>
          <w:tcPr>
            <w:tcW w:type="dxa" w:w="4968"/>
            <w:vAlign w:val="center"/>
          </w:tcPr>
          <w:p>
            <w:r/>
            <w:r>
              <w:rPr>
                <w:b w:val="0"/>
                <w:sz w:val="17"/>
              </w:rPr>
              <w:t>Underlying technical or process weakness</w:t>
            </w:r>
          </w:p>
        </w:tc>
      </w:tr>
      <w:tr>
        <w:tc>
          <w:tcPr>
            <w:tcW w:type="dxa" w:w="4968"/>
            <w:vAlign w:val="center"/>
          </w:tcPr>
          <w:p>
            <w:r/>
            <w:r>
              <w:rPr>
                <w:b/>
                <w:sz w:val="17"/>
              </w:rPr>
              <w:t>Recommendation</w:t>
            </w:r>
          </w:p>
        </w:tc>
        <w:tc>
          <w:tcPr>
            <w:tcW w:type="dxa" w:w="4968"/>
            <w:vAlign w:val="center"/>
          </w:tcPr>
          <w:p>
            <w:r/>
            <w:r>
              <w:rPr>
                <w:b w:val="0"/>
                <w:sz w:val="17"/>
              </w:rPr>
              <w:t>Specific remediation steps</w:t>
            </w:r>
          </w:p>
        </w:tc>
      </w:tr>
      <w:tr>
        <w:tc>
          <w:tcPr>
            <w:tcW w:type="dxa" w:w="4968"/>
            <w:vAlign w:val="center"/>
          </w:tcPr>
          <w:p>
            <w:r/>
            <w:r>
              <w:rPr>
                <w:b/>
                <w:sz w:val="17"/>
              </w:rPr>
              <w:t>Owner / Due Date</w:t>
            </w:r>
          </w:p>
        </w:tc>
        <w:tc>
          <w:tcPr>
            <w:tcW w:type="dxa" w:w="4968"/>
            <w:vAlign w:val="center"/>
          </w:tcPr>
          <w:p>
            <w:r/>
            <w:r>
              <w:rPr>
                <w:b w:val="0"/>
                <w:sz w:val="17"/>
              </w:rPr>
              <w:t>Responsible team and agreed target</w:t>
            </w:r>
          </w:p>
        </w:tc>
      </w:tr>
      <w:tr>
        <w:tc>
          <w:tcPr>
            <w:tcW w:type="dxa" w:w="4968"/>
            <w:vAlign w:val="center"/>
          </w:tcPr>
          <w:p>
            <w:r/>
            <w:r>
              <w:rPr>
                <w:b/>
                <w:sz w:val="17"/>
              </w:rPr>
              <w:t>Retest Result</w:t>
            </w:r>
          </w:p>
        </w:tc>
        <w:tc>
          <w:tcPr>
            <w:tcW w:type="dxa" w:w="4968"/>
            <w:vAlign w:val="center"/>
          </w:tcPr>
          <w:p>
            <w:r/>
            <w:r>
              <w:rPr>
                <w:b w:val="0"/>
                <w:sz w:val="17"/>
              </w:rPr>
              <w:t>Open / Remediated / Accepted / False Positive</w:t>
            </w:r>
          </w:p>
        </w:tc>
      </w:tr>
    </w:tbl>
    <w:p>
      <w:pPr>
        <w:pStyle w:val="Heading1"/>
        <w:spacing w:before="200" w:after="100"/>
      </w:pPr>
      <w:r>
        <w:t>11. Final Report Structure</w:t>
      </w:r>
    </w:p>
    <w:p>
      <w:pPr>
        <w:pStyle w:val="ListNumber"/>
        <w:spacing w:after="60"/>
      </w:pPr>
      <w:r>
        <w:t>Cover page and confidentiality statement.</w:t>
      </w:r>
    </w:p>
    <w:p>
      <w:pPr>
        <w:pStyle w:val="ListNumber"/>
        <w:spacing w:after="60"/>
      </w:pPr>
      <w:r>
        <w:t>Executive summary for management.</w:t>
      </w:r>
    </w:p>
    <w:p>
      <w:pPr>
        <w:pStyle w:val="ListNumber"/>
        <w:spacing w:after="60"/>
      </w:pPr>
      <w:r>
        <w:t>Scope, objectives, assumptions, and rules of engagement.</w:t>
      </w:r>
    </w:p>
    <w:p>
      <w:pPr>
        <w:pStyle w:val="ListNumber"/>
        <w:spacing w:after="60"/>
      </w:pPr>
      <w:r>
        <w:t>Testing methodology and limitations.</w:t>
      </w:r>
    </w:p>
    <w:p>
      <w:pPr>
        <w:pStyle w:val="ListNumber"/>
        <w:spacing w:after="60"/>
      </w:pPr>
      <w:r>
        <w:t>Attack-surface and asset coverage summary.</w:t>
      </w:r>
    </w:p>
    <w:p>
      <w:pPr>
        <w:pStyle w:val="ListNumber"/>
        <w:spacing w:after="60"/>
      </w:pPr>
      <w:r>
        <w:t>Risk summary and prioritized findings.</w:t>
      </w:r>
    </w:p>
    <w:p>
      <w:pPr>
        <w:pStyle w:val="ListNumber"/>
        <w:spacing w:after="60"/>
      </w:pPr>
      <w:r>
        <w:t>Detailed findings with evidence and remediation guidance.</w:t>
      </w:r>
    </w:p>
    <w:p>
      <w:pPr>
        <w:pStyle w:val="ListNumber"/>
        <w:spacing w:after="60"/>
      </w:pPr>
      <w:r>
        <w:t>System hardening recommendations.</w:t>
      </w:r>
    </w:p>
    <w:p>
      <w:pPr>
        <w:pStyle w:val="ListNumber"/>
        <w:spacing w:after="60"/>
      </w:pPr>
      <w:r>
        <w:t>Remediation tracker and retest results.</w:t>
      </w:r>
    </w:p>
    <w:p>
      <w:pPr>
        <w:pStyle w:val="ListNumber"/>
        <w:spacing w:after="60"/>
      </w:pPr>
      <w:r>
        <w:t>Conclusion and next steps.</w:t>
      </w:r>
    </w:p>
    <w:p>
      <w:pPr>
        <w:pStyle w:val="ListNumber"/>
        <w:spacing w:after="60"/>
      </w:pPr>
      <w:r>
        <w:t>Appendices: test checklist, evidence index, severity definitions, and references.</w:t>
      </w:r>
    </w:p>
    <w:p>
      <w:pPr>
        <w:spacing w:after="120" w:line="259" w:lineRule="auto"/>
      </w:pPr>
      <w:r>
        <w:t>OWASP guidance emphasizes that a useful report should be understandable to business owners while still giving technical teams enough information to remediate findings. It also recommends protecting the report because assessment results can contain sensitive information.</w:t>
      </w:r>
    </w:p>
    <w:p>
      <w:pPr>
        <w:pStyle w:val="Heading1"/>
        <w:spacing w:before="200" w:after="100"/>
      </w:pPr>
      <w:r>
        <w:t>12. Security Metrics and Continuous Improvement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9375A"/>
          </w:tcPr>
          <w:p>
            <w:r/>
            <w:r>
              <w:rPr>
                <w:b/>
                <w:color w:val="FFFFFF"/>
                <w:sz w:val="18"/>
              </w:rPr>
              <w:t>Metric</w:t>
            </w:r>
          </w:p>
        </w:tc>
        <w:tc>
          <w:tcPr>
            <w:tcW w:type="dxa" w:w="3312"/>
            <w:vAlign w:val="center"/>
            <w:shd w:fill="19375A"/>
          </w:tcPr>
          <w:p>
            <w:r/>
            <w:r>
              <w:rPr>
                <w:b/>
                <w:color w:val="FFFFFF"/>
                <w:sz w:val="18"/>
              </w:rPr>
              <w:t>Definition</w:t>
            </w:r>
          </w:p>
        </w:tc>
        <w:tc>
          <w:tcPr>
            <w:tcW w:type="dxa" w:w="3312"/>
            <w:vAlign w:val="center"/>
            <w:shd w:fill="19375A"/>
          </w:tcPr>
          <w:p>
            <w:r/>
            <w:r>
              <w:rPr>
                <w:b/>
                <w:color w:val="FFFFFF"/>
                <w:sz w:val="18"/>
              </w:rPr>
              <w:t>Use</w:t>
            </w:r>
          </w:p>
        </w:tc>
      </w:tr>
      <w:tr>
        <w:tc>
          <w:tcPr>
            <w:tcW w:type="dxa" w:w="3312"/>
            <w:vAlign w:val="center"/>
          </w:tcPr>
          <w:p>
            <w:r/>
            <w:r>
              <w:rPr>
                <w:b w:val="0"/>
                <w:sz w:val="17"/>
              </w:rPr>
              <w:t>Asset coverage</w:t>
            </w:r>
          </w:p>
        </w:tc>
        <w:tc>
          <w:tcPr>
            <w:tcW w:type="dxa" w:w="3312"/>
            <w:vAlign w:val="center"/>
          </w:tcPr>
          <w:p>
            <w:r/>
            <w:r>
              <w:rPr>
                <w:b w:val="0"/>
                <w:sz w:val="17"/>
              </w:rPr>
              <w:t>Percentage of approved assets assessed</w:t>
            </w:r>
          </w:p>
        </w:tc>
        <w:tc>
          <w:tcPr>
            <w:tcW w:type="dxa" w:w="3312"/>
            <w:vAlign w:val="center"/>
          </w:tcPr>
          <w:p>
            <w:r/>
            <w:r>
              <w:rPr>
                <w:b w:val="0"/>
                <w:sz w:val="17"/>
              </w:rPr>
              <w:t>Target: 100% of approved in-scope assets</w:t>
            </w:r>
          </w:p>
        </w:tc>
      </w:tr>
      <w:tr>
        <w:tc>
          <w:tcPr>
            <w:tcW w:type="dxa" w:w="3312"/>
            <w:vAlign w:val="center"/>
          </w:tcPr>
          <w:p>
            <w:r/>
            <w:r>
              <w:rPr>
                <w:b w:val="0"/>
                <w:sz w:val="17"/>
              </w:rPr>
              <w:t>Critical/High remediation SLA</w:t>
            </w:r>
          </w:p>
        </w:tc>
        <w:tc>
          <w:tcPr>
            <w:tcW w:type="dxa" w:w="3312"/>
            <w:vAlign w:val="center"/>
          </w:tcPr>
          <w:p>
            <w:r/>
            <w:r>
              <w:rPr>
                <w:b w:val="0"/>
                <w:sz w:val="17"/>
              </w:rPr>
              <w:t>Percentage remediated within organizational target</w:t>
            </w:r>
          </w:p>
        </w:tc>
        <w:tc>
          <w:tcPr>
            <w:tcW w:type="dxa" w:w="3312"/>
            <w:vAlign w:val="center"/>
          </w:tcPr>
          <w:p>
            <w:r/>
            <w:r>
              <w:rPr>
                <w:b w:val="0"/>
                <w:sz w:val="17"/>
              </w:rPr>
              <w:t>Track monthly</w:t>
            </w:r>
          </w:p>
        </w:tc>
      </w:tr>
      <w:tr>
        <w:tc>
          <w:tcPr>
            <w:tcW w:type="dxa" w:w="3312"/>
            <w:vAlign w:val="center"/>
          </w:tcPr>
          <w:p>
            <w:r/>
            <w:r>
              <w:rPr>
                <w:b w:val="0"/>
                <w:sz w:val="17"/>
              </w:rPr>
              <w:t>Mean time to remediate</w:t>
            </w:r>
          </w:p>
        </w:tc>
        <w:tc>
          <w:tcPr>
            <w:tcW w:type="dxa" w:w="3312"/>
            <w:vAlign w:val="center"/>
          </w:tcPr>
          <w:p>
            <w:r/>
            <w:r>
              <w:rPr>
                <w:b w:val="0"/>
                <w:sz w:val="17"/>
              </w:rPr>
              <w:t>Average time from validated finding to closure</w:t>
            </w:r>
          </w:p>
        </w:tc>
        <w:tc>
          <w:tcPr>
            <w:tcW w:type="dxa" w:w="3312"/>
            <w:vAlign w:val="center"/>
          </w:tcPr>
          <w:p>
            <w:r/>
            <w:r>
              <w:rPr>
                <w:b w:val="0"/>
                <w:sz w:val="17"/>
              </w:rPr>
              <w:t>Trend downward over time</w:t>
            </w:r>
          </w:p>
        </w:tc>
      </w:tr>
      <w:tr>
        <w:tc>
          <w:tcPr>
            <w:tcW w:type="dxa" w:w="3312"/>
            <w:vAlign w:val="center"/>
          </w:tcPr>
          <w:p>
            <w:r/>
            <w:r>
              <w:rPr>
                <w:b w:val="0"/>
                <w:sz w:val="17"/>
              </w:rPr>
              <w:t>Retest closure rate</w:t>
            </w:r>
          </w:p>
        </w:tc>
        <w:tc>
          <w:tcPr>
            <w:tcW w:type="dxa" w:w="3312"/>
            <w:vAlign w:val="center"/>
          </w:tcPr>
          <w:p>
            <w:r/>
            <w:r>
              <w:rPr>
                <w:b w:val="0"/>
                <w:sz w:val="17"/>
              </w:rPr>
              <w:t>Percentage of findings verified closed</w:t>
            </w:r>
          </w:p>
        </w:tc>
        <w:tc>
          <w:tcPr>
            <w:tcW w:type="dxa" w:w="3312"/>
            <w:vAlign w:val="center"/>
          </w:tcPr>
          <w:p>
            <w:r/>
            <w:r>
              <w:rPr>
                <w:b w:val="0"/>
                <w:sz w:val="17"/>
              </w:rPr>
              <w:t>Target: 100% before final closure</w:t>
            </w:r>
          </w:p>
        </w:tc>
      </w:tr>
      <w:tr>
        <w:tc>
          <w:tcPr>
            <w:tcW w:type="dxa" w:w="3312"/>
            <w:vAlign w:val="center"/>
          </w:tcPr>
          <w:p>
            <w:r/>
            <w:r>
              <w:rPr>
                <w:b w:val="0"/>
                <w:sz w:val="17"/>
              </w:rPr>
              <w:t>Recurring findings</w:t>
            </w:r>
          </w:p>
        </w:tc>
        <w:tc>
          <w:tcPr>
            <w:tcW w:type="dxa" w:w="3312"/>
            <w:vAlign w:val="center"/>
          </w:tcPr>
          <w:p>
            <w:r/>
            <w:r>
              <w:rPr>
                <w:b w:val="0"/>
                <w:sz w:val="17"/>
              </w:rPr>
              <w:t>Issues repeated across assessments</w:t>
            </w:r>
          </w:p>
        </w:tc>
        <w:tc>
          <w:tcPr>
            <w:tcW w:type="dxa" w:w="3312"/>
            <w:vAlign w:val="center"/>
          </w:tcPr>
          <w:p>
            <w:r/>
            <w:r>
              <w:rPr>
                <w:b w:val="0"/>
                <w:sz w:val="17"/>
              </w:rPr>
              <w:t>Reduce through root-cause remediation</w:t>
            </w:r>
          </w:p>
        </w:tc>
      </w:tr>
      <w:tr>
        <w:tc>
          <w:tcPr>
            <w:tcW w:type="dxa" w:w="3312"/>
            <w:vAlign w:val="center"/>
          </w:tcPr>
          <w:p>
            <w:r/>
            <w:r>
              <w:rPr>
                <w:b w:val="0"/>
                <w:sz w:val="17"/>
              </w:rPr>
              <w:t>Detection coverage</w:t>
            </w:r>
          </w:p>
        </w:tc>
        <w:tc>
          <w:tcPr>
            <w:tcW w:type="dxa" w:w="3312"/>
            <w:vAlign w:val="center"/>
          </w:tcPr>
          <w:p>
            <w:r/>
            <w:r>
              <w:rPr>
                <w:b w:val="0"/>
                <w:sz w:val="17"/>
              </w:rPr>
              <w:t>Percentage of simulated security events producing expected alerts</w:t>
            </w:r>
          </w:p>
        </w:tc>
        <w:tc>
          <w:tcPr>
            <w:tcW w:type="dxa" w:w="3312"/>
            <w:vAlign w:val="center"/>
          </w:tcPr>
          <w:p>
            <w:r/>
            <w:r>
              <w:rPr>
                <w:b w:val="0"/>
                <w:sz w:val="17"/>
              </w:rPr>
              <w:t>Measure by control/use case</w:t>
            </w:r>
          </w:p>
        </w:tc>
      </w:tr>
      <w:tr>
        <w:tc>
          <w:tcPr>
            <w:tcW w:type="dxa" w:w="3312"/>
            <w:vAlign w:val="center"/>
          </w:tcPr>
          <w:p>
            <w:r/>
            <w:r>
              <w:rPr>
                <w:b w:val="0"/>
                <w:sz w:val="17"/>
              </w:rPr>
              <w:t>Configuration compliance</w:t>
            </w:r>
          </w:p>
        </w:tc>
        <w:tc>
          <w:tcPr>
            <w:tcW w:type="dxa" w:w="3312"/>
            <w:vAlign w:val="center"/>
          </w:tcPr>
          <w:p>
            <w:r/>
            <w:r>
              <w:rPr>
                <w:b w:val="0"/>
                <w:sz w:val="17"/>
              </w:rPr>
              <w:t>Assets matching approved security baseline</w:t>
            </w:r>
          </w:p>
        </w:tc>
        <w:tc>
          <w:tcPr>
            <w:tcW w:type="dxa" w:w="3312"/>
            <w:vAlign w:val="center"/>
          </w:tcPr>
          <w:p>
            <w:r/>
            <w:r>
              <w:rPr>
                <w:b w:val="0"/>
                <w:sz w:val="17"/>
              </w:rPr>
              <w:t>Track by asset class</w:t>
            </w:r>
          </w:p>
        </w:tc>
      </w:tr>
    </w:tbl>
    <w:p>
      <w:pPr>
        <w:pStyle w:val="Heading1"/>
        <w:spacing w:before="200" w:after="100"/>
      </w:pPr>
      <w:r>
        <w:t>13. Conclusion</w:t>
      </w:r>
    </w:p>
    <w:p>
      <w:pPr>
        <w:spacing w:after="120" w:line="259" w:lineRule="auto"/>
      </w:pPr>
      <w:r>
        <w:t>A successful penetration testing program depends on disciplined preparation as much as technical testing. The organization should begin with written authorization, a precise scope, defined rules of engagement, and clear safety limits. Reconnaissance and vulnerability discovery should then build an evidence-based view of the attack surface, followed by controlled validation of significant findings.</w:t>
      </w:r>
    </w:p>
    <w:p>
      <w:pPr>
        <w:spacing w:after="120" w:line="259" w:lineRule="auto"/>
      </w:pPr>
      <w:r>
        <w:t>The assessment becomes valuable when findings are converted into practical risk reduction. Secure configurations, timely patching, least privilege, strong authentication, network segmentation, application security, monitoring, and reliable recovery controls should be maintained continuously. Findings should be assigned to owners, prioritized by risk and business context, remediated through normal change processes, and verified through retesting.</w:t>
      </w:r>
    </w:p>
    <w:p>
      <w:pPr>
        <w:spacing w:after="120" w:line="259" w:lineRule="auto"/>
      </w:pPr>
      <w:r>
        <w:t>This plan provides a structured framework that can be adapted to a small organization, enterprise network, cloud environment, or web application assessment. It is intentionally designed to support authorized defensive security work and to minimize operational risk during testing.</w:t>
      </w:r>
    </w:p>
    <w:p>
      <w:pPr>
        <w:pStyle w:val="Heading1"/>
        <w:spacing w:before="200" w:after="100"/>
      </w:pPr>
      <w:r>
        <w:t>14. Submission Checklist</w:t>
      </w:r>
    </w:p>
    <w:p>
      <w:pPr>
        <w:spacing w:after="60"/>
      </w:pPr>
      <w:r>
        <w:rPr>
          <w:b/>
        </w:rPr>
        <w:t xml:space="preserve">☐ </w:t>
      </w:r>
      <w:r>
        <w:t>Introduction explains the purpose and importance of penetration testing.</w:t>
      </w:r>
    </w:p>
    <w:p>
      <w:pPr>
        <w:spacing w:after="60"/>
      </w:pPr>
      <w:r>
        <w:rPr>
          <w:b/>
        </w:rPr>
        <w:t xml:space="preserve">☐ </w:t>
      </w:r>
      <w:r>
        <w:t>Objectives of the security assessment are clearly defined.</w:t>
      </w:r>
    </w:p>
    <w:p>
      <w:pPr>
        <w:spacing w:after="60"/>
      </w:pPr>
      <w:r>
        <w:rPr>
          <w:b/>
        </w:rPr>
        <w:t xml:space="preserve">☐ </w:t>
      </w:r>
      <w:r>
        <w:t>Scope and rules of engagement are documented.</w:t>
      </w:r>
    </w:p>
    <w:p>
      <w:pPr>
        <w:spacing w:after="60"/>
      </w:pPr>
      <w:r>
        <w:rPr>
          <w:b/>
        </w:rPr>
        <w:t xml:space="preserve">☐ </w:t>
      </w:r>
      <w:r>
        <w:t>Methodology covers reconnaissance, vulnerability scanning, controlled validation, and reporting.</w:t>
      </w:r>
    </w:p>
    <w:p>
      <w:pPr>
        <w:spacing w:after="60"/>
      </w:pPr>
      <w:r>
        <w:rPr>
          <w:b/>
        </w:rPr>
        <w:t xml:space="preserve">☐ </w:t>
      </w:r>
      <w:r>
        <w:t>Testing process and evaluation criteria are included.</w:t>
      </w:r>
    </w:p>
    <w:p>
      <w:pPr>
        <w:spacing w:after="60"/>
      </w:pPr>
      <w:r>
        <w:rPr>
          <w:b/>
        </w:rPr>
        <w:t xml:space="preserve">☐ </w:t>
      </w:r>
      <w:r>
        <w:t>Risk levels and prioritization approach are explained.</w:t>
      </w:r>
    </w:p>
    <w:p>
      <w:pPr>
        <w:spacing w:after="60"/>
      </w:pPr>
      <w:r>
        <w:rPr>
          <w:b/>
        </w:rPr>
        <w:t xml:space="preserve">☐ </w:t>
      </w:r>
      <w:r>
        <w:t>Illustrative vulnerabilities are categorized by risk.</w:t>
      </w:r>
    </w:p>
    <w:p>
      <w:pPr>
        <w:spacing w:after="60"/>
      </w:pPr>
      <w:r>
        <w:rPr>
          <w:b/>
        </w:rPr>
        <w:t xml:space="preserve">☐ </w:t>
      </w:r>
      <w:r>
        <w:t>Hardening recommendations address configuration, patching, access control, network security, applications, endpoints, and monitoring.</w:t>
      </w:r>
    </w:p>
    <w:p>
      <w:pPr>
        <w:spacing w:after="60"/>
      </w:pPr>
      <w:r>
        <w:rPr>
          <w:b/>
        </w:rPr>
        <w:t xml:space="preserve">☐ </w:t>
      </w:r>
      <w:r>
        <w:t>Recommendations are practical and prioritized according to risk.</w:t>
      </w:r>
    </w:p>
    <w:p>
      <w:pPr>
        <w:spacing w:after="60"/>
      </w:pPr>
      <w:r>
        <w:rPr>
          <w:b/>
        </w:rPr>
        <w:t xml:space="preserve">☐ </w:t>
      </w:r>
      <w:r>
        <w:t>Remediation workflow includes ownership and retesting.</w:t>
      </w:r>
    </w:p>
    <w:p>
      <w:pPr>
        <w:spacing w:after="60"/>
      </w:pPr>
      <w:r>
        <w:rPr>
          <w:b/>
        </w:rPr>
        <w:t xml:space="preserve">☐ </w:t>
      </w:r>
      <w:r>
        <w:t>Documentation and evidence-handling procedures are defined.</w:t>
      </w:r>
    </w:p>
    <w:p>
      <w:pPr>
        <w:spacing w:after="60"/>
      </w:pPr>
      <w:r>
        <w:rPr>
          <w:b/>
        </w:rPr>
        <w:t xml:space="preserve">☐ </w:t>
      </w:r>
      <w:r>
        <w:t>Conclusion summarizes the overall security strategy.</w:t>
      </w:r>
    </w:p>
    <w:p>
      <w:pPr>
        <w:spacing w:after="60"/>
      </w:pPr>
      <w:r>
        <w:rPr>
          <w:b/>
        </w:rPr>
        <w:t xml:space="preserve">☐ </w:t>
      </w:r>
      <w:r>
        <w:t>References use recognized cybersecurity guidance.</w:t>
      </w:r>
    </w:p>
    <w:p>
      <w:pPr>
        <w:pStyle w:val="Heading1"/>
        <w:spacing w:before="200" w:after="100"/>
      </w:pPr>
      <w:r>
        <w:t>15. References</w:t>
      </w:r>
    </w:p>
    <w:p>
      <w:pPr>
        <w:pStyle w:val="ListNumber"/>
        <w:spacing w:after="80"/>
      </w:pPr>
      <w:r>
        <w:t>NIST SP 800-115, Technical Guide to Information Security Testing and Assessment. National Institute of Standards and Technology. https://csrc.nist.gov/pubs/sp/800/115/final</w:t>
      </w:r>
    </w:p>
    <w:p>
      <w:pPr>
        <w:pStyle w:val="ListNumber"/>
        <w:spacing w:after="80"/>
      </w:pPr>
      <w:r>
        <w:t>OWASP Web Security Testing Guide (WSTG), Reporting and Testing Methodology. https://owasp.org/www-project-web-security-testing-guide/</w:t>
      </w:r>
    </w:p>
    <w:p>
      <w:pPr>
        <w:pStyle w:val="ListNumber"/>
        <w:spacing w:after="80"/>
      </w:pPr>
      <w:r>
        <w:t>OWASP WSTG v4.2, Reporting Guidance. https://wstg.owasp.org/v4.2/5-Reporting/</w:t>
      </w:r>
    </w:p>
    <w:p>
      <w:pPr>
        <w:pStyle w:val="ListNumber"/>
        <w:spacing w:after="80"/>
      </w:pPr>
      <w:r>
        <w:t>CIS Critical Security Controls v8. Center for Internet Security. https://www.cisecurity.org/controls/v8</w:t>
      </w:r>
    </w:p>
    <w:p>
      <w:pPr>
        <w:pStyle w:val="ListNumber"/>
        <w:spacing w:after="80"/>
      </w:pPr>
      <w:r>
        <w:t>CIS Controls v8 Assessment Specification – Control 4: Secure Configuration. https://cas8.docs.cisecurity.org/en/latest/source/Controls4/</w:t>
      </w:r>
    </w:p>
    <w:p>
      <w:pPr>
        <w:pStyle w:val="ListNumber"/>
        <w:spacing w:after="80"/>
      </w:pPr>
      <w:r>
        <w:t>CIS Controls v8 Assessment Specification – Control 6: Access Control Management. https://cas8.docs.cisecurity.org/en/latest/source/Controls6/</w:t>
      </w:r>
    </w:p>
    <w:p>
      <w:pPr>
        <w:pStyle w:val="ListNumber"/>
        <w:spacing w:after="80"/>
      </w:pPr>
      <w:r>
        <w:t>CIS Controls v8 Assessment Specification – Control 7: Continuous Vulnerability Management. https://cas8.docs.cisecurity.org/en/latest/source/Controls7/</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Week 5 | Penetration Testing &amp; System Hardening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7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4B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7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