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Security Policy Framework</w:t>
      </w:r>
    </w:p>
    <w:p>
      <w:pPr>
        <w:jc w:val="center"/>
      </w:pPr>
      <w:r>
        <w:rPr>
          <w:i/>
          <w:sz w:val="26"/>
        </w:rPr>
        <w:t>A Practical Cybersecurity Policy for a Hypothetical Medium-Sized Organization</w:t>
      </w:r>
    </w:p>
    <w:p>
      <w:pPr>
        <w:jc w:val="center"/>
      </w:pPr>
      <w:r>
        <w:rPr>
          <w:sz w:val="22"/>
        </w:rPr>
        <w:br/>
        <w:t>Prepared as a comprehensive security policy review and framework development report</w:t>
      </w:r>
    </w:p>
    <w:p>
      <w:pPr>
        <w:jc w:val="center"/>
      </w:pPr>
      <w:r>
        <w:rPr>
          <w:sz w:val="22"/>
        </w:rPr>
        <w:t>September 2026</w:t>
      </w:r>
    </w:p>
    <w:p>
      <w:r>
        <w:br w:type="page"/>
      </w:r>
    </w:p>
    <w:p>
      <w:pPr>
        <w:pStyle w:val="Heading1"/>
      </w:pPr>
      <w:r>
        <w:t>Executive Summary</w:t>
      </w:r>
    </w:p>
    <w:p>
      <w:r>
        <w:t>This report presents a practical security policy framework for a hypothetical medium-sized organization, referred to throughout the document as “Meridian Services Pvt. Ltd.” The organization is assumed to have approximately 250 employees, a central office, several remote workers, cloud-based business applications, customer and employee information, and a small internal IT/security function. The framework is designed to reduce cyber risk while remaining realistic for an organization with limited resources.</w:t>
      </w:r>
    </w:p>
    <w:p>
      <w:r>
        <w:t>The framework is informed by widely accepted security practices, particularly ISO/IEC 27001:2022 and the CIS Critical Security Controls. ISO/IEC 27001 provides requirements for establishing, implementing, maintaining and continually improving an information security management system (ISMS), while the CIS Controls provide a prioritized and practical set of safeguards. CIS describes Implementation Group 1 as essential cyber hygiene and recommends it as the starting point for organizations. The proposed approach combines the governance and risk-management discipline of ISO/IEC 27001 with the operational focus of the CIS Controls.</w:t>
      </w:r>
    </w:p>
    <w:p>
      <w:r>
        <w:t>The proposed framework covers governance, asset management, access control, authentication, data protection, endpoint and network security, vulnerability management, secure software practices, incident response, backup and recovery, security awareness, third-party risk, compliance, monitoring, auditing, and continual improvement. It also identifies common policy gaps and gives a phased implementation plan with measurable indicators.</w:t>
      </w:r>
    </w:p>
    <w:p>
      <w:pPr>
        <w:pStyle w:val="Heading1"/>
      </w:pPr>
      <w:r>
        <w:t>Contents</w:t>
      </w:r>
    </w:p>
    <w:p>
      <w:r>
        <w:t>1. Introduction</w:t>
      </w:r>
    </w:p>
    <w:p>
      <w:r>
        <w:t>2. Organization Profile and Security Context</w:t>
      </w:r>
    </w:p>
    <w:p>
      <w:r>
        <w:t>3. Literature Review and Accepted Best Practices</w:t>
      </w:r>
    </w:p>
    <w:p>
      <w:r>
        <w:t>4. Review of Common Security Policy Areas</w:t>
      </w:r>
    </w:p>
    <w:p>
      <w:r>
        <w:t>5. Gap Analysis</w:t>
      </w:r>
    </w:p>
    <w:p>
      <w:r>
        <w:t>6. Proposed Security Policy Framework</w:t>
      </w:r>
    </w:p>
    <w:p>
      <w:r>
        <w:t>7. Roles and Responsibilities</w:t>
      </w:r>
    </w:p>
    <w:p>
      <w:r>
        <w:t>8. Implementation and Enforcement Strategy</w:t>
      </w:r>
    </w:p>
    <w:p>
      <w:r>
        <w:t>9. Recommendations for Policy Enhancements</w:t>
      </w:r>
    </w:p>
    <w:p>
      <w:r>
        <w:t>10. Monitoring, Measurement and Review</w:t>
      </w:r>
    </w:p>
    <w:p>
      <w:r>
        <w:t>11. Conclusion</w:t>
      </w:r>
    </w:p>
    <w:p>
      <w:r>
        <w:t>12. References</w:t>
      </w:r>
    </w:p>
    <w:p>
      <w:pPr>
        <w:pStyle w:val="Heading1"/>
      </w:pPr>
      <w:r>
        <w:t>1. Introduction</w:t>
      </w:r>
    </w:p>
    <w:p>
      <w:r>
        <w:t>Information security is no longer only an IT responsibility. A security incident can interrupt operations, expose confidential information, create financial losses, damage customer trust, and result in regulatory or contractual consequences. A security policy framework therefore needs to connect technology controls with business processes, employee responsibilities, management oversight, and measurable risk reduction.</w:t>
      </w:r>
    </w:p>
    <w:p>
      <w:r>
        <w:t>The objective of this report is to critically review commonly accepted security policy principles and translate them into a coherent framework for a hypothetical medium-sized organization. The framework is intentionally written as an actionable policy system rather than as a list of technical recommendations. Each policy area includes an objective, expected behavior or control, responsible roles, and practical enforcement measures.</w:t>
      </w:r>
    </w:p>
    <w:p>
      <w:r>
        <w:t>The framework follows a risk-based approach. Not every organization needs every advanced control on day one. The organization should first establish a dependable baseline, then prioritize controls according to the sensitivity of information, business impact, threat exposure, legal obligations, and available resources.</w:t>
      </w:r>
    </w:p>
    <w:p>
      <w:pPr>
        <w:pStyle w:val="Heading1"/>
      </w:pPr>
      <w:r>
        <w:t>2. Organization Profile and Security Context</w:t>
      </w:r>
    </w:p>
    <w:p>
      <w:r>
        <w:t>Meridian Services Pvt. Ltd. is used as a hypothetical example. It has approximately 250 employees working across administration, finance, sales, operations, human resources, customer support and IT. The organization uses laptops and mobile devices, Microsoft 365 or a comparable cloud productivity platform, a customer database, a finance system, file-sharing services, a corporate website, VPN/remote-access services and several third-party providers.</w:t>
      </w:r>
    </w:p>
    <w:p>
      <w:r>
        <w:t>The main information assets are:</w:t>
      </w:r>
    </w:p>
    <w:p>
      <w:pPr>
        <w:pStyle w:val="ListBullet"/>
        <w:spacing w:after="60"/>
      </w:pPr>
      <w:r>
        <w:t>Customer and business contact information.</w:t>
      </w:r>
    </w:p>
    <w:p>
      <w:pPr>
        <w:pStyle w:val="ListBullet"/>
        <w:spacing w:after="60"/>
      </w:pPr>
      <w:r>
        <w:t>Employee personal and employment records.</w:t>
      </w:r>
    </w:p>
    <w:p>
      <w:pPr>
        <w:pStyle w:val="ListBullet"/>
        <w:spacing w:after="60"/>
      </w:pPr>
      <w:r>
        <w:t>Financial records, invoices and payment information.</w:t>
      </w:r>
    </w:p>
    <w:p>
      <w:pPr>
        <w:pStyle w:val="ListBullet"/>
        <w:spacing w:after="60"/>
      </w:pPr>
      <w:r>
        <w:t>Contracts, intellectual property and internal business documents.</w:t>
      </w:r>
    </w:p>
    <w:p>
      <w:pPr>
        <w:pStyle w:val="ListBullet"/>
        <w:spacing w:after="60"/>
      </w:pPr>
      <w:r>
        <w:t>User credentials, application accounts and administrative accounts.</w:t>
      </w:r>
    </w:p>
    <w:p>
      <w:pPr>
        <w:pStyle w:val="ListBullet"/>
        <w:spacing w:after="60"/>
      </w:pPr>
      <w:r>
        <w:t>Business applications, cloud services, endpoints, servers and network infrastructure.</w:t>
      </w:r>
    </w:p>
    <w:p>
      <w:r>
        <w:t>Key threat scenarios include:</w:t>
      </w:r>
    </w:p>
    <w:p>
      <w:pPr>
        <w:pStyle w:val="ListBullet"/>
        <w:spacing w:after="60"/>
      </w:pPr>
      <w:r>
        <w:t>Phishing and credential theft leading to unauthorized access.</w:t>
      </w:r>
    </w:p>
    <w:p>
      <w:pPr>
        <w:pStyle w:val="ListBullet"/>
        <w:spacing w:after="60"/>
      </w:pPr>
      <w:r>
        <w:t>Ransomware or destructive malware affecting endpoints and shared systems.</w:t>
      </w:r>
    </w:p>
    <w:p>
      <w:pPr>
        <w:pStyle w:val="ListBullet"/>
        <w:spacing w:after="60"/>
      </w:pPr>
      <w:r>
        <w:t>Accidental disclosure of sensitive files through email or cloud sharing.</w:t>
      </w:r>
    </w:p>
    <w:p>
      <w:pPr>
        <w:pStyle w:val="ListBullet"/>
        <w:spacing w:after="60"/>
      </w:pPr>
      <w:r>
        <w:t>Exploitation of unpatched operating systems, applications or internet-facing services.</w:t>
      </w:r>
    </w:p>
    <w:p>
      <w:pPr>
        <w:pStyle w:val="ListBullet"/>
        <w:spacing w:after="60"/>
      </w:pPr>
      <w:r>
        <w:t>Insider misuse or excessive access privileges.</w:t>
      </w:r>
    </w:p>
    <w:p>
      <w:pPr>
        <w:pStyle w:val="ListBullet"/>
        <w:spacing w:after="60"/>
      </w:pPr>
      <w:r>
        <w:t>Third-party compromise or weak vendor security.</w:t>
      </w:r>
    </w:p>
    <w:p>
      <w:pPr>
        <w:pStyle w:val="ListBullet"/>
        <w:spacing w:after="60"/>
      </w:pPr>
      <w:r>
        <w:t>Loss or theft of laptops and mobile devices.</w:t>
      </w:r>
    </w:p>
    <w:p>
      <w:pPr>
        <w:pStyle w:val="ListBullet"/>
        <w:spacing w:after="60"/>
      </w:pPr>
      <w:r>
        <w:t>Service outages caused by hardware failure, cloud incidents or cyber attacks.</w:t>
      </w:r>
    </w:p>
    <w:p>
      <w:pPr>
        <w:pStyle w:val="Heading1"/>
      </w:pPr>
      <w:r>
        <w:t>3. Literature Review and Accepted Best Practices</w:t>
      </w:r>
    </w:p>
    <w:p>
      <w:pPr>
        <w:pStyle w:val="Heading2"/>
      </w:pPr>
      <w:r>
        <w:t>3.1 ISO/IEC 27001:2022</w:t>
      </w:r>
    </w:p>
    <w:p>
      <w:r>
        <w:t>ISO/IEC 27001:2022 is an international standard for information security management systems. ISO explains that the standard specifies requirements for an ISMS and supports organizations of different sizes and sectors in managing information-security risk. Its strength is its management-system perspective: security is treated as an ongoing cycle of understanding context, assessing risk, selecting controls, monitoring performance and improving the system.</w:t>
      </w:r>
    </w:p>
    <w:p>
      <w:r>
        <w:t>For the proposed organization, the most useful lesson from ISO/IEC 27001 is that security should not depend on individual technical decisions. Management must define objectives, assign responsibilities, maintain documented policies, assess risks, review control performance and continually improve the security program.</w:t>
      </w:r>
    </w:p>
    <w:p>
      <w:pPr>
        <w:pStyle w:val="Heading2"/>
      </w:pPr>
      <w:r>
        <w:t>3.2 CIS Critical Security Controls</w:t>
      </w:r>
    </w:p>
    <w:p>
      <w:r>
        <w:t>The CIS Critical Security Controls are a prioritized set of practical safeguards intended to defend against common cyber attacks. CIS Controls v8.1 includes updated alignment with evolving standards and the NIST Cybersecurity Framework 2.0, while maintaining a practical implementation focus. CIS also organizes safeguards into Implementation Groups. IG1 is described as essential cyber hygiene and is intended as the starting point for organizations, including small and medium-sized enterprises.</w:t>
      </w:r>
    </w:p>
    <w:p>
      <w:r>
        <w:t>The proposed framework therefore uses CIS IG1 as a practical baseline and selectively adds stronger IG2-style measures where the organization's risk, data sensitivity or operational complexity justifies them. This avoids creating a policy that is theoretically strong but too difficult to implement.</w:t>
      </w:r>
    </w:p>
    <w:p>
      <w:pPr>
        <w:pStyle w:val="Heading2"/>
      </w:pPr>
      <w:r>
        <w:t>3.3 Commonly Accepted Policy Principles</w:t>
      </w:r>
    </w:p>
    <w:p>
      <w:pPr>
        <w:pStyle w:val="ListBullet"/>
        <w:spacing w:after="60"/>
      </w:pPr>
      <w:r>
        <w:t>Least privilege: users receive only the access needed for their job.</w:t>
      </w:r>
    </w:p>
    <w:p>
      <w:pPr>
        <w:pStyle w:val="ListBullet"/>
        <w:spacing w:after="60"/>
      </w:pPr>
      <w:r>
        <w:t>Defense in depth: security should not depend on a single control.</w:t>
      </w:r>
    </w:p>
    <w:p>
      <w:pPr>
        <w:pStyle w:val="ListBullet"/>
        <w:spacing w:after="60"/>
      </w:pPr>
      <w:r>
        <w:t>Default deny: access should be denied unless there is a justified business need.</w:t>
      </w:r>
    </w:p>
    <w:p>
      <w:pPr>
        <w:pStyle w:val="ListBullet"/>
        <w:spacing w:after="60"/>
      </w:pPr>
      <w:r>
        <w:t>Risk-based decision making: controls should be prioritized according to likelihood and impact.</w:t>
      </w:r>
    </w:p>
    <w:p>
      <w:pPr>
        <w:pStyle w:val="ListBullet"/>
        <w:spacing w:after="60"/>
      </w:pPr>
      <w:r>
        <w:t>Accountability: every important control should have a named owner.</w:t>
      </w:r>
    </w:p>
    <w:p>
      <w:pPr>
        <w:pStyle w:val="ListBullet"/>
        <w:spacing w:after="60"/>
      </w:pPr>
      <w:r>
        <w:t>Security by design: security requirements should be considered before new systems or processes are introduced.</w:t>
      </w:r>
    </w:p>
    <w:p>
      <w:pPr>
        <w:pStyle w:val="ListBullet"/>
        <w:spacing w:after="60"/>
      </w:pPr>
      <w:r>
        <w:t>Continual improvement: policies should be reviewed after incidents, major changes and at least annually.</w:t>
      </w:r>
    </w:p>
    <w:p>
      <w:pPr>
        <w:pStyle w:val="ListBullet"/>
        <w:spacing w:after="60"/>
      </w:pPr>
      <w:r>
        <w:t>Evidence and measurement: organizations should retain enough evidence to demonstrate that controls are operating.</w:t>
      </w:r>
    </w:p>
    <w:p>
      <w:pPr>
        <w:pStyle w:val="Heading1"/>
      </w:pPr>
      <w:r>
        <w:t>4. Review of Common Security Policy Areas</w:t>
      </w:r>
    </w:p>
    <w:p>
      <w:r>
        <w:t>A mature security policy program normally contains several related policies rather than one large document. The following areas are especially important for a medium-sized organization.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Policy Area</w:t>
            </w:r>
          </w:p>
        </w:tc>
        <w:tc>
          <w:tcPr>
            <w:tcW w:type="dxa" w:w="3312"/>
            <w:vAlign w:val="center"/>
          </w:tcPr>
          <w:p>
            <w:r>
              <w:rPr>
                <w:b/>
              </w:rPr>
              <w:t>Purpose</w:t>
            </w:r>
          </w:p>
        </w:tc>
        <w:tc>
          <w:tcPr>
            <w:tcW w:type="dxa" w:w="3312"/>
            <w:vAlign w:val="center"/>
          </w:tcPr>
          <w:p>
            <w:r>
              <w:rPr>
                <w:b/>
              </w:rPr>
              <w:t>Strengths and Common Weaknesses</w:t>
            </w:r>
          </w:p>
        </w:tc>
      </w:tr>
      <w:tr>
        <w:tc>
          <w:tcPr>
            <w:tcW w:type="dxa" w:w="3312"/>
            <w:vAlign w:val="top"/>
          </w:tcPr>
          <w:p>
            <w:r>
              <w:t>Access Control</w:t>
            </w:r>
          </w:p>
        </w:tc>
        <w:tc>
          <w:tcPr>
            <w:tcW w:type="dxa" w:w="3312"/>
            <w:vAlign w:val="top"/>
          </w:tcPr>
          <w:p>
            <w:r>
              <w:t>Defines who may access systems and information.</w:t>
            </w:r>
          </w:p>
        </w:tc>
        <w:tc>
          <w:tcPr>
            <w:tcW w:type="dxa" w:w="3312"/>
            <w:vAlign w:val="top"/>
          </w:tcPr>
          <w:p>
            <w:r>
              <w:t>Strong when roles are defined and access is reviewed; weak when accounts remain active after job changes or when administrators use ordinary accounts.</w:t>
            </w:r>
          </w:p>
        </w:tc>
      </w:tr>
      <w:tr>
        <w:tc>
          <w:tcPr>
            <w:tcW w:type="dxa" w:w="3312"/>
            <w:vAlign w:val="top"/>
          </w:tcPr>
          <w:p>
            <w:r>
              <w:t>Authentication</w:t>
            </w:r>
          </w:p>
        </w:tc>
        <w:tc>
          <w:tcPr>
            <w:tcW w:type="dxa" w:w="3312"/>
            <w:vAlign w:val="top"/>
          </w:tcPr>
          <w:p>
            <w:r>
              <w:t>Protects accounts using passwords, MFA and secure authentication methods.</w:t>
            </w:r>
          </w:p>
        </w:tc>
        <w:tc>
          <w:tcPr>
            <w:tcW w:type="dxa" w:w="3312"/>
            <w:vAlign w:val="top"/>
          </w:tcPr>
          <w:p>
            <w:r>
              <w:t>MFA greatly reduces the impact of stolen passwords, but weak recovery procedures can bypass otherwise strong controls.</w:t>
            </w:r>
          </w:p>
        </w:tc>
      </w:tr>
      <w:tr>
        <w:tc>
          <w:tcPr>
            <w:tcW w:type="dxa" w:w="3312"/>
            <w:vAlign w:val="top"/>
          </w:tcPr>
          <w:p>
            <w:r>
              <w:t>Data Protection</w:t>
            </w:r>
          </w:p>
        </w:tc>
        <w:tc>
          <w:tcPr>
            <w:tcW w:type="dxa" w:w="3312"/>
            <w:vAlign w:val="top"/>
          </w:tcPr>
          <w:p>
            <w:r>
              <w:t>Classifies, stores, transfers, retains and disposes of information securely.</w:t>
            </w:r>
          </w:p>
        </w:tc>
        <w:tc>
          <w:tcPr>
            <w:tcW w:type="dxa" w:w="3312"/>
            <w:vAlign w:val="top"/>
          </w:tcPr>
          <w:p>
            <w:r>
              <w:t>Encryption and classification reduce exposure; unclear ownership and uncontrolled sharing remain common weaknesses.</w:t>
            </w:r>
          </w:p>
        </w:tc>
      </w:tr>
      <w:tr>
        <w:tc>
          <w:tcPr>
            <w:tcW w:type="dxa" w:w="3312"/>
            <w:vAlign w:val="top"/>
          </w:tcPr>
          <w:p>
            <w:r>
              <w:t>Incident Response</w:t>
            </w:r>
          </w:p>
        </w:tc>
        <w:tc>
          <w:tcPr>
            <w:tcW w:type="dxa" w:w="3312"/>
            <w:vAlign w:val="top"/>
          </w:tcPr>
          <w:p>
            <w:r>
              <w:t>Defines how incidents are detected, reported, contained, investigated and recovered.</w:t>
            </w:r>
          </w:p>
        </w:tc>
        <w:tc>
          <w:tcPr>
            <w:tcW w:type="dxa" w:w="3312"/>
            <w:vAlign w:val="top"/>
          </w:tcPr>
          <w:p>
            <w:r>
              <w:t>A documented plan improves speed and coordination, but an untested plan may fail during a real incident.</w:t>
            </w:r>
          </w:p>
        </w:tc>
      </w:tr>
      <w:tr>
        <w:tc>
          <w:tcPr>
            <w:tcW w:type="dxa" w:w="3312"/>
            <w:vAlign w:val="top"/>
          </w:tcPr>
          <w:p>
            <w:r>
              <w:t>Vulnerability Management</w:t>
            </w:r>
          </w:p>
        </w:tc>
        <w:tc>
          <w:tcPr>
            <w:tcW w:type="dxa" w:w="3312"/>
            <w:vAlign w:val="top"/>
          </w:tcPr>
          <w:p>
            <w:r>
              <w:t>Identifies and fixes technical weaknesses.</w:t>
            </w:r>
          </w:p>
        </w:tc>
        <w:tc>
          <w:tcPr>
            <w:tcW w:type="dxa" w:w="3312"/>
            <w:vAlign w:val="top"/>
          </w:tcPr>
          <w:p>
            <w:r>
              <w:t>Routine scanning and patching are effective; exceptions without deadlines create long-term exposure.</w:t>
            </w:r>
          </w:p>
        </w:tc>
      </w:tr>
      <w:tr>
        <w:tc>
          <w:tcPr>
            <w:tcW w:type="dxa" w:w="3312"/>
            <w:vAlign w:val="top"/>
          </w:tcPr>
          <w:p>
            <w:r>
              <w:t>Security Awareness</w:t>
            </w:r>
          </w:p>
        </w:tc>
        <w:tc>
          <w:tcPr>
            <w:tcW w:type="dxa" w:w="3312"/>
            <w:vAlign w:val="top"/>
          </w:tcPr>
          <w:p>
            <w:r>
              <w:t>Makes employees part of the security defense.</w:t>
            </w:r>
          </w:p>
        </w:tc>
        <w:tc>
          <w:tcPr>
            <w:tcW w:type="dxa" w:w="3312"/>
            <w:vAlign w:val="top"/>
          </w:tcPr>
          <w:p>
            <w:r>
              <w:t>Training reduces avoidable errors, but it must be recurring and supported by clear reporting procedures.</w:t>
            </w:r>
          </w:p>
        </w:tc>
      </w:tr>
      <w:tr>
        <w:tc>
          <w:tcPr>
            <w:tcW w:type="dxa" w:w="3312"/>
            <w:vAlign w:val="top"/>
          </w:tcPr>
          <w:p>
            <w:r>
              <w:t>Third-Party Security</w:t>
            </w:r>
          </w:p>
        </w:tc>
        <w:tc>
          <w:tcPr>
            <w:tcW w:type="dxa" w:w="3312"/>
            <w:vAlign w:val="top"/>
          </w:tcPr>
          <w:p>
            <w:r>
              <w:t>Controls risks introduced by vendors and service providers.</w:t>
            </w:r>
          </w:p>
        </w:tc>
        <w:tc>
          <w:tcPr>
            <w:tcW w:type="dxa" w:w="3312"/>
            <w:vAlign w:val="top"/>
          </w:tcPr>
          <w:p>
            <w:r>
              <w:t>Security clauses and due diligence improve accountability; vendor access can still become a blind spot.</w:t>
            </w:r>
          </w:p>
        </w:tc>
      </w:tr>
    </w:tbl>
    <w:p>
      <w:pPr>
        <w:pStyle w:val="Heading1"/>
      </w:pPr>
      <w:r>
        <w:t>5. Gap Analysis</w:t>
      </w:r>
    </w:p>
    <w:p>
      <w:r>
        <w:t>For this hypothetical assessment, the organization is assumed to have basic IT security measures but no fully integrated policy framework. The following gaps are therefore treated as priority areas.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Area</w:t>
            </w:r>
          </w:p>
        </w:tc>
        <w:tc>
          <w:tcPr>
            <w:tcW w:type="dxa" w:w="2484"/>
            <w:vAlign w:val="center"/>
          </w:tcPr>
          <w:p>
            <w:r>
              <w:rPr>
                <w:b/>
              </w:rPr>
              <w:t>Identified Gap</w:t>
            </w:r>
          </w:p>
        </w:tc>
        <w:tc>
          <w:tcPr>
            <w:tcW w:type="dxa" w:w="2484"/>
            <w:vAlign w:val="center"/>
          </w:tcPr>
          <w:p>
            <w:r>
              <w:rPr>
                <w:b/>
              </w:rPr>
              <w:t>Priority</w:t>
            </w:r>
          </w:p>
        </w:tc>
        <w:tc>
          <w:tcPr>
            <w:tcW w:type="dxa" w:w="2484"/>
            <w:vAlign w:val="center"/>
          </w:tcPr>
          <w:p>
            <w:r>
              <w:rPr>
                <w:b/>
              </w:rPr>
              <w:t>Proposed Treatment</w:t>
            </w:r>
          </w:p>
        </w:tc>
      </w:tr>
      <w:tr>
        <w:tc>
          <w:tcPr>
            <w:tcW w:type="dxa" w:w="2484"/>
            <w:vAlign w:val="top"/>
          </w:tcPr>
          <w:p>
            <w:r>
              <w:t>Asset inventory</w:t>
            </w:r>
          </w:p>
        </w:tc>
        <w:tc>
          <w:tcPr>
            <w:tcW w:type="dxa" w:w="2484"/>
            <w:vAlign w:val="top"/>
          </w:tcPr>
          <w:p>
            <w:r>
              <w:t>Incomplete visibility of devices, cloud services and software</w:t>
            </w:r>
          </w:p>
        </w:tc>
        <w:tc>
          <w:tcPr>
            <w:tcW w:type="dxa" w:w="2484"/>
            <w:vAlign w:val="top"/>
          </w:tcPr>
          <w:p>
            <w:r>
              <w:t>High</w:t>
            </w:r>
          </w:p>
        </w:tc>
        <w:tc>
          <w:tcPr>
            <w:tcW w:type="dxa" w:w="2484"/>
            <w:vAlign w:val="top"/>
          </w:tcPr>
          <w:p>
            <w:r>
              <w:t>Maintain an authoritative asset register and assign owners.</w:t>
            </w:r>
          </w:p>
        </w:tc>
      </w:tr>
      <w:tr>
        <w:tc>
          <w:tcPr>
            <w:tcW w:type="dxa" w:w="2484"/>
            <w:vAlign w:val="top"/>
          </w:tcPr>
          <w:p>
            <w:r>
              <w:t>Identity and access</w:t>
            </w:r>
          </w:p>
        </w:tc>
        <w:tc>
          <w:tcPr>
            <w:tcW w:type="dxa" w:w="2484"/>
            <w:vAlign w:val="top"/>
          </w:tcPr>
          <w:p>
            <w:r>
              <w:t>Inconsistent MFA and periodic access review</w:t>
            </w:r>
          </w:p>
        </w:tc>
        <w:tc>
          <w:tcPr>
            <w:tcW w:type="dxa" w:w="2484"/>
            <w:vAlign w:val="top"/>
          </w:tcPr>
          <w:p>
            <w:r>
              <w:t>High</w:t>
            </w:r>
          </w:p>
        </w:tc>
        <w:tc>
          <w:tcPr>
            <w:tcW w:type="dxa" w:w="2484"/>
            <w:vAlign w:val="top"/>
          </w:tcPr>
          <w:p>
            <w:r>
              <w:t>Require MFA for critical services and conduct access reviews at least quarterly.</w:t>
            </w:r>
          </w:p>
        </w:tc>
      </w:tr>
      <w:tr>
        <w:tc>
          <w:tcPr>
            <w:tcW w:type="dxa" w:w="2484"/>
            <w:vAlign w:val="top"/>
          </w:tcPr>
          <w:p>
            <w:r>
              <w:t>Data classification</w:t>
            </w:r>
          </w:p>
        </w:tc>
        <w:tc>
          <w:tcPr>
            <w:tcW w:type="dxa" w:w="2484"/>
            <w:vAlign w:val="top"/>
          </w:tcPr>
          <w:p>
            <w:r>
              <w:t>No consistent classification or handling rules</w:t>
            </w:r>
          </w:p>
        </w:tc>
        <w:tc>
          <w:tcPr>
            <w:tcW w:type="dxa" w:w="2484"/>
            <w:vAlign w:val="top"/>
          </w:tcPr>
          <w:p>
            <w:r>
              <w:t>High</w:t>
            </w:r>
          </w:p>
        </w:tc>
        <w:tc>
          <w:tcPr>
            <w:tcW w:type="dxa" w:w="2484"/>
            <w:vAlign w:val="top"/>
          </w:tcPr>
          <w:p>
            <w:r>
              <w:t>Introduce Public, Internal, Confidential and Restricted classifications.</w:t>
            </w:r>
          </w:p>
        </w:tc>
      </w:tr>
      <w:tr>
        <w:tc>
          <w:tcPr>
            <w:tcW w:type="dxa" w:w="2484"/>
            <w:vAlign w:val="top"/>
          </w:tcPr>
          <w:p>
            <w:r>
              <w:t>Incident response</w:t>
            </w:r>
          </w:p>
        </w:tc>
        <w:tc>
          <w:tcPr>
            <w:tcW w:type="dxa" w:w="2484"/>
            <w:vAlign w:val="top"/>
          </w:tcPr>
          <w:p>
            <w:r>
              <w:t>Roles and escalation paths are not formally documented</w:t>
            </w:r>
          </w:p>
        </w:tc>
        <w:tc>
          <w:tcPr>
            <w:tcW w:type="dxa" w:w="2484"/>
            <w:vAlign w:val="top"/>
          </w:tcPr>
          <w:p>
            <w:r>
              <w:t>High</w:t>
            </w:r>
          </w:p>
        </w:tc>
        <w:tc>
          <w:tcPr>
            <w:tcW w:type="dxa" w:w="2484"/>
            <w:vAlign w:val="top"/>
          </w:tcPr>
          <w:p>
            <w:r>
              <w:t>Create an incident response plan and conduct exercises twice a year.</w:t>
            </w:r>
          </w:p>
        </w:tc>
      </w:tr>
      <w:tr>
        <w:tc>
          <w:tcPr>
            <w:tcW w:type="dxa" w:w="2484"/>
            <w:vAlign w:val="top"/>
          </w:tcPr>
          <w:p>
            <w:r>
              <w:t>Patch management</w:t>
            </w:r>
          </w:p>
        </w:tc>
        <w:tc>
          <w:tcPr>
            <w:tcW w:type="dxa" w:w="2484"/>
            <w:vAlign w:val="top"/>
          </w:tcPr>
          <w:p>
            <w:r>
              <w:t>Patching may depend on manual action</w:t>
            </w:r>
          </w:p>
        </w:tc>
        <w:tc>
          <w:tcPr>
            <w:tcW w:type="dxa" w:w="2484"/>
            <w:vAlign w:val="top"/>
          </w:tcPr>
          <w:p>
            <w:r>
              <w:t>High</w:t>
            </w:r>
          </w:p>
        </w:tc>
        <w:tc>
          <w:tcPr>
            <w:tcW w:type="dxa" w:w="2484"/>
            <w:vAlign w:val="top"/>
          </w:tcPr>
          <w:p>
            <w:r>
              <w:t>Define patch deadlines by severity and monitor exceptions.</w:t>
            </w:r>
          </w:p>
        </w:tc>
      </w:tr>
      <w:tr>
        <w:tc>
          <w:tcPr>
            <w:tcW w:type="dxa" w:w="2484"/>
            <w:vAlign w:val="top"/>
          </w:tcPr>
          <w:p>
            <w:r>
              <w:t>Backups</w:t>
            </w:r>
          </w:p>
        </w:tc>
        <w:tc>
          <w:tcPr>
            <w:tcW w:type="dxa" w:w="2484"/>
            <w:vAlign w:val="top"/>
          </w:tcPr>
          <w:p>
            <w:r>
              <w:t>Backup success may be checked, but restoration may not be tested</w:t>
            </w:r>
          </w:p>
        </w:tc>
        <w:tc>
          <w:tcPr>
            <w:tcW w:type="dxa" w:w="2484"/>
            <w:vAlign w:val="top"/>
          </w:tcPr>
          <w:p>
            <w:r>
              <w:t>High</w:t>
            </w:r>
          </w:p>
        </w:tc>
        <w:tc>
          <w:tcPr>
            <w:tcW w:type="dxa" w:w="2484"/>
            <w:vAlign w:val="top"/>
          </w:tcPr>
          <w:p>
            <w:r>
              <w:t>Test restoration regularly and maintain protected/offline or immutable copies where appropriate.</w:t>
            </w:r>
          </w:p>
        </w:tc>
      </w:tr>
      <w:tr>
        <w:tc>
          <w:tcPr>
            <w:tcW w:type="dxa" w:w="2484"/>
            <w:vAlign w:val="top"/>
          </w:tcPr>
          <w:p>
            <w:r>
              <w:t>Third parties</w:t>
            </w:r>
          </w:p>
        </w:tc>
        <w:tc>
          <w:tcPr>
            <w:tcW w:type="dxa" w:w="2484"/>
            <w:vAlign w:val="top"/>
          </w:tcPr>
          <w:p>
            <w:r>
              <w:t>Security expectations may vary by vendor</w:t>
            </w:r>
          </w:p>
        </w:tc>
        <w:tc>
          <w:tcPr>
            <w:tcW w:type="dxa" w:w="2484"/>
            <w:vAlign w:val="top"/>
          </w:tcPr>
          <w:p>
            <w:r>
              <w:t>Medium</w:t>
            </w:r>
          </w:p>
        </w:tc>
        <w:tc>
          <w:tcPr>
            <w:tcW w:type="dxa" w:w="2484"/>
            <w:vAlign w:val="top"/>
          </w:tcPr>
          <w:p>
            <w:r>
              <w:t>Use risk-based vendor due diligence and contractual security requirements.</w:t>
            </w:r>
          </w:p>
        </w:tc>
      </w:tr>
      <w:tr>
        <w:tc>
          <w:tcPr>
            <w:tcW w:type="dxa" w:w="2484"/>
            <w:vAlign w:val="top"/>
          </w:tcPr>
          <w:p>
            <w:r>
              <w:t>Awareness</w:t>
            </w:r>
          </w:p>
        </w:tc>
        <w:tc>
          <w:tcPr>
            <w:tcW w:type="dxa" w:w="2484"/>
            <w:vAlign w:val="top"/>
          </w:tcPr>
          <w:p>
            <w:r>
              <w:t>Training may occur only during onboarding</w:t>
            </w:r>
          </w:p>
        </w:tc>
        <w:tc>
          <w:tcPr>
            <w:tcW w:type="dxa" w:w="2484"/>
            <w:vAlign w:val="top"/>
          </w:tcPr>
          <w:p>
            <w:r>
              <w:t>Medium</w:t>
            </w:r>
          </w:p>
        </w:tc>
        <w:tc>
          <w:tcPr>
            <w:tcW w:type="dxa" w:w="2484"/>
            <w:vAlign w:val="top"/>
          </w:tcPr>
          <w:p>
            <w:r>
              <w:t>Provide annual training plus targeted phishing and role-based awareness.</w:t>
            </w:r>
          </w:p>
        </w:tc>
      </w:tr>
      <w:tr>
        <w:tc>
          <w:tcPr>
            <w:tcW w:type="dxa" w:w="2484"/>
            <w:vAlign w:val="top"/>
          </w:tcPr>
          <w:p>
            <w:r>
              <w:t>Logging</w:t>
            </w:r>
          </w:p>
        </w:tc>
        <w:tc>
          <w:tcPr>
            <w:tcW w:type="dxa" w:w="2484"/>
            <w:vAlign w:val="top"/>
          </w:tcPr>
          <w:p>
            <w:r>
              <w:t>Logs may exist without consistent review</w:t>
            </w:r>
          </w:p>
        </w:tc>
        <w:tc>
          <w:tcPr>
            <w:tcW w:type="dxa" w:w="2484"/>
            <w:vAlign w:val="top"/>
          </w:tcPr>
          <w:p>
            <w:r>
              <w:t>Medium</w:t>
            </w:r>
          </w:p>
        </w:tc>
        <w:tc>
          <w:tcPr>
            <w:tcW w:type="dxa" w:w="2484"/>
            <w:vAlign w:val="top"/>
          </w:tcPr>
          <w:p>
            <w:r>
              <w:t>Centralize important logs and define alerting and retention requirements.</w:t>
            </w:r>
          </w:p>
        </w:tc>
      </w:tr>
    </w:tbl>
    <w:p>
      <w:pPr>
        <w:pStyle w:val="Heading1"/>
      </w:pPr>
      <w:r>
        <w:t>6. Proposed Security Policy Framework</w:t>
      </w:r>
    </w:p>
    <w:p>
      <w:r>
        <w:t>The proposed framework is organized as a master Information Security Policy supported by topic-specific standards and procedures. The policy is approved by senior management and applies to employees, contractors, temporary workers, systems, devices and third parties where contractually relevant.</w:t>
      </w:r>
    </w:p>
    <w:p>
      <w:pPr>
        <w:pStyle w:val="Heading2"/>
      </w:pPr>
      <w:r>
        <w:t>6.1 Governance and Scope</w:t>
      </w:r>
    </w:p>
    <w:p>
      <w:pPr>
        <w:pStyle w:val="ListBullet"/>
        <w:spacing w:after="60"/>
      </w:pPr>
      <w:r>
        <w:t>The policy applies to all organizational information systems, cloud services, business applications, endpoints, networks and information assets.</w:t>
      </w:r>
    </w:p>
    <w:p>
      <w:pPr>
        <w:pStyle w:val="ListBullet"/>
        <w:spacing w:after="60"/>
      </w:pPr>
      <w:r>
        <w:t>The Managing Director or executive sponsor owns the overall security program.</w:t>
      </w:r>
    </w:p>
    <w:p>
      <w:pPr>
        <w:pStyle w:val="ListBullet"/>
        <w:spacing w:after="60"/>
      </w:pPr>
      <w:r>
        <w:t>The IT/Security Manager coordinates implementation, risk treatment, monitoring and reporting.</w:t>
      </w:r>
    </w:p>
    <w:p>
      <w:pPr>
        <w:pStyle w:val="ListBullet"/>
        <w:spacing w:after="60"/>
      </w:pPr>
      <w:r>
        <w:t>Business and data owners are responsible for defining appropriate access and handling requirements.</w:t>
      </w:r>
    </w:p>
    <w:p>
      <w:pPr>
        <w:pStyle w:val="ListBullet"/>
        <w:spacing w:after="60"/>
      </w:pPr>
      <w:r>
        <w:t>Employees and contractors must follow the policy and report suspected security events promptly.</w:t>
      </w:r>
    </w:p>
    <w:p>
      <w:pPr>
        <w:pStyle w:val="ListBullet"/>
        <w:spacing w:after="60"/>
      </w:pPr>
      <w:r>
        <w:t>Policy exceptions must be documented, risk-assessed, approved by an authorized manager, time-limited and reviewed.</w:t>
      </w:r>
    </w:p>
    <w:p>
      <w:pPr>
        <w:pStyle w:val="Heading2"/>
      </w:pPr>
      <w:r>
        <w:t>6.2 Asset Management Policy</w:t>
      </w:r>
    </w:p>
    <w:p>
      <w:r>
        <w:t>Every endpoint, server, network device, cloud service and significant software application must be recorded in an asset inventory. Each asset should have an owner, business purpose, location or service provider, classification, and lifecycle status. Unauthorized or unmanaged assets must be investigated and either approved, secured or removed.</w:t>
      </w:r>
    </w:p>
    <w:p>
      <w:r>
        <w:t>Minimum controls:</w:t>
      </w:r>
    </w:p>
    <w:p>
      <w:pPr>
        <w:pStyle w:val="ListBullet"/>
        <w:spacing w:after="60"/>
      </w:pPr>
      <w:r>
        <w:t>Maintain a central asset register and update it when assets are purchased, transferred, retired or disposed of.</w:t>
      </w:r>
    </w:p>
    <w:p>
      <w:pPr>
        <w:pStyle w:val="ListBullet"/>
        <w:spacing w:after="60"/>
      </w:pPr>
      <w:r>
        <w:t>Use automated discovery where practical.</w:t>
      </w:r>
    </w:p>
    <w:p>
      <w:pPr>
        <w:pStyle w:val="ListBullet"/>
        <w:spacing w:after="60"/>
      </w:pPr>
      <w:r>
        <w:t>Review the inventory at least quarterly.</w:t>
      </w:r>
    </w:p>
    <w:p>
      <w:pPr>
        <w:pStyle w:val="ListBullet"/>
        <w:spacing w:after="60"/>
      </w:pPr>
      <w:r>
        <w:t>Securely erase or dispose of storage media before retirement.</w:t>
      </w:r>
    </w:p>
    <w:p>
      <w:pPr>
        <w:pStyle w:val="Heading2"/>
      </w:pPr>
      <w:r>
        <w:t>6.3 Identity, Access Control and Authentication</w:t>
      </w:r>
    </w:p>
    <w:p>
      <w:r>
        <w:t>Access must be based on job responsibilities and the principle of least privilege. Each person should have a unique account. Shared accounts are prohibited unless technically unavoidable and formally approved.</w:t>
      </w:r>
    </w:p>
    <w:p>
      <w:pPr>
        <w:pStyle w:val="ListBullet"/>
        <w:spacing w:after="60"/>
      </w:pPr>
      <w:r>
        <w:t>MFA is mandatory for email, remote access, administrative accounts, cloud administration and other high-risk services.</w:t>
      </w:r>
    </w:p>
    <w:p>
      <w:pPr>
        <w:pStyle w:val="ListBullet"/>
        <w:spacing w:after="60"/>
      </w:pPr>
      <w:r>
        <w:t>Privileged administrators must use separate administrative accounts.</w:t>
      </w:r>
    </w:p>
    <w:p>
      <w:pPr>
        <w:pStyle w:val="ListBullet"/>
        <w:spacing w:after="60"/>
      </w:pPr>
      <w:r>
        <w:t>Access requests require manager and system/data-owner approval where appropriate.</w:t>
      </w:r>
    </w:p>
    <w:p>
      <w:pPr>
        <w:pStyle w:val="ListBullet"/>
        <w:spacing w:after="60"/>
      </w:pPr>
      <w:r>
        <w:t>Access is removed promptly when employment ends and adjusted when roles change.</w:t>
      </w:r>
    </w:p>
    <w:p>
      <w:pPr>
        <w:pStyle w:val="ListBullet"/>
        <w:spacing w:after="60"/>
      </w:pPr>
      <w:r>
        <w:t>User access reviews are completed at least quarterly for critical systems.</w:t>
      </w:r>
    </w:p>
    <w:p>
      <w:pPr>
        <w:pStyle w:val="ListBullet"/>
        <w:spacing w:after="60"/>
      </w:pPr>
      <w:r>
        <w:t>Passwords must be unique, protected from disclosure, and stored only in approved password-management systems where applicable.</w:t>
      </w:r>
    </w:p>
    <w:p>
      <w:pPr>
        <w:pStyle w:val="Heading2"/>
      </w:pPr>
      <w:r>
        <w:t>6.4 Data Classification and Protection</w:t>
      </w:r>
    </w:p>
    <w:p>
      <w:r>
        <w:t>Information must be classified according to business sensitivity. The organization will use four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Classification</w:t>
            </w:r>
          </w:p>
        </w:tc>
        <w:tc>
          <w:tcPr>
            <w:tcW w:type="dxa" w:w="3312"/>
            <w:vAlign w:val="center"/>
          </w:tcPr>
          <w:p>
            <w:r>
              <w:rPr>
                <w:b/>
              </w:rPr>
              <w:t>Definition</w:t>
            </w:r>
          </w:p>
        </w:tc>
        <w:tc>
          <w:tcPr>
            <w:tcW w:type="dxa" w:w="3312"/>
            <w:vAlign w:val="center"/>
          </w:tcPr>
          <w:p>
            <w:r>
              <w:rPr>
                <w:b/>
              </w:rPr>
              <w:t>Examples</w:t>
            </w:r>
          </w:p>
        </w:tc>
      </w:tr>
      <w:tr>
        <w:tc>
          <w:tcPr>
            <w:tcW w:type="dxa" w:w="3312"/>
            <w:vAlign w:val="top"/>
          </w:tcPr>
          <w:p>
            <w:r>
              <w:t>Public</w:t>
            </w:r>
          </w:p>
        </w:tc>
        <w:tc>
          <w:tcPr>
            <w:tcW w:type="dxa" w:w="3312"/>
            <w:vAlign w:val="top"/>
          </w:tcPr>
          <w:p>
            <w:r>
              <w:t>Information approved for public release.</w:t>
            </w:r>
          </w:p>
        </w:tc>
        <w:tc>
          <w:tcPr>
            <w:tcW w:type="dxa" w:w="3312"/>
            <w:vAlign w:val="top"/>
          </w:tcPr>
          <w:p>
            <w:r>
              <w:t>Public website content and approved marketing material.</w:t>
            </w:r>
          </w:p>
        </w:tc>
      </w:tr>
      <w:tr>
        <w:tc>
          <w:tcPr>
            <w:tcW w:type="dxa" w:w="3312"/>
            <w:vAlign w:val="top"/>
          </w:tcPr>
          <w:p>
            <w:r>
              <w:t>Internal</w:t>
            </w:r>
          </w:p>
        </w:tc>
        <w:tc>
          <w:tcPr>
            <w:tcW w:type="dxa" w:w="3312"/>
            <w:vAlign w:val="top"/>
          </w:tcPr>
          <w:p>
            <w:r>
              <w:t>Routine business information not intended for public release.</w:t>
            </w:r>
          </w:p>
        </w:tc>
        <w:tc>
          <w:tcPr>
            <w:tcW w:type="dxa" w:w="3312"/>
            <w:vAlign w:val="top"/>
          </w:tcPr>
          <w:p>
            <w:r>
              <w:t>Internal procedures and routine operational documents.</w:t>
            </w:r>
          </w:p>
        </w:tc>
      </w:tr>
      <w:tr>
        <w:tc>
          <w:tcPr>
            <w:tcW w:type="dxa" w:w="3312"/>
            <w:vAlign w:val="top"/>
          </w:tcPr>
          <w:p>
            <w:r>
              <w:t>Confidential</w:t>
            </w:r>
          </w:p>
        </w:tc>
        <w:tc>
          <w:tcPr>
            <w:tcW w:type="dxa" w:w="3312"/>
            <w:vAlign w:val="top"/>
          </w:tcPr>
          <w:p>
            <w:r>
              <w:t>Information whose disclosure could cause business, financial or reputational harm.</w:t>
            </w:r>
          </w:p>
        </w:tc>
        <w:tc>
          <w:tcPr>
            <w:tcW w:type="dxa" w:w="3312"/>
            <w:vAlign w:val="top"/>
          </w:tcPr>
          <w:p>
            <w:r>
              <w:t>Contracts, customer information and financial reports.</w:t>
            </w:r>
          </w:p>
        </w:tc>
      </w:tr>
      <w:tr>
        <w:tc>
          <w:tcPr>
            <w:tcW w:type="dxa" w:w="3312"/>
            <w:vAlign w:val="top"/>
          </w:tcPr>
          <w:p>
            <w:r>
              <w:t>Restricted</w:t>
            </w:r>
          </w:p>
        </w:tc>
        <w:tc>
          <w:tcPr>
            <w:tcW w:type="dxa" w:w="3312"/>
            <w:vAlign w:val="top"/>
          </w:tcPr>
          <w:p>
            <w:r>
              <w:t>Highly sensitive information requiring strict access controls.</w:t>
            </w:r>
          </w:p>
        </w:tc>
        <w:tc>
          <w:tcPr>
            <w:tcW w:type="dxa" w:w="3312"/>
            <w:vAlign w:val="top"/>
          </w:tcPr>
          <w:p>
            <w:r>
              <w:t>Credentials, sensitive employee records and critical security information.</w:t>
            </w:r>
          </w:p>
        </w:tc>
      </w:tr>
    </w:tbl>
    <w:p>
      <w:r>
        <w:t>Confidential and Restricted information must be encrypted during transmission over untrusted networks and protected with appropriate access controls. Sensitive files should not be shared through personal email, unauthorized cloud storage or removable media. Retention periods should be defined according to legal, contractual and business needs.</w:t>
      </w:r>
    </w:p>
    <w:p>
      <w:pPr>
        <w:pStyle w:val="Heading2"/>
      </w:pPr>
      <w:r>
        <w:t>6.5 Endpoint and Network Security</w:t>
      </w:r>
    </w:p>
    <w:p>
      <w:pPr>
        <w:pStyle w:val="ListBullet"/>
        <w:spacing w:after="60"/>
      </w:pPr>
      <w:r>
        <w:t>Company-managed endpoints must use supported operating systems and security software.</w:t>
      </w:r>
    </w:p>
    <w:p>
      <w:pPr>
        <w:pStyle w:val="ListBullet"/>
        <w:spacing w:after="60"/>
      </w:pPr>
      <w:r>
        <w:t>Critical security updates should be installed within a defined risk-based deadline; emergency vulnerabilities may require faster action.</w:t>
      </w:r>
    </w:p>
    <w:p>
      <w:pPr>
        <w:pStyle w:val="ListBullet"/>
        <w:spacing w:after="60"/>
      </w:pPr>
      <w:r>
        <w:t>Endpoint firewalls and anti-malware/endpoint detection controls should be enabled where supported.</w:t>
      </w:r>
    </w:p>
    <w:p>
      <w:pPr>
        <w:pStyle w:val="ListBullet"/>
        <w:spacing w:after="60"/>
      </w:pPr>
      <w:r>
        <w:t>Administrative privileges on normal user devices should be minimized.</w:t>
      </w:r>
    </w:p>
    <w:p>
      <w:pPr>
        <w:pStyle w:val="ListBullet"/>
        <w:spacing w:after="60"/>
      </w:pPr>
      <w:r>
        <w:t>Corporate wireless networks must use strong encryption and separate guest access from internal resources.</w:t>
      </w:r>
    </w:p>
    <w:p>
      <w:pPr>
        <w:pStyle w:val="ListBullet"/>
        <w:spacing w:after="60"/>
      </w:pPr>
      <w:r>
        <w:t>Remote access must use approved secure services and MFA.</w:t>
      </w:r>
    </w:p>
    <w:p>
      <w:pPr>
        <w:pStyle w:val="ListBullet"/>
        <w:spacing w:after="60"/>
      </w:pPr>
      <w:r>
        <w:t>Security configurations should follow approved baselines and be reviewed after major changes.</w:t>
      </w:r>
    </w:p>
    <w:p>
      <w:pPr>
        <w:pStyle w:val="Heading2"/>
      </w:pPr>
      <w:r>
        <w:t>6.6 Vulnerability and Patch Management</w:t>
      </w:r>
    </w:p>
    <w:p>
      <w:r>
        <w:t>The IT/Security function should maintain a vulnerability-management process covering discovery, prioritization, remediation and verification. Vulnerabilities should be prioritized by severity, exploitability, exposure and business impact. Exceptions must have a documented owner, compensating control and target remediation date.</w:t>
      </w:r>
    </w:p>
    <w:p>
      <w:pPr>
        <w:pStyle w:val="Heading2"/>
      </w:pPr>
      <w:r>
        <w:t>6.7 Incident Response Policy</w:t>
      </w:r>
    </w:p>
    <w:p>
      <w:r>
        <w:t>Employees must report suspected phishing, malware, unauthorized access, data loss, lost devices and other security events immediately through the approved reporting channel. The incident response process follows six practical phases: preparation, identification, containment, eradication, recovery, and lessons learned.</w:t>
      </w:r>
    </w:p>
    <w:p>
      <w:pPr>
        <w:pStyle w:val="ListBullet"/>
        <w:spacing w:after="60"/>
      </w:pPr>
      <w:r>
        <w:t>Maintain an incident contact list and escalation matrix.</w:t>
      </w:r>
    </w:p>
    <w:p>
      <w:pPr>
        <w:pStyle w:val="ListBullet"/>
        <w:spacing w:after="60"/>
      </w:pPr>
      <w:r>
        <w:t>Preserve relevant evidence and logs when investigation is required.</w:t>
      </w:r>
    </w:p>
    <w:p>
      <w:pPr>
        <w:pStyle w:val="ListBullet"/>
        <w:spacing w:after="60"/>
      </w:pPr>
      <w:r>
        <w:t>Contain affected accounts, devices or network segments without unnecessarily destroying evidence.</w:t>
      </w:r>
    </w:p>
    <w:p>
      <w:pPr>
        <w:pStyle w:val="ListBullet"/>
        <w:spacing w:after="60"/>
      </w:pPr>
      <w:r>
        <w:t>Notify management, legal/privacy personnel and affected stakeholders according to the incident's severity and applicable requirements.</w:t>
      </w:r>
    </w:p>
    <w:p>
      <w:pPr>
        <w:pStyle w:val="ListBullet"/>
        <w:spacing w:after="60"/>
      </w:pPr>
      <w:r>
        <w:t>Restore systems from trusted sources and verify security before returning them to normal operation.</w:t>
      </w:r>
    </w:p>
    <w:p>
      <w:pPr>
        <w:pStyle w:val="ListBullet"/>
        <w:spacing w:after="60"/>
      </w:pPr>
      <w:r>
        <w:t>Complete a post-incident review and track corrective actions to closure.</w:t>
      </w:r>
    </w:p>
    <w:p>
      <w:pPr>
        <w:pStyle w:val="Heading2"/>
      </w:pPr>
      <w:r>
        <w:t>6.8 Backup, Business Continuity and Recovery</w:t>
      </w:r>
    </w:p>
    <w:p>
      <w:r>
        <w:t>Critical data must be backed up according to business requirements. Backup copies should be protected from unauthorized modification and ransomware. At least one backup copy should be logically separated from normal user access, where feasible. Restoration tests should be performed at planned intervals and documented.</w:t>
      </w:r>
    </w:p>
    <w:p>
      <w:r>
        <w:t>For critical services, the organization should define recovery time objectives (RTO) and recovery point objectives (RPO). The business continuity plan should identify alternate working arrangements, critical suppliers, communication methods and manual workarounds.</w:t>
      </w:r>
    </w:p>
    <w:p>
      <w:pPr>
        <w:pStyle w:val="Heading2"/>
      </w:pPr>
      <w:r>
        <w:t>6.9 Security Awareness and Acceptable Use</w:t>
      </w:r>
    </w:p>
    <w:p>
      <w:pPr>
        <w:pStyle w:val="ListBullet"/>
        <w:spacing w:after="60"/>
      </w:pPr>
      <w:r>
        <w:t>All personnel receive security awareness training during onboarding and at least annually.</w:t>
      </w:r>
    </w:p>
    <w:p>
      <w:pPr>
        <w:pStyle w:val="ListBullet"/>
        <w:spacing w:after="60"/>
      </w:pPr>
      <w:r>
        <w:t>Training covers phishing, password security, MFA, safe handling of data, social engineering, removable media, remote work and incident reporting.</w:t>
      </w:r>
    </w:p>
    <w:p>
      <w:pPr>
        <w:pStyle w:val="ListBullet"/>
        <w:spacing w:after="60"/>
      </w:pPr>
      <w:r>
        <w:t>Employees must not install unauthorized software or use personal storage for restricted business information.</w:t>
      </w:r>
    </w:p>
    <w:p>
      <w:pPr>
        <w:pStyle w:val="ListBullet"/>
        <w:spacing w:after="60"/>
      </w:pPr>
      <w:r>
        <w:t>Suspected phishing or accidental disclosure must be reported without fear of blame; the focus is rapid containment and learning.</w:t>
      </w:r>
    </w:p>
    <w:p>
      <w:pPr>
        <w:pStyle w:val="ListBullet"/>
        <w:spacing w:after="60"/>
      </w:pPr>
      <w:r>
        <w:t>Role-specific training is provided to administrators, developers, finance staff and other higher-risk groups.</w:t>
      </w:r>
    </w:p>
    <w:p>
      <w:pPr>
        <w:pStyle w:val="Heading2"/>
      </w:pPr>
      <w:r>
        <w:t>6.10 Third-Party and Supplier Security</w:t>
      </w:r>
    </w:p>
    <w:p>
      <w:r>
        <w:t>Vendors that access organizational systems or sensitive information must be assessed according to risk. Contracts should include appropriate confidentiality, security, incident notification, access-control, data-protection and termination requirements. High-risk vendors should be reviewed periodically, and unnecessary vendor accounts must be disabled when services end.</w:t>
      </w:r>
    </w:p>
    <w:p>
      <w:pPr>
        <w:pStyle w:val="Heading2"/>
      </w:pPr>
      <w:r>
        <w:t>6.11 Secure Software and Change Management</w:t>
      </w:r>
    </w:p>
    <w:p>
      <w:pPr>
        <w:pStyle w:val="ListBullet"/>
        <w:spacing w:after="60"/>
      </w:pPr>
      <w:r>
        <w:t>Security requirements should be considered during system selection and software development.</w:t>
      </w:r>
    </w:p>
    <w:p>
      <w:pPr>
        <w:pStyle w:val="ListBullet"/>
        <w:spacing w:after="60"/>
      </w:pPr>
      <w:r>
        <w:t>Production changes require documented approval, testing and rollback planning.</w:t>
      </w:r>
    </w:p>
    <w:p>
      <w:pPr>
        <w:pStyle w:val="ListBullet"/>
        <w:spacing w:after="60"/>
      </w:pPr>
      <w:r>
        <w:t>Applications handling sensitive information should undergo security testing appropriate to their risk.</w:t>
      </w:r>
    </w:p>
    <w:p>
      <w:pPr>
        <w:pStyle w:val="ListBullet"/>
        <w:spacing w:after="60"/>
      </w:pPr>
      <w:r>
        <w:t>Developers must not place production credentials or secrets in source code.</w:t>
      </w:r>
    </w:p>
    <w:p>
      <w:pPr>
        <w:pStyle w:val="ListBullet"/>
        <w:spacing w:after="60"/>
      </w:pPr>
      <w:r>
        <w:t>Critical vulnerabilities discovered in applications must be tracked to remediation.</w:t>
      </w:r>
    </w:p>
    <w:p>
      <w:pPr>
        <w:pStyle w:val="Heading2"/>
      </w:pPr>
      <w:r>
        <w:t>6.12 Logging, Monitoring and Audit</w:t>
      </w:r>
    </w:p>
    <w:p>
      <w:r>
        <w:t>Important authentication, administrative, endpoint, cloud and security events should be logged where technically and economically practical. Logs must be protected against unauthorized modification and retained according to business, legal and investigative requirements. High-risk alerts should have defined response procedures.</w:t>
      </w:r>
    </w:p>
    <w:p>
      <w:pPr>
        <w:pStyle w:val="Heading1"/>
      </w:pPr>
      <w:r>
        <w:t>7.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Role</w:t>
            </w:r>
          </w:p>
        </w:tc>
        <w:tc>
          <w:tcPr>
            <w:tcW w:type="dxa" w:w="4968"/>
            <w:vAlign w:val="center"/>
          </w:tcPr>
          <w:p>
            <w:r>
              <w:rPr>
                <w:b/>
              </w:rPr>
              <w:t>Primary Responsibilities</w:t>
            </w:r>
          </w:p>
        </w:tc>
      </w:tr>
      <w:tr>
        <w:tc>
          <w:tcPr>
            <w:tcW w:type="dxa" w:w="4968"/>
            <w:vAlign w:val="top"/>
          </w:tcPr>
          <w:p>
            <w:r>
              <w:t>Executive Sponsor</w:t>
            </w:r>
          </w:p>
        </w:tc>
        <w:tc>
          <w:tcPr>
            <w:tcW w:type="dxa" w:w="4968"/>
            <w:vAlign w:val="top"/>
          </w:tcPr>
          <w:p>
            <w:r>
              <w:t>Approves policy, provides resources, accepts major residual risks and reviews security performance.</w:t>
            </w:r>
          </w:p>
        </w:tc>
      </w:tr>
      <w:tr>
        <w:tc>
          <w:tcPr>
            <w:tcW w:type="dxa" w:w="4968"/>
            <w:vAlign w:val="top"/>
          </w:tcPr>
          <w:p>
            <w:r>
              <w:t>IT/Security Manager</w:t>
            </w:r>
          </w:p>
        </w:tc>
        <w:tc>
          <w:tcPr>
            <w:tcW w:type="dxa" w:w="4968"/>
            <w:vAlign w:val="top"/>
          </w:tcPr>
          <w:p>
            <w:r>
              <w:t>Owns operational security coordination, risk register, incident response, control monitoring and policy maintenance.</w:t>
            </w:r>
          </w:p>
        </w:tc>
      </w:tr>
      <w:tr>
        <w:tc>
          <w:tcPr>
            <w:tcW w:type="dxa" w:w="4968"/>
            <w:vAlign w:val="top"/>
          </w:tcPr>
          <w:p>
            <w:r>
              <w:t>System/Data Owners</w:t>
            </w:r>
          </w:p>
        </w:tc>
        <w:tc>
          <w:tcPr>
            <w:tcW w:type="dxa" w:w="4968"/>
            <w:vAlign w:val="top"/>
          </w:tcPr>
          <w:p>
            <w:r>
              <w:t>Approve access, define classification, determine business requirements and review risks.</w:t>
            </w:r>
          </w:p>
        </w:tc>
      </w:tr>
      <w:tr>
        <w:tc>
          <w:tcPr>
            <w:tcW w:type="dxa" w:w="4968"/>
            <w:vAlign w:val="top"/>
          </w:tcPr>
          <w:p>
            <w:r>
              <w:t>IT Administrators</w:t>
            </w:r>
          </w:p>
        </w:tc>
        <w:tc>
          <w:tcPr>
            <w:tcW w:type="dxa" w:w="4968"/>
            <w:vAlign w:val="top"/>
          </w:tcPr>
          <w:p>
            <w:r>
              <w:t>Implement secure configurations, patching, backups, account controls and technical safeguards.</w:t>
            </w:r>
          </w:p>
        </w:tc>
      </w:tr>
      <w:tr>
        <w:tc>
          <w:tcPr>
            <w:tcW w:type="dxa" w:w="4968"/>
            <w:vAlign w:val="top"/>
          </w:tcPr>
          <w:p>
            <w:r>
              <w:t>HR</w:t>
            </w:r>
          </w:p>
        </w:tc>
        <w:tc>
          <w:tcPr>
            <w:tcW w:type="dxa" w:w="4968"/>
            <w:vAlign w:val="top"/>
          </w:tcPr>
          <w:p>
            <w:r>
              <w:t>Supports onboarding/offboarding, training records and timely notification of personnel changes.</w:t>
            </w:r>
          </w:p>
        </w:tc>
      </w:tr>
      <w:tr>
        <w:tc>
          <w:tcPr>
            <w:tcW w:type="dxa" w:w="4968"/>
            <w:vAlign w:val="top"/>
          </w:tcPr>
          <w:p>
            <w:r>
              <w:t>Employees/Contractors</w:t>
            </w:r>
          </w:p>
        </w:tc>
        <w:tc>
          <w:tcPr>
            <w:tcW w:type="dxa" w:w="4968"/>
            <w:vAlign w:val="top"/>
          </w:tcPr>
          <w:p>
            <w:r>
              <w:t>Follow policy, protect credentials and information, and report suspected incidents.</w:t>
            </w:r>
          </w:p>
        </w:tc>
      </w:tr>
      <w:tr>
        <w:tc>
          <w:tcPr>
            <w:tcW w:type="dxa" w:w="4968"/>
            <w:vAlign w:val="top"/>
          </w:tcPr>
          <w:p>
            <w:r>
              <w:t>Procurement/Vendor Management</w:t>
            </w:r>
          </w:p>
        </w:tc>
        <w:tc>
          <w:tcPr>
            <w:tcW w:type="dxa" w:w="4968"/>
            <w:vAlign w:val="top"/>
          </w:tcPr>
          <w:p>
            <w:r>
              <w:t>Ensures appropriate security requirements are considered during supplier selection and contracting.</w:t>
            </w:r>
          </w:p>
        </w:tc>
      </w:tr>
      <w:tr>
        <w:tc>
          <w:tcPr>
            <w:tcW w:type="dxa" w:w="4968"/>
            <w:vAlign w:val="top"/>
          </w:tcPr>
          <w:p>
            <w:r>
              <w:t>Internal/Independent Auditor</w:t>
            </w:r>
          </w:p>
        </w:tc>
        <w:tc>
          <w:tcPr>
            <w:tcW w:type="dxa" w:w="4968"/>
            <w:vAlign w:val="top"/>
          </w:tcPr>
          <w:p>
            <w:r>
              <w:t>Provides periodic assurance that controls and policy requirements are operating effectively.</w:t>
            </w:r>
          </w:p>
        </w:tc>
      </w:tr>
    </w:tbl>
    <w:p>
      <w:pPr>
        <w:pStyle w:val="Heading1"/>
      </w:pPr>
      <w:r>
        <w:t>8. Implementation and Enforcement Strategy</w:t>
      </w:r>
    </w:p>
    <w:p>
      <w:r>
        <w:t>The policy should be implemented in phases so that the organization gains measurable security improvements without creating unrealistic operational demands.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Timeline</w:t>
            </w:r>
          </w:p>
        </w:tc>
        <w:tc>
          <w:tcPr>
            <w:tcW w:type="dxa" w:w="4968"/>
            <w:vAlign w:val="center"/>
          </w:tcPr>
          <w:p>
            <w:r>
              <w:rPr>
                <w:b/>
              </w:rPr>
              <w:t>Key Activities</w:t>
            </w:r>
          </w:p>
        </w:tc>
      </w:tr>
      <w:tr>
        <w:tc>
          <w:tcPr>
            <w:tcW w:type="dxa" w:w="4968"/>
            <w:vAlign w:val="top"/>
          </w:tcPr>
          <w:p>
            <w:r>
              <w:t>Phase 1: 0–30 days</w:t>
            </w:r>
          </w:p>
        </w:tc>
        <w:tc>
          <w:tcPr>
            <w:tcW w:type="dxa" w:w="4968"/>
            <w:vAlign w:val="top"/>
          </w:tcPr>
          <w:p>
            <w:r>
              <w:t>Approve governance structure; identify critical assets and systems; enforce MFA for high-risk accounts; confirm backup coverage; publish incident reporting method.</w:t>
            </w:r>
          </w:p>
        </w:tc>
      </w:tr>
      <w:tr>
        <w:tc>
          <w:tcPr>
            <w:tcW w:type="dxa" w:w="4968"/>
            <w:vAlign w:val="top"/>
          </w:tcPr>
          <w:p>
            <w:r>
              <w:t>Phase 2: 31–90 days</w:t>
            </w:r>
          </w:p>
        </w:tc>
        <w:tc>
          <w:tcPr>
            <w:tcW w:type="dxa" w:w="4968"/>
            <w:vAlign w:val="top"/>
          </w:tcPr>
          <w:p>
            <w:r>
              <w:t>Complete asset inventory; formalize access reviews; establish vulnerability and patch SLAs; launch awareness training; document incident response procedures.</w:t>
            </w:r>
          </w:p>
        </w:tc>
      </w:tr>
      <w:tr>
        <w:tc>
          <w:tcPr>
            <w:tcW w:type="dxa" w:w="4968"/>
            <w:vAlign w:val="top"/>
          </w:tcPr>
          <w:p>
            <w:r>
              <w:t>Phase 3: 3–6 months</w:t>
            </w:r>
          </w:p>
        </w:tc>
        <w:tc>
          <w:tcPr>
            <w:tcW w:type="dxa" w:w="4968"/>
            <w:vAlign w:val="top"/>
          </w:tcPr>
          <w:p>
            <w:r>
              <w:t>Implement stronger logging and monitoring; improve vendor risk management; conduct backup restoration tests; establish data classification and retention rules.</w:t>
            </w:r>
          </w:p>
        </w:tc>
      </w:tr>
      <w:tr>
        <w:tc>
          <w:tcPr>
            <w:tcW w:type="dxa" w:w="4968"/>
            <w:vAlign w:val="top"/>
          </w:tcPr>
          <w:p>
            <w:r>
              <w:t>Phase 4: 6–12 months</w:t>
            </w:r>
          </w:p>
        </w:tc>
        <w:tc>
          <w:tcPr>
            <w:tcW w:type="dxa" w:w="4968"/>
            <w:vAlign w:val="top"/>
          </w:tcPr>
          <w:p>
            <w:r>
              <w:t>Perform internal security assessment; conduct incident-response exercise; test selected controls; address high-priority gaps; establish annual management review.</w:t>
            </w:r>
          </w:p>
        </w:tc>
      </w:tr>
      <w:tr>
        <w:tc>
          <w:tcPr>
            <w:tcW w:type="dxa" w:w="4968"/>
            <w:vAlign w:val="top"/>
          </w:tcPr>
          <w:p>
            <w:r>
              <w:t>Continuous</w:t>
            </w:r>
          </w:p>
        </w:tc>
        <w:tc>
          <w:tcPr>
            <w:tcW w:type="dxa" w:w="4968"/>
            <w:vAlign w:val="top"/>
          </w:tcPr>
          <w:p>
            <w:r>
              <w:t>Monitor metrics, review exceptions, update risk assessments, learn from incidents and improve policies after major technology or business changes.</w:t>
            </w:r>
          </w:p>
        </w:tc>
      </w:tr>
    </w:tbl>
    <w:p>
      <w:pPr>
        <w:pStyle w:val="Heading2"/>
      </w:pPr>
      <w:r>
        <w:t>8.1 Enforcement</w:t>
      </w:r>
    </w:p>
    <w:p>
      <w:r>
        <w:t>Policy enforcement should be consistent and proportionate. Technical controls should automate compliance wherever possible, such as MFA enforcement, endpoint management, patch reporting and access expiration. Repeated or deliberate violations may result in disciplinary action under applicable organizational procedures. However, enforcement should also distinguish between malicious behavior and genuine mistakes so that employees continue to report incidents quickly.</w:t>
      </w:r>
    </w:p>
    <w:p>
      <w:pPr>
        <w:pStyle w:val="Heading2"/>
      </w:pPr>
      <w:r>
        <w:t>8.2 Exception Management</w:t>
      </w:r>
    </w:p>
    <w:p>
      <w:pPr>
        <w:pStyle w:val="ListBullet"/>
        <w:spacing w:after="60"/>
      </w:pPr>
      <w:r>
        <w:t>Every exception must identify the requirement being bypassed and the business reason.</w:t>
      </w:r>
    </w:p>
    <w:p>
      <w:pPr>
        <w:pStyle w:val="ListBullet"/>
        <w:spacing w:after="60"/>
      </w:pPr>
      <w:r>
        <w:t>The risk created by the exception must be assessed.</w:t>
      </w:r>
    </w:p>
    <w:p>
      <w:pPr>
        <w:pStyle w:val="ListBullet"/>
        <w:spacing w:after="60"/>
      </w:pPr>
      <w:r>
        <w:t>A compensating control should be identified where possible.</w:t>
      </w:r>
    </w:p>
    <w:p>
      <w:pPr>
        <w:pStyle w:val="ListBullet"/>
        <w:spacing w:after="60"/>
      </w:pPr>
      <w:r>
        <w:t>An authorized owner must approve the exception.</w:t>
      </w:r>
    </w:p>
    <w:p>
      <w:pPr>
        <w:pStyle w:val="ListBullet"/>
        <w:spacing w:after="60"/>
      </w:pPr>
      <w:r>
        <w:t>Exceptions must have an expiry or review date and should not become permanent by default.</w:t>
      </w:r>
    </w:p>
    <w:p>
      <w:pPr>
        <w:pStyle w:val="Heading1"/>
      </w:pPr>
      <w:r>
        <w:t>9. Recommendations for Policy Enhancements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Recommendation</w:t>
            </w:r>
          </w:p>
        </w:tc>
        <w:tc>
          <w:tcPr>
            <w:tcW w:type="dxa" w:w="3312"/>
            <w:vAlign w:val="center"/>
          </w:tcPr>
          <w:p>
            <w:r>
              <w:rPr>
                <w:b/>
              </w:rPr>
              <w:t>Reason</w:t>
            </w:r>
          </w:p>
        </w:tc>
        <w:tc>
          <w:tcPr>
            <w:tcW w:type="dxa" w:w="3312"/>
            <w:vAlign w:val="center"/>
          </w:tcPr>
          <w:p>
            <w:r>
              <w:rPr>
                <w:b/>
              </w:rPr>
              <w:t>Priority</w:t>
            </w:r>
          </w:p>
        </w:tc>
      </w:tr>
      <w:tr>
        <w:tc>
          <w:tcPr>
            <w:tcW w:type="dxa" w:w="3312"/>
            <w:vAlign w:val="top"/>
          </w:tcPr>
          <w:p>
            <w:r>
              <w:t>Establish a formal security governance committee</w:t>
            </w:r>
          </w:p>
        </w:tc>
        <w:tc>
          <w:tcPr>
            <w:tcW w:type="dxa" w:w="3312"/>
            <w:vAlign w:val="top"/>
          </w:tcPr>
          <w:p>
            <w:r>
              <w:t>Creates management visibility and aligns cybersecurity with business priorities.</w:t>
            </w:r>
          </w:p>
        </w:tc>
        <w:tc>
          <w:tcPr>
            <w:tcW w:type="dxa" w:w="3312"/>
            <w:vAlign w:val="top"/>
          </w:tcPr>
          <w:p>
            <w:r>
              <w:t>High</w:t>
            </w:r>
          </w:p>
        </w:tc>
      </w:tr>
      <w:tr>
        <w:tc>
          <w:tcPr>
            <w:tcW w:type="dxa" w:w="3312"/>
            <w:vAlign w:val="top"/>
          </w:tcPr>
          <w:p>
            <w:r>
              <w:t>Adopt a risk register</w:t>
            </w:r>
          </w:p>
        </w:tc>
        <w:tc>
          <w:tcPr>
            <w:tcW w:type="dxa" w:w="3312"/>
            <w:vAlign w:val="top"/>
          </w:tcPr>
          <w:p>
            <w:r>
              <w:t>Provides a consistent way to document threats, owners, treatments and residual risk.</w:t>
            </w:r>
          </w:p>
        </w:tc>
        <w:tc>
          <w:tcPr>
            <w:tcW w:type="dxa" w:w="3312"/>
            <w:vAlign w:val="top"/>
          </w:tcPr>
          <w:p>
            <w:r>
              <w:t>High</w:t>
            </w:r>
          </w:p>
        </w:tc>
      </w:tr>
      <w:tr>
        <w:tc>
          <w:tcPr>
            <w:tcW w:type="dxa" w:w="3312"/>
            <w:vAlign w:val="top"/>
          </w:tcPr>
          <w:p>
            <w:r>
              <w:t>Make MFA universal for externally accessible and privileged services</w:t>
            </w:r>
          </w:p>
        </w:tc>
        <w:tc>
          <w:tcPr>
            <w:tcW w:type="dxa" w:w="3312"/>
            <w:vAlign w:val="top"/>
          </w:tcPr>
          <w:p>
            <w:r>
              <w:t>Reduces the impact of stolen passwords.</w:t>
            </w:r>
          </w:p>
        </w:tc>
        <w:tc>
          <w:tcPr>
            <w:tcW w:type="dxa" w:w="3312"/>
            <w:vAlign w:val="top"/>
          </w:tcPr>
          <w:p>
            <w:r>
              <w:t>High</w:t>
            </w:r>
          </w:p>
        </w:tc>
      </w:tr>
      <w:tr>
        <w:tc>
          <w:tcPr>
            <w:tcW w:type="dxa" w:w="3312"/>
            <w:vAlign w:val="top"/>
          </w:tcPr>
          <w:p>
            <w:r>
              <w:t>Introduce quarterly access reviews</w:t>
            </w:r>
          </w:p>
        </w:tc>
        <w:tc>
          <w:tcPr>
            <w:tcW w:type="dxa" w:w="3312"/>
            <w:vAlign w:val="top"/>
          </w:tcPr>
          <w:p>
            <w:r>
              <w:t>Reduces excessive and stale privileges.</w:t>
            </w:r>
          </w:p>
        </w:tc>
        <w:tc>
          <w:tcPr>
            <w:tcW w:type="dxa" w:w="3312"/>
            <w:vAlign w:val="top"/>
          </w:tcPr>
          <w:p>
            <w:r>
              <w:t>High</w:t>
            </w:r>
          </w:p>
        </w:tc>
      </w:tr>
      <w:tr>
        <w:tc>
          <w:tcPr>
            <w:tcW w:type="dxa" w:w="3312"/>
            <w:vAlign w:val="top"/>
          </w:tcPr>
          <w:p>
            <w:r>
              <w:t>Measure backup restoration, not only backup completion</w:t>
            </w:r>
          </w:p>
        </w:tc>
        <w:tc>
          <w:tcPr>
            <w:tcW w:type="dxa" w:w="3312"/>
            <w:vAlign w:val="top"/>
          </w:tcPr>
          <w:p>
            <w:r>
              <w:t>Confirms that backups can actually support recovery.</w:t>
            </w:r>
          </w:p>
        </w:tc>
        <w:tc>
          <w:tcPr>
            <w:tcW w:type="dxa" w:w="3312"/>
            <w:vAlign w:val="top"/>
          </w:tcPr>
          <w:p>
            <w:r>
              <w:t>High</w:t>
            </w:r>
          </w:p>
        </w:tc>
      </w:tr>
      <w:tr>
        <w:tc>
          <w:tcPr>
            <w:tcW w:type="dxa" w:w="3312"/>
            <w:vAlign w:val="top"/>
          </w:tcPr>
          <w:p>
            <w:r>
              <w:t>Formalize vendor security assessments</w:t>
            </w:r>
          </w:p>
        </w:tc>
        <w:tc>
          <w:tcPr>
            <w:tcW w:type="dxa" w:w="3312"/>
            <w:vAlign w:val="top"/>
          </w:tcPr>
          <w:p>
            <w:r>
              <w:t>Reduces third-party and supply-chain exposure.</w:t>
            </w:r>
          </w:p>
        </w:tc>
        <w:tc>
          <w:tcPr>
            <w:tcW w:type="dxa" w:w="3312"/>
            <w:vAlign w:val="top"/>
          </w:tcPr>
          <w:p>
            <w:r>
              <w:t>Medium</w:t>
            </w:r>
          </w:p>
        </w:tc>
      </w:tr>
      <w:tr>
        <w:tc>
          <w:tcPr>
            <w:tcW w:type="dxa" w:w="3312"/>
            <w:vAlign w:val="top"/>
          </w:tcPr>
          <w:p>
            <w:r>
              <w:t>Centralize security-relevant logging</w:t>
            </w:r>
          </w:p>
        </w:tc>
        <w:tc>
          <w:tcPr>
            <w:tcW w:type="dxa" w:w="3312"/>
            <w:vAlign w:val="top"/>
          </w:tcPr>
          <w:p>
            <w:r>
              <w:t>Improves detection, investigation and accountability.</w:t>
            </w:r>
          </w:p>
        </w:tc>
        <w:tc>
          <w:tcPr>
            <w:tcW w:type="dxa" w:w="3312"/>
            <w:vAlign w:val="top"/>
          </w:tcPr>
          <w:p>
            <w:r>
              <w:t>Medium</w:t>
            </w:r>
          </w:p>
        </w:tc>
      </w:tr>
      <w:tr>
        <w:tc>
          <w:tcPr>
            <w:tcW w:type="dxa" w:w="3312"/>
            <w:vAlign w:val="top"/>
          </w:tcPr>
          <w:p>
            <w:r>
              <w:t>Run security exercises twice a year</w:t>
            </w:r>
          </w:p>
        </w:tc>
        <w:tc>
          <w:tcPr>
            <w:tcW w:type="dxa" w:w="3312"/>
            <w:vAlign w:val="top"/>
          </w:tcPr>
          <w:p>
            <w:r>
              <w:t>Turns written procedures into practiced response capability.</w:t>
            </w:r>
          </w:p>
        </w:tc>
        <w:tc>
          <w:tcPr>
            <w:tcW w:type="dxa" w:w="3312"/>
            <w:vAlign w:val="top"/>
          </w:tcPr>
          <w:p>
            <w:r>
              <w:t>Medium</w:t>
            </w:r>
          </w:p>
        </w:tc>
      </w:tr>
      <w:tr>
        <w:tc>
          <w:tcPr>
            <w:tcW w:type="dxa" w:w="3312"/>
            <w:vAlign w:val="top"/>
          </w:tcPr>
          <w:p>
            <w:r>
              <w:t>Create policy metrics and management dashboards</w:t>
            </w:r>
          </w:p>
        </w:tc>
        <w:tc>
          <w:tcPr>
            <w:tcW w:type="dxa" w:w="3312"/>
            <w:vAlign w:val="top"/>
          </w:tcPr>
          <w:p>
            <w:r>
              <w:t>Makes security performance visible and supports continual improvement.</w:t>
            </w:r>
          </w:p>
        </w:tc>
        <w:tc>
          <w:tcPr>
            <w:tcW w:type="dxa" w:w="3312"/>
            <w:vAlign w:val="top"/>
          </w:tcPr>
          <w:p>
            <w:r>
              <w:t>Medium</w:t>
            </w:r>
          </w:p>
        </w:tc>
      </w:tr>
    </w:tbl>
    <w:p>
      <w:pPr>
        <w:pStyle w:val="Heading1"/>
      </w:pPr>
      <w:r>
        <w:t>10. Monitoring, Measurement and Review</w:t>
      </w:r>
    </w:p>
    <w:p>
      <w:r>
        <w:t>A policy is effective only when the organization can demonstrate that it is being followed and improved. The following metrics are recommended: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Metric</w:t>
            </w:r>
          </w:p>
        </w:tc>
        <w:tc>
          <w:tcPr>
            <w:tcW w:type="dxa" w:w="3312"/>
            <w:vAlign w:val="center"/>
          </w:tcPr>
          <w:p>
            <w:r>
              <w:rPr>
                <w:b/>
              </w:rPr>
              <w:t>Measurement</w:t>
            </w:r>
          </w:p>
        </w:tc>
        <w:tc>
          <w:tcPr>
            <w:tcW w:type="dxa" w:w="3312"/>
            <w:vAlign w:val="center"/>
          </w:tcPr>
          <w:p>
            <w:r>
              <w:rPr>
                <w:b/>
              </w:rPr>
              <w:t>Suggested Target</w:t>
            </w:r>
          </w:p>
        </w:tc>
      </w:tr>
      <w:tr>
        <w:tc>
          <w:tcPr>
            <w:tcW w:type="dxa" w:w="3312"/>
            <w:vAlign w:val="top"/>
          </w:tcPr>
          <w:p>
            <w:r>
              <w:t>MFA coverage</w:t>
            </w:r>
          </w:p>
        </w:tc>
        <w:tc>
          <w:tcPr>
            <w:tcW w:type="dxa" w:w="3312"/>
            <w:vAlign w:val="top"/>
          </w:tcPr>
          <w:p>
            <w:r>
              <w:t>Percentage of required accounts protected by MFA</w:t>
            </w:r>
          </w:p>
        </w:tc>
        <w:tc>
          <w:tcPr>
            <w:tcW w:type="dxa" w:w="3312"/>
            <w:vAlign w:val="top"/>
          </w:tcPr>
          <w:p>
            <w:r>
              <w:t>Target: 100% of in-scope accounts</w:t>
            </w:r>
          </w:p>
        </w:tc>
      </w:tr>
      <w:tr>
        <w:tc>
          <w:tcPr>
            <w:tcW w:type="dxa" w:w="3312"/>
            <w:vAlign w:val="top"/>
          </w:tcPr>
          <w:p>
            <w:r>
              <w:t>Critical patch compliance</w:t>
            </w:r>
          </w:p>
        </w:tc>
        <w:tc>
          <w:tcPr>
            <w:tcW w:type="dxa" w:w="3312"/>
            <w:vAlign w:val="top"/>
          </w:tcPr>
          <w:p>
            <w:r>
              <w:t>Percentage of critical assets patched within SLA</w:t>
            </w:r>
          </w:p>
        </w:tc>
        <w:tc>
          <w:tcPr>
            <w:tcW w:type="dxa" w:w="3312"/>
            <w:vAlign w:val="top"/>
          </w:tcPr>
          <w:p>
            <w:r>
              <w:t>Target: ≥95%</w:t>
            </w:r>
          </w:p>
        </w:tc>
      </w:tr>
      <w:tr>
        <w:tc>
          <w:tcPr>
            <w:tcW w:type="dxa" w:w="3312"/>
            <w:vAlign w:val="top"/>
          </w:tcPr>
          <w:p>
            <w:r>
              <w:t>Access review completion</w:t>
            </w:r>
          </w:p>
        </w:tc>
        <w:tc>
          <w:tcPr>
            <w:tcW w:type="dxa" w:w="3312"/>
            <w:vAlign w:val="top"/>
          </w:tcPr>
          <w:p>
            <w:r>
              <w:t>Percentage of scheduled reviews completed on time</w:t>
            </w:r>
          </w:p>
        </w:tc>
        <w:tc>
          <w:tcPr>
            <w:tcW w:type="dxa" w:w="3312"/>
            <w:vAlign w:val="top"/>
          </w:tcPr>
          <w:p>
            <w:r>
              <w:t>Target: 100%</w:t>
            </w:r>
          </w:p>
        </w:tc>
      </w:tr>
      <w:tr>
        <w:tc>
          <w:tcPr>
            <w:tcW w:type="dxa" w:w="3312"/>
            <w:vAlign w:val="top"/>
          </w:tcPr>
          <w:p>
            <w:r>
              <w:t>Security training completion</w:t>
            </w:r>
          </w:p>
        </w:tc>
        <w:tc>
          <w:tcPr>
            <w:tcW w:type="dxa" w:w="3312"/>
            <w:vAlign w:val="top"/>
          </w:tcPr>
          <w:p>
            <w:r>
              <w:t>Percentage of personnel completing required training</w:t>
            </w:r>
          </w:p>
        </w:tc>
        <w:tc>
          <w:tcPr>
            <w:tcW w:type="dxa" w:w="3312"/>
            <w:vAlign w:val="top"/>
          </w:tcPr>
          <w:p>
            <w:r>
              <w:t>Target: ≥98%</w:t>
            </w:r>
          </w:p>
        </w:tc>
      </w:tr>
      <w:tr>
        <w:tc>
          <w:tcPr>
            <w:tcW w:type="dxa" w:w="3312"/>
            <w:vAlign w:val="top"/>
          </w:tcPr>
          <w:p>
            <w:r>
              <w:t>Phishing reporting</w:t>
            </w:r>
          </w:p>
        </w:tc>
        <w:tc>
          <w:tcPr>
            <w:tcW w:type="dxa" w:w="3312"/>
            <w:vAlign w:val="top"/>
          </w:tcPr>
          <w:p>
            <w:r>
              <w:t>Percentage of simulated phishing recipients who report the message</w:t>
            </w:r>
          </w:p>
        </w:tc>
        <w:tc>
          <w:tcPr>
            <w:tcW w:type="dxa" w:w="3312"/>
            <w:vAlign w:val="top"/>
          </w:tcPr>
          <w:p>
            <w:r>
              <w:t>Increase over time</w:t>
            </w:r>
          </w:p>
        </w:tc>
      </w:tr>
      <w:tr>
        <w:tc>
          <w:tcPr>
            <w:tcW w:type="dxa" w:w="3312"/>
            <w:vAlign w:val="top"/>
          </w:tcPr>
          <w:p>
            <w:r>
              <w:t>Backup restoration success</w:t>
            </w:r>
          </w:p>
        </w:tc>
        <w:tc>
          <w:tcPr>
            <w:tcW w:type="dxa" w:w="3312"/>
            <w:vAlign w:val="top"/>
          </w:tcPr>
          <w:p>
            <w:r>
              <w:t>Percentage of scheduled restoration tests completed successfully</w:t>
            </w:r>
          </w:p>
        </w:tc>
        <w:tc>
          <w:tcPr>
            <w:tcW w:type="dxa" w:w="3312"/>
            <w:vAlign w:val="top"/>
          </w:tcPr>
          <w:p>
            <w:r>
              <w:t>Target: 100%</w:t>
            </w:r>
          </w:p>
        </w:tc>
      </w:tr>
      <w:tr>
        <w:tc>
          <w:tcPr>
            <w:tcW w:type="dxa" w:w="3312"/>
            <w:vAlign w:val="top"/>
          </w:tcPr>
          <w:p>
            <w:r>
              <w:t>Incident response time</w:t>
            </w:r>
          </w:p>
        </w:tc>
        <w:tc>
          <w:tcPr>
            <w:tcW w:type="dxa" w:w="3312"/>
            <w:vAlign w:val="top"/>
          </w:tcPr>
          <w:p>
            <w:r>
              <w:t>Median time from detection/reporting to containment</w:t>
            </w:r>
          </w:p>
        </w:tc>
        <w:tc>
          <w:tcPr>
            <w:tcW w:type="dxa" w:w="3312"/>
            <w:vAlign w:val="top"/>
          </w:tcPr>
          <w:p>
            <w:r>
              <w:t>Set baseline and improve quarterly</w:t>
            </w:r>
          </w:p>
        </w:tc>
      </w:tr>
      <w:tr>
        <w:tc>
          <w:tcPr>
            <w:tcW w:type="dxa" w:w="3312"/>
            <w:vAlign w:val="top"/>
          </w:tcPr>
          <w:p>
            <w:r>
              <w:t>Open high-risk findings</w:t>
            </w:r>
          </w:p>
        </w:tc>
        <w:tc>
          <w:tcPr>
            <w:tcW w:type="dxa" w:w="3312"/>
            <w:vAlign w:val="top"/>
          </w:tcPr>
          <w:p>
            <w:r>
              <w:t>Number of overdue high-risk security findings</w:t>
            </w:r>
          </w:p>
        </w:tc>
        <w:tc>
          <w:tcPr>
            <w:tcW w:type="dxa" w:w="3312"/>
            <w:vAlign w:val="top"/>
          </w:tcPr>
          <w:p>
            <w:r>
              <w:t>Trend toward zero</w:t>
            </w:r>
          </w:p>
        </w:tc>
      </w:tr>
    </w:tbl>
    <w:p>
      <w:r>
        <w:t>The policy owner should review these measures monthly or quarterly depending on the metric. A formal policy review should occur at least annually and after major incidents, significant technology changes, changes in applicable legal or contractual requirements, or material changes in organizational risk.</w:t>
      </w:r>
    </w:p>
    <w:p>
      <w:pPr>
        <w:pStyle w:val="Heading1"/>
      </w:pPr>
      <w:r>
        <w:t>11. Conclusion</w:t>
      </w:r>
    </w:p>
    <w:p>
      <w:r>
        <w:t>A medium-sized organization does not need an unnecessarily complicated security program, but it does need a consistent and accountable one. The proposed framework combines management-level governance with practical technical and operational controls. ISO/IEC 27001 provides a useful model for risk management, governance and continual improvement, while the CIS Controls provide prioritized safeguards that can be translated into concrete actions.</w:t>
      </w:r>
    </w:p>
    <w:p>
      <w:r>
        <w:t>The most important improvement is to move from informal security practices to a documented system in which every important control has an owner, a procedure, evidence of operation and a method of review. Strong identity controls, protected data, reliable backups, effective incident response, vulnerability management and security-aware employees form the foundation. Additional controls can then be introduced according to risk and available resources.</w:t>
      </w:r>
    </w:p>
    <w:p>
      <w:r>
        <w:t>If Meridian Services follows the phased implementation plan, measures performance, tests its response capabilities and continually updates its policies, the organization will have a realistic foundation for reducing cyber risk and improving resilience. The framework is designed to be adaptable: it can be expanded as the organization grows, enters new markets, adopts new technologies or becomes subject to additional regulatory and contractual requirements.</w:t>
      </w:r>
    </w:p>
    <w:p>
      <w:pPr>
        <w:pStyle w:val="Heading1"/>
      </w:pPr>
      <w:r>
        <w:t>12. References</w:t>
      </w:r>
    </w:p>
    <w:p>
      <w:pPr>
        <w:pStyle w:val="ListBullet"/>
        <w:spacing w:after="60"/>
      </w:pPr>
      <w:r>
        <w:t>International Organization for Standardization (ISO). ISO/IEC 27001:2022 — Information security, cybersecurity and privacy protection — Information security management systems — Requirements. ISO, 2022.</w:t>
      </w:r>
    </w:p>
    <w:p>
      <w:pPr>
        <w:pStyle w:val="ListBullet"/>
        <w:spacing w:after="60"/>
      </w:pPr>
      <w:r>
        <w:t>Center for Internet Security (CIS). CIS Critical Security Controls Version 8.1. CIS, current guidance accessed September 2026.</w:t>
      </w:r>
    </w:p>
    <w:p>
      <w:pPr>
        <w:pStyle w:val="ListBullet"/>
        <w:spacing w:after="60"/>
      </w:pPr>
      <w:r>
        <w:t>Center for Internet Security (CIS). CIS Critical Security Controls Implementation Groups: IG1, IG2 and IG3. CIS, current guidance accessed September 2026.</w:t>
      </w:r>
    </w:p>
    <w:p>
      <w:pPr>
        <w:pStyle w:val="ListBullet"/>
        <w:spacing w:after="60"/>
      </w:pPr>
      <w:r>
        <w:t>Center for Internet Security (CIS). CIS Policy Templates and supporting resources for the Critical Security Controls. CIS, current guidance accessed September 2026.</w:t>
      </w:r>
    </w:p>
    <w:p>
      <w:pPr>
        <w:pStyle w:val="ListBullet"/>
        <w:spacing w:after="60"/>
      </w:pPr>
      <w:r>
        <w:t>National Institute of Standards and Technology (NIST). Cybersecurity Framework (CSF) 2.0. NIST, 2024.</w:t>
      </w:r>
    </w:p>
    <w:p>
      <w:pPr>
        <w:pStyle w:val="ListBullet"/>
        <w:spacing w:after="60"/>
      </w:pPr>
      <w:r>
        <w:t>National Institute of Standards and Technology (NIST). Computer Security Incident Handling Guide, SP 800-61. NIST.</w:t>
      </w:r>
    </w:p>
    <w:p>
      <w:pPr>
        <w:pStyle w:val="ListBullet"/>
        <w:spacing w:after="60"/>
      </w:pPr>
      <w:r>
        <w:t>National Institute of Standards and Technology (NIST). Digital Identity Guidelines, SP 800-63 series. NIST.</w:t>
      </w:r>
    </w:p>
    <w:p>
      <w:pPr>
        <w:pStyle w:val="Heading1"/>
      </w:pPr>
      <w:r>
        <w:t>Appendix A — Security Policy Approval and Review Record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Details</w:t>
            </w:r>
          </w:p>
        </w:tc>
      </w:tr>
      <w:tr>
        <w:tc>
          <w:tcPr>
            <w:tcW w:type="dxa" w:w="4968"/>
            <w:vAlign w:val="top"/>
          </w:tcPr>
          <w:p>
            <w:r>
              <w:t>Policy Owner</w:t>
            </w:r>
          </w:p>
        </w:tc>
        <w:tc>
          <w:tcPr>
            <w:tcW w:type="dxa" w:w="4968"/>
            <w:vAlign w:val="top"/>
          </w:tcPr>
          <w:p>
            <w:r>
              <w:t>IT/Security Manager</w:t>
            </w:r>
          </w:p>
        </w:tc>
      </w:tr>
      <w:tr>
        <w:tc>
          <w:tcPr>
            <w:tcW w:type="dxa" w:w="4968"/>
            <w:vAlign w:val="top"/>
          </w:tcPr>
          <w:p>
            <w:r>
              <w:t>Approving Authority</w:t>
            </w:r>
          </w:p>
        </w:tc>
        <w:tc>
          <w:tcPr>
            <w:tcW w:type="dxa" w:w="4968"/>
            <w:vAlign w:val="top"/>
          </w:tcPr>
          <w:p>
            <w:r>
              <w:t>Executive Management</w:t>
            </w:r>
          </w:p>
        </w:tc>
      </w:tr>
      <w:tr>
        <w:tc>
          <w:tcPr>
            <w:tcW w:type="dxa" w:w="4968"/>
            <w:vAlign w:val="top"/>
          </w:tcPr>
          <w:p>
            <w:r>
              <w:t>Review Frequency</w:t>
            </w:r>
          </w:p>
        </w:tc>
        <w:tc>
          <w:tcPr>
            <w:tcW w:type="dxa" w:w="4968"/>
            <w:vAlign w:val="top"/>
          </w:tcPr>
          <w:p>
            <w:r>
              <w:t>At least annually and after major incidents or significant changes</w:t>
            </w:r>
          </w:p>
        </w:tc>
      </w:tr>
      <w:tr>
        <w:tc>
          <w:tcPr>
            <w:tcW w:type="dxa" w:w="4968"/>
            <w:vAlign w:val="top"/>
          </w:tcPr>
          <w:p>
            <w:r>
              <w:t>Applies To</w:t>
            </w:r>
          </w:p>
        </w:tc>
        <w:tc>
          <w:tcPr>
            <w:tcW w:type="dxa" w:w="4968"/>
            <w:vAlign w:val="top"/>
          </w:tcPr>
          <w:p>
            <w:r>
              <w:t>Employees, contractors, systems, devices, information assets and relevant third parties</w:t>
            </w:r>
          </w:p>
        </w:tc>
      </w:tr>
      <w:tr>
        <w:tc>
          <w:tcPr>
            <w:tcW w:type="dxa" w:w="4968"/>
            <w:vAlign w:val="top"/>
          </w:tcPr>
          <w:p>
            <w:r>
              <w:t>Version</w:t>
            </w:r>
          </w:p>
        </w:tc>
        <w:tc>
          <w:tcPr>
            <w:tcW w:type="dxa" w:w="4968"/>
            <w:vAlign w:val="top"/>
          </w:tcPr>
          <w:p>
            <w:r>
              <w:t>1.0</w:t>
            </w:r>
          </w:p>
        </w:tc>
      </w:tr>
      <w:tr>
        <w:tc>
          <w:tcPr>
            <w:tcW w:type="dxa" w:w="4968"/>
            <w:vAlign w:val="top"/>
          </w:tcPr>
          <w:p>
            <w:r>
              <w:t>Status</w:t>
            </w:r>
          </w:p>
        </w:tc>
        <w:tc>
          <w:tcPr>
            <w:tcW w:type="dxa" w:w="4968"/>
            <w:vAlign w:val="top"/>
          </w:tcPr>
          <w:p>
            <w:r>
              <w:t>Proposed for organizational approval</w:t>
            </w:r>
          </w:p>
        </w:tc>
      </w:tr>
    </w:tbl>
    <w:p>
      <w:pPr>
        <w:pStyle w:val="Heading1"/>
      </w:pPr>
      <w:r>
        <w:t>Appendix B — Quick Employee Security Rules</w:t>
      </w:r>
    </w:p>
    <w:p>
      <w:pPr>
        <w:pStyle w:val="ListBullet"/>
        <w:spacing w:after="60"/>
      </w:pPr>
      <w:r>
        <w:t>Use your own account; never share passwords or MFA codes.</w:t>
      </w:r>
    </w:p>
    <w:p>
      <w:pPr>
        <w:pStyle w:val="ListBullet"/>
        <w:spacing w:after="60"/>
      </w:pPr>
      <w:r>
        <w:t>Use MFA wherever it is provided or required.</w:t>
      </w:r>
    </w:p>
    <w:p>
      <w:pPr>
        <w:pStyle w:val="ListBullet"/>
        <w:spacing w:after="60"/>
      </w:pPr>
      <w:r>
        <w:t>Lock your screen when leaving your device unattended.</w:t>
      </w:r>
    </w:p>
    <w:p>
      <w:pPr>
        <w:pStyle w:val="ListBullet"/>
        <w:spacing w:after="60"/>
      </w:pPr>
      <w:r>
        <w:t>Do not open suspicious attachments or links; report suspected phishing.</w:t>
      </w:r>
    </w:p>
    <w:p>
      <w:pPr>
        <w:pStyle w:val="ListBullet"/>
        <w:spacing w:after="60"/>
      </w:pPr>
      <w:r>
        <w:t>Store company information only in approved systems.</w:t>
      </w:r>
    </w:p>
    <w:p>
      <w:pPr>
        <w:pStyle w:val="ListBullet"/>
        <w:spacing w:after="60"/>
      </w:pPr>
      <w:r>
        <w:t>Do not install unauthorized applications.</w:t>
      </w:r>
    </w:p>
    <w:p>
      <w:pPr>
        <w:pStyle w:val="ListBullet"/>
        <w:spacing w:after="60"/>
      </w:pPr>
      <w:r>
        <w:t>Report lost or stolen devices immediately.</w:t>
      </w:r>
    </w:p>
    <w:p>
      <w:pPr>
        <w:pStyle w:val="ListBullet"/>
        <w:spacing w:after="60"/>
      </w:pPr>
      <w:r>
        <w:t>Report suspected security incidents as soon as possible.</w:t>
      </w:r>
    </w:p>
    <w:p>
      <w:pPr>
        <w:pStyle w:val="ListBullet"/>
        <w:spacing w:after="60"/>
      </w:pPr>
      <w:r>
        <w:t>Do not bypass security controls without an approved exception.</w:t>
      </w:r>
    </w:p>
    <w:p>
      <w:pPr>
        <w:pStyle w:val="ListBullet"/>
        <w:spacing w:after="60"/>
      </w:pPr>
      <w:r>
        <w:t>When unsure, ask the IT/Security team before taking a risky action.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Security Policy Framework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SECURITY POLICY FRAMEWORK — HYPOTHETICAL MEDIUM-SIZED 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