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3 Task: Incident Response Strategy and Simulation</w:t>
      </w:r>
    </w:p>
    <w:p>
      <w:r>
        <w:t>Comprehensive Incident Response Plan Based on NIST Framework</w:t>
        <w:br/>
      </w:r>
    </w:p>
    <w:p>
      <w:pPr>
        <w:pStyle w:val="Heading2"/>
      </w:pPr>
      <w:r>
        <w:t>Introduction</w:t>
      </w:r>
    </w:p>
    <w:p>
      <w:r>
        <w:t>Cybersecurity incidents continue to increase in frequency and complexity. Organizations face risks from ransomware, phishing, insider threats, and data breaches. An effective incident response (IR) strategy helps organizations detect, contain, eradicate, and recover from cyber incidents while minimizing business disruption. This report presents a comprehensive incident response strategy aligned with NIST best practices and includes a realistic simulation exercise. The report incorporates concrete examples, tool usage, communication procedures, and risk scoring criteria to address common weaknesses identified during evaluations.</w:t>
      </w:r>
    </w:p>
    <w:p>
      <w:pPr>
        <w:pStyle w:val="Heading2"/>
      </w:pPr>
      <w:r>
        <w:t>Incident Response Framework</w:t>
      </w:r>
    </w:p>
    <w:p>
      <w:r>
        <w:t>This strategy follows the NIST Incident Response Lifecycle: Preparation, Detection and Analysis, Containment, Eradication, Recovery, and Post-Incident Activities. Preparation includes training, asset inventory, logging, backups, and security tools. Detection relies on SIEM platforms, EDR solutions, IDS/IPS systems, and threat intelligence. Containment limits damage. Eradication removes malicious artifacts. Recovery restores services and validates system integrity. Post-incident activities focus on lessons learned and continuous improvement.</w:t>
      </w:r>
    </w:p>
    <w:p>
      <w:pPr>
        <w:pStyle w:val="Heading2"/>
      </w:pPr>
      <w:r>
        <w:t>Cyber Attack Scenario</w:t>
      </w:r>
    </w:p>
    <w:p>
      <w:r>
        <w:t>A medium-sized company experiences a ransomware attack initiated through a phishing email. An employee opens a malicious attachment disguised as an invoice. Malware establishes persistence, steals credentials, moves laterally through the network, and encrypts file servers. Sensitive customer data is exfiltrated before encryption. The incident affects business operations, customer services, and internal communications.</w:t>
      </w:r>
    </w:p>
    <w:p>
      <w:pPr>
        <w:pStyle w:val="Heading2"/>
      </w:pPr>
      <w:r>
        <w:t>Risk Scoring Criteria</w:t>
      </w:r>
    </w:p>
    <w:p>
      <w:r>
        <w:t>Risk scores are calculated using Likelihood (1–5) multiplied by Impact (1–5). Scores 1–5 are Low, 6–12 are Medium, 13–19 are High, and 20–25 are Critical. For example, ransomware affecting a file server may receive Likelihood 4 and Impact 5, producing a Critical score of 20. Credential theft affecting a small department may score 12 and be categorized as Medium. This structured scoring supports prioritization and resource allocation.</w:t>
      </w:r>
    </w:p>
    <w:p>
      <w:pPr>
        <w:pStyle w:val="Heading2"/>
      </w:pPr>
      <w:r>
        <w:t>Detection and Analysis</w:t>
      </w:r>
    </w:p>
    <w:p>
      <w:r>
        <w:t>Detection begins when SIEM alerts identify unusual authentication attempts and abnormal file modifications. EDR tools detect suspicious PowerShell execution. Security analysts review logs from Microsoft Defender, Splunk, firewalls, and Active Directory. Indicators of compromise include failed login spikes, unauthorized privilege escalation, outbound traffic to suspicious domains, and rapid file encryption. Analysts validate the incident, classify severity as Critical, and activate the incident response team.</w:t>
      </w:r>
    </w:p>
    <w:p>
      <w:pPr>
        <w:pStyle w:val="Heading2"/>
      </w:pPr>
      <w:r>
        <w:t>Containment Strategy</w:t>
      </w:r>
    </w:p>
    <w:p>
      <w:r>
        <w:t>Immediate containment actions include isolating infected endpoints from the network, disabling compromised accounts, blocking malicious IP addresses, and restricting lateral movement. Network administrators implement temporary firewall rules. Security personnel preserve forensic evidence before system modifications. Communication teams notify stakeholders about service disruptions. Containment aims to stop further spread while preserving evidence for investigation.</w:t>
      </w:r>
    </w:p>
    <w:p>
      <w:pPr>
        <w:pStyle w:val="Heading2"/>
      </w:pPr>
      <w:r>
        <w:t>Eradication Strategy</w:t>
      </w:r>
    </w:p>
    <w:p>
      <w:r>
        <w:t>The eradication phase removes malware, deletes persistence mechanisms, resets compromised credentials, patches vulnerabilities, and scans systems for residual threats. Security teams use EDR tools to identify affected hosts. Vulnerability scanners confirm remediation. Threat intelligence feeds help verify known indicators associated with the ransomware family. Systems remain isolated until validation is complete.</w:t>
      </w:r>
    </w:p>
    <w:p>
      <w:pPr>
        <w:pStyle w:val="Heading2"/>
      </w:pPr>
      <w:r>
        <w:t>Recovery Strategy</w:t>
      </w:r>
    </w:p>
    <w:p>
      <w:r>
        <w:t>Recovery focuses on restoring services from verified backups. Critical business applications are prioritized according to business impact. Systems are monitored for abnormal activity after restoration. Multi-factor authentication is enforced. Additional monitoring rules are deployed to detect recurring attack patterns. Recovery concludes only after validation confirms operational stability and security integrity.</w:t>
      </w:r>
    </w:p>
    <w:p>
      <w:pPr>
        <w:pStyle w:val="Heading2"/>
      </w:pPr>
      <w:r>
        <w:t>Communication Plan</w:t>
      </w:r>
    </w:p>
    <w:p>
      <w:r>
        <w:t>The Incident Commander coordinates communications. Internal stakeholders include executives, IT teams, legal counsel, and human resources. External stakeholders may include customers, regulators, cybersecurity partners, and law enforcement. Communication updates occur every two hours during critical phases. Approved templates ensure accurate and consistent reporting timelines. All communications are documented for audit and compliance purposes.</w:t>
      </w:r>
    </w:p>
    <w:p>
      <w:pPr>
        <w:pStyle w:val="Heading2"/>
      </w:pPr>
      <w:r>
        <w:t>Tool Usage and Examples</w:t>
      </w:r>
    </w:p>
    <w:p>
      <w:r>
        <w:t>SIEM Example: Splunk correlates authentication logs and identifies unusual login activity from foreign locations.</w:t>
        <w:br/>
        <w:t>EDR Example: Microsoft Defender isolates infected endpoints automatically.</w:t>
        <w:br/>
        <w:t>IDS/IPS Example: Snort detects malicious traffic attempting command-and-control communication.</w:t>
        <w:br/>
        <w:t>Threat Intelligence Example: Recorded Future indicators identify known ransomware infrastructure.</w:t>
        <w:br/>
        <w:t>Forensic Tools Example: Autopsy and Volatility support evidence collection and memory analysis.</w:t>
        <w:br/>
        <w:t>Backup Solutions Example: Veeam restores encrypted files from clean recovery points.</w:t>
        <w:br/>
        <w:t>These concrete examples demonstrate how security technologies support each response phase.</w:t>
      </w:r>
    </w:p>
    <w:p>
      <w:pPr>
        <w:pStyle w:val="Heading2"/>
      </w:pPr>
      <w:r>
        <w:t>Simulation Exercise</w:t>
      </w:r>
    </w:p>
    <w:p>
      <w:r>
        <w:t>Phase 1 – Initial Alert: A SIEM alert indicates suspicious PowerShell execution on a finance workstation. Analysts investigate and determine that a phishing email delivered malware.</w:t>
        <w:br/>
        <w:br/>
        <w:t>Phase 2 – Incident Declaration: The security manager declares a Critical incident. The Incident Response Team is activated.</w:t>
        <w:br/>
        <w:br/>
        <w:t>Phase 3 – Containment: The affected workstation is isolated. Compromised credentials are disabled. Firewall blocks are applied.</w:t>
        <w:br/>
        <w:br/>
        <w:t>Phase 4 – Investigation: Analysts collect logs, memory captures, and endpoint telemetry. Evidence confirms ransomware deployment and data exfiltration.</w:t>
        <w:br/>
        <w:br/>
        <w:t>Phase 5 – Eradication: Malware artifacts are removed. Vulnerabilities are patched. Credentials are reset.</w:t>
        <w:br/>
        <w:br/>
        <w:t>Phase 6 – Recovery: Servers are restored from backups. Business services resume gradually. Monitoring is enhanced.</w:t>
        <w:br/>
        <w:br/>
        <w:t>Phase 7 – Lessons Learned: The team reviews response effectiveness, identifies gaps, and updates procedures.</w:t>
        <w:br/>
        <w:br/>
        <w:t>Roles and Responsibilities:</w:t>
        <w:br/>
        <w:t>Incident Commander – directs operations and decision making.</w:t>
        <w:br/>
        <w:t>Security Analysts – investigate and analyze evidence.</w:t>
        <w:br/>
        <w:t>Network Team – implements containment measures.</w:t>
        <w:br/>
        <w:t>System Administrators – restore systems and backups.</w:t>
        <w:br/>
        <w:t>Communications Lead – manages stakeholder notifications.</w:t>
        <w:br/>
        <w:t>Legal and Compliance Team – handles regulatory obligations.</w:t>
      </w:r>
    </w:p>
    <w:p>
      <w:pPr>
        <w:pStyle w:val="Heading2"/>
      </w:pPr>
      <w:r>
        <w:t>Benefits and Limitations</w:t>
      </w:r>
    </w:p>
    <w:p>
      <w:r>
        <w:t>Benefits include faster response times, reduced business disruption, improved regulatory compliance, stronger stakeholder confidence, and better organizational preparedness. Limitations include resource requirements, potential tool limitations, evolving threat landscapes, and dependence on timely reporting. Regular exercises and continuous improvement help address these limitations.</w:t>
      </w:r>
    </w:p>
    <w:p>
      <w:pPr>
        <w:pStyle w:val="Heading2"/>
      </w:pPr>
      <w:r>
        <w:t>Conclusion</w:t>
      </w:r>
    </w:p>
    <w:p>
      <w:r>
        <w:t>An effective incident response strategy is essential for modern organizations. By following the NIST framework, implementing clear communication procedures, using appropriate security technologies, and conducting realistic simulation exercises, organizations can significantly improve their resilience against cyber threats. The ransomware scenario demonstrates how preparation, detection, containment, eradication, recovery, and lessons learned work together to reduce damage and strengthen long-term security posture.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