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4CE" w:rsidRPr="00CF7AC1" w:rsidRDefault="00FD69D9" w:rsidP="003464CE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object w:dxaOrig="1440" w:dyaOrig="1440">
          <v:group id="_x0000_s1026" style="position:absolute;left:0;text-align:left;margin-left:-3.85pt;margin-top:325.3pt;width:501.55pt;height:202.65pt;z-index:251659264" coordorigin="1296,2016" coordsize="10031,405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2160;top:2016;width:4110;height:2582">
              <v:imagedata r:id="rId5" o:title=""/>
            </v:shape>
            <v:shape id="_x0000_s1028" type="#_x0000_t75" style="position:absolute;left:6912;top:2016;width:4095;height:2530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1296;top:2736;width:900;height:480;mso-wrap-edited:f" wrapcoords="-424 0 -424 20925 21600 20925 21600 0 -424 0" filled="f" stroked="f">
              <v:textbox style="mso-next-textbox:#_x0000_s1029">
                <w:txbxContent>
                  <w:p w:rsidR="003464CE" w:rsidRDefault="003464CE" w:rsidP="003464CE">
                    <w:pPr>
                      <w:rPr>
                        <w:sz w:val="22"/>
                      </w:rPr>
                    </w:pPr>
                    <w:r>
                      <w:rPr>
                        <w:i/>
                        <w:sz w:val="22"/>
                        <w:lang w:val="en-US"/>
                      </w:rPr>
                      <w:t>V,</w:t>
                    </w:r>
                    <w:r>
                      <w:rPr>
                        <w:sz w:val="22"/>
                        <w:lang w:val="en-US"/>
                      </w:rPr>
                      <w:t xml:space="preserve"> </w:t>
                    </w:r>
                    <w:r>
                      <w:rPr>
                        <w:sz w:val="22"/>
                      </w:rPr>
                      <w:t>м/с</w:t>
                    </w:r>
                  </w:p>
                </w:txbxContent>
              </v:textbox>
            </v:shape>
            <v:shape id="_x0000_s1030" type="#_x0000_t202" style="position:absolute;left:1322;top:4566;width:5094;height:1503;mso-wrap-edited:f" wrapcoords="-424 0 -424 20925 21600 20925 21600 0 -424 0" filled="f" stroked="f">
              <v:textbox style="mso-next-textbox:#_x0000_s1030">
                <w:txbxContent>
                  <w:p w:rsidR="003464CE" w:rsidRDefault="003464CE" w:rsidP="003464CE">
                    <w:pPr>
                      <w:pStyle w:val="2"/>
                    </w:pPr>
                    <w:r>
                      <w:t xml:space="preserve">Рис. 3.4. Изменение скорости движения штока гидроцилиндра подъема стрелы </w:t>
                    </w:r>
                    <w:r w:rsidRPr="00FD69D9">
                      <w:rPr>
                        <w:color w:val="FF0000"/>
                      </w:rPr>
                      <w:t xml:space="preserve">манипулятора ЛВ-185-07 при </w:t>
                    </w:r>
                    <w:r w:rsidRPr="00FD69D9">
                      <w:rPr>
                        <w:color w:val="FF0000"/>
                        <w:lang w:val="en-US"/>
                      </w:rPr>
                      <w:t>Q</w:t>
                    </w:r>
                    <w:r w:rsidRPr="00FD69D9">
                      <w:rPr>
                        <w:color w:val="FF0000"/>
                        <w:vertAlign w:val="subscript"/>
                      </w:rPr>
                      <w:t>н</w:t>
                    </w:r>
                    <w:r w:rsidRPr="00FD69D9">
                      <w:rPr>
                        <w:color w:val="FF0000"/>
                      </w:rPr>
                      <w:t>=1,3</w:t>
                    </w:r>
                    <w:r w:rsidRPr="00FD69D9">
                      <w:rPr>
                        <w:color w:val="FF0000"/>
                      </w:rPr>
                      <w:sym w:font="Symbol" w:char="F0D7"/>
                    </w:r>
                    <w:r w:rsidRPr="00FD69D9">
                      <w:rPr>
                        <w:color w:val="FF0000"/>
                      </w:rPr>
                      <w:t>10</w:t>
                    </w:r>
                    <w:r w:rsidRPr="00FD69D9">
                      <w:rPr>
                        <w:color w:val="FF0000"/>
                        <w:vertAlign w:val="superscript"/>
                      </w:rPr>
                      <w:t>-3</w:t>
                    </w:r>
                    <w:r w:rsidRPr="00FD69D9">
                      <w:rPr>
                        <w:color w:val="FF0000"/>
                      </w:rPr>
                      <w:t xml:space="preserve"> м</w:t>
                    </w:r>
                    <w:r w:rsidRPr="00FD69D9">
                      <w:rPr>
                        <w:color w:val="FF0000"/>
                        <w:vertAlign w:val="superscript"/>
                      </w:rPr>
                      <w:t>3</w:t>
                    </w:r>
                    <w:r w:rsidRPr="00FD69D9">
                      <w:rPr>
                        <w:color w:val="FF0000"/>
                      </w:rPr>
                      <w:t xml:space="preserve">/с, </w:t>
                    </w:r>
                    <w:proofErr w:type="spellStart"/>
                    <w:r w:rsidRPr="00FD69D9">
                      <w:rPr>
                        <w:color w:val="FF0000"/>
                      </w:rPr>
                      <w:t>К</w:t>
                    </w:r>
                    <w:r w:rsidRPr="00FD69D9">
                      <w:rPr>
                        <w:color w:val="FF0000"/>
                        <w:vertAlign w:val="subscript"/>
                      </w:rPr>
                      <w:t>р</w:t>
                    </w:r>
                    <w:proofErr w:type="spellEnd"/>
                    <w:r w:rsidRPr="00FD69D9">
                      <w:rPr>
                        <w:color w:val="FF0000"/>
                      </w:rPr>
                      <w:t>=10</w:t>
                    </w:r>
                    <w:r w:rsidRPr="00FD69D9">
                      <w:rPr>
                        <w:color w:val="FF0000"/>
                        <w:vertAlign w:val="superscript"/>
                      </w:rPr>
                      <w:t>-5</w:t>
                    </w:r>
                    <w:r w:rsidRPr="00FD69D9">
                      <w:rPr>
                        <w:color w:val="FF0000"/>
                      </w:rPr>
                      <w:t>/(7,28Р+106)</w:t>
                    </w:r>
                  </w:p>
                </w:txbxContent>
              </v:textbox>
            </v:shape>
            <v:shape id="_x0000_s1031" type="#_x0000_t202" style="position:absolute;left:6192;top:2736;width:900;height:480;mso-wrap-edited:f" wrapcoords="-424 0 -424 20925 21600 20925 21600 0 -424 0" filled="f" stroked="f">
              <v:textbox style="mso-next-textbox:#_x0000_s1031">
                <w:txbxContent>
                  <w:p w:rsidR="003464CE" w:rsidRDefault="003464CE" w:rsidP="003464CE">
                    <w:pPr>
                      <w:rPr>
                        <w:sz w:val="22"/>
                      </w:rPr>
                    </w:pPr>
                    <w:r>
                      <w:rPr>
                        <w:i/>
                        <w:sz w:val="22"/>
                        <w:lang w:val="en-US"/>
                      </w:rPr>
                      <w:sym w:font="Symbol" w:char="F077"/>
                    </w:r>
                    <w:r>
                      <w:rPr>
                        <w:i/>
                        <w:sz w:val="22"/>
                        <w:lang w:val="en-US"/>
                      </w:rPr>
                      <w:t>,</w:t>
                    </w:r>
                    <w:r>
                      <w:rPr>
                        <w:sz w:val="22"/>
                        <w:lang w:val="en-US"/>
                      </w:rPr>
                      <w:t xml:space="preserve"> 1/</w:t>
                    </w:r>
                    <w:r>
                      <w:rPr>
                        <w:sz w:val="22"/>
                      </w:rPr>
                      <w:t>с</w:t>
                    </w:r>
                  </w:p>
                </w:txbxContent>
              </v:textbox>
            </v:shape>
            <v:shape id="_x0000_s1032" type="#_x0000_t202" style="position:absolute;left:6544;top:4527;width:4783;height:1542;mso-wrap-edited:f" wrapcoords="-424 0 -424 20925 21600 20925 21600 0 -424 0" filled="f" stroked="f">
              <v:textbox style="mso-next-textbox:#_x0000_s1032">
                <w:txbxContent>
                  <w:p w:rsidR="003464CE" w:rsidRDefault="003464CE" w:rsidP="003464CE">
                    <w:pPr>
                      <w:pStyle w:val="2"/>
                    </w:pPr>
                    <w:r>
                      <w:t xml:space="preserve">Рис. 3.5 Изменение угловой скорости </w:t>
                    </w:r>
                  </w:p>
                  <w:p w:rsidR="003464CE" w:rsidRDefault="003464CE" w:rsidP="003464CE">
                    <w:pPr>
                      <w:pStyle w:val="2"/>
                      <w:rPr>
                        <w:sz w:val="24"/>
                      </w:rPr>
                    </w:pPr>
                    <w:r>
                      <w:t>с</w:t>
                    </w:r>
                    <w:bookmarkStart w:id="0" w:name="_GoBack"/>
                    <w:r>
                      <w:t>треловой группы манипулятора ЛВ-185-07</w:t>
                    </w:r>
                    <w:r w:rsidRPr="00FD69D9">
                      <w:rPr>
                        <w:color w:val="FF0000"/>
                      </w:rPr>
                      <w:t>,</w:t>
                    </w:r>
                    <w:bookmarkEnd w:id="0"/>
                    <w:r w:rsidRPr="00FD69D9">
                      <w:rPr>
                        <w:color w:val="FF0000"/>
                      </w:rPr>
                      <w:t xml:space="preserve"> при </w:t>
                    </w:r>
                    <w:proofErr w:type="spellStart"/>
                    <w:r w:rsidRPr="00FD69D9">
                      <w:rPr>
                        <w:color w:val="FF0000"/>
                      </w:rPr>
                      <w:t>К</w:t>
                    </w:r>
                    <w:r w:rsidRPr="00FD69D9">
                      <w:rPr>
                        <w:color w:val="FF0000"/>
                        <w:vertAlign w:val="subscript"/>
                      </w:rPr>
                      <w:t>р</w:t>
                    </w:r>
                    <w:proofErr w:type="spellEnd"/>
                    <w:r w:rsidRPr="00FD69D9">
                      <w:rPr>
                        <w:color w:val="FF0000"/>
                      </w:rPr>
                      <w:t>=10</w:t>
                    </w:r>
                    <w:r w:rsidRPr="00FD69D9">
                      <w:rPr>
                        <w:color w:val="FF0000"/>
                        <w:vertAlign w:val="superscript"/>
                      </w:rPr>
                      <w:t>-5</w:t>
                    </w:r>
                    <w:r w:rsidRPr="00FD69D9">
                      <w:rPr>
                        <w:color w:val="FF0000"/>
                      </w:rPr>
                      <w:t xml:space="preserve">/(7,28Р+106), </w:t>
                    </w:r>
                    <w:r w:rsidRPr="00FD69D9">
                      <w:rPr>
                        <w:color w:val="FF0000"/>
                        <w:lang w:val="en-US"/>
                      </w:rPr>
                      <w:t>Q</w:t>
                    </w:r>
                    <w:r w:rsidRPr="00FD69D9">
                      <w:rPr>
                        <w:color w:val="FF0000"/>
                        <w:vertAlign w:val="subscript"/>
                      </w:rPr>
                      <w:t>н</w:t>
                    </w:r>
                    <w:r w:rsidRPr="00FD69D9">
                      <w:rPr>
                        <w:color w:val="FF0000"/>
                      </w:rPr>
                      <w:t>=1,3</w:t>
                    </w:r>
                    <w:r w:rsidRPr="00FD69D9">
                      <w:rPr>
                        <w:color w:val="FF0000"/>
                      </w:rPr>
                      <w:sym w:font="Symbol" w:char="F0D7"/>
                    </w:r>
                    <w:r w:rsidRPr="00FD69D9">
                      <w:rPr>
                        <w:color w:val="FF0000"/>
                      </w:rPr>
                      <w:t>10</w:t>
                    </w:r>
                    <w:r w:rsidRPr="00FD69D9">
                      <w:rPr>
                        <w:color w:val="FF0000"/>
                        <w:vertAlign w:val="superscript"/>
                      </w:rPr>
                      <w:t>-3</w:t>
                    </w:r>
                    <w:r w:rsidRPr="00FD69D9">
                      <w:rPr>
                        <w:color w:val="FF0000"/>
                      </w:rPr>
                      <w:t xml:space="preserve"> м</w:t>
                    </w:r>
                    <w:r w:rsidRPr="00FD69D9">
                      <w:rPr>
                        <w:color w:val="FF0000"/>
                        <w:vertAlign w:val="superscript"/>
                      </w:rPr>
                      <w:t>3</w:t>
                    </w:r>
                    <w:r>
                      <w:t>/с</w:t>
                    </w:r>
                  </w:p>
                </w:txbxContent>
              </v:textbox>
            </v:shape>
            <w10:wrap type="topAndBottom"/>
          </v:group>
          <o:OLEObject Type="Embed" ProgID="PBrush" ShapeID="_x0000_s1027" DrawAspect="Content" ObjectID="_1778468254" r:id="rId7"/>
          <o:OLEObject Type="Embed" ProgID="PBrush" ShapeID="_x0000_s1028" DrawAspect="Content" ObjectID="_1778468255" r:id="rId8"/>
        </w:object>
      </w:r>
      <w:r w:rsidR="003464CE" w:rsidRPr="00CF7AC1">
        <w:rPr>
          <w:sz w:val="28"/>
          <w:szCs w:val="28"/>
        </w:rPr>
        <w:t xml:space="preserve">Анализируя характер изменения скорости движения штока гидроцилиндра (рис. 3.4), полученную при номинальной подаче </w:t>
      </w:r>
      <w:r w:rsidR="003464CE" w:rsidRPr="00CF7AC1">
        <w:rPr>
          <w:position w:val="-10"/>
          <w:sz w:val="28"/>
          <w:szCs w:val="28"/>
        </w:rPr>
        <w:object w:dxaOrig="1500" w:dyaOrig="360">
          <v:shape id="_x0000_i1027" type="#_x0000_t75" style="width:75pt;height:18pt" o:ole="" fillcolor="window">
            <v:imagedata r:id="rId9" o:title=""/>
          </v:shape>
          <o:OLEObject Type="Embed" ProgID="Equation.3" ShapeID="_x0000_i1027" DrawAspect="Content" ObjectID="_1778468253" r:id="rId10"/>
        </w:object>
      </w:r>
      <w:r w:rsidR="003464CE" w:rsidRPr="00CF7AC1">
        <w:rPr>
          <w:sz w:val="28"/>
          <w:szCs w:val="28"/>
        </w:rPr>
        <w:t xml:space="preserve"> м</w:t>
      </w:r>
      <w:r w:rsidR="003464CE" w:rsidRPr="00CF7AC1">
        <w:rPr>
          <w:sz w:val="28"/>
          <w:szCs w:val="28"/>
          <w:vertAlign w:val="superscript"/>
        </w:rPr>
        <w:t>3</w:t>
      </w:r>
      <w:r w:rsidR="003464CE" w:rsidRPr="00CF7AC1">
        <w:rPr>
          <w:sz w:val="28"/>
          <w:szCs w:val="28"/>
        </w:rPr>
        <w:t xml:space="preserve">/с, нужно отметить, что после завершения переходного процесса скорость движения штока практически не изменяется. Такой вывод подтверждается исследованиями Л.М. </w:t>
      </w:r>
      <w:proofErr w:type="spellStart"/>
      <w:r w:rsidR="003464CE" w:rsidRPr="00CF7AC1">
        <w:rPr>
          <w:sz w:val="28"/>
          <w:szCs w:val="28"/>
        </w:rPr>
        <w:t>Тарко</w:t>
      </w:r>
      <w:proofErr w:type="spellEnd"/>
      <w:r w:rsidR="003464CE" w:rsidRPr="00CF7AC1">
        <w:rPr>
          <w:sz w:val="28"/>
          <w:szCs w:val="28"/>
        </w:rPr>
        <w:t xml:space="preserve"> </w:t>
      </w:r>
      <w:r w:rsidR="003464CE">
        <w:rPr>
          <w:sz w:val="28"/>
          <w:szCs w:val="28"/>
        </w:rPr>
        <w:t>[</w:t>
      </w:r>
      <w:r w:rsidR="003464CE">
        <w:rPr>
          <w:sz w:val="28"/>
          <w:szCs w:val="28"/>
        </w:rPr>
        <w:fldChar w:fldCharType="begin"/>
      </w:r>
      <w:r w:rsidR="003464CE">
        <w:rPr>
          <w:sz w:val="28"/>
          <w:szCs w:val="28"/>
        </w:rPr>
        <w:instrText xml:space="preserve"> REF _Ref273539034 \r \h  \* MERGEFORMAT </w:instrText>
      </w:r>
      <w:r w:rsidR="003464CE">
        <w:rPr>
          <w:sz w:val="28"/>
          <w:szCs w:val="28"/>
        </w:rPr>
      </w:r>
      <w:r w:rsidR="003464CE">
        <w:rPr>
          <w:sz w:val="28"/>
          <w:szCs w:val="28"/>
        </w:rPr>
        <w:fldChar w:fldCharType="separate"/>
      </w:r>
      <w:r w:rsidR="003464CE">
        <w:rPr>
          <w:sz w:val="28"/>
          <w:szCs w:val="28"/>
        </w:rPr>
        <w:t>159</w:t>
      </w:r>
      <w:r w:rsidR="003464CE">
        <w:rPr>
          <w:sz w:val="28"/>
          <w:szCs w:val="28"/>
        </w:rPr>
        <w:fldChar w:fldCharType="end"/>
      </w:r>
      <w:r w:rsidR="003464CE">
        <w:rPr>
          <w:sz w:val="28"/>
          <w:szCs w:val="28"/>
        </w:rPr>
        <w:t>]</w:t>
      </w:r>
      <w:r w:rsidR="003464CE" w:rsidRPr="00CF7AC1">
        <w:rPr>
          <w:sz w:val="28"/>
          <w:szCs w:val="28"/>
        </w:rPr>
        <w:t xml:space="preserve">. Следовательно, вполне корректно допущение о постоянстве скорости движения штока, принятое в разделе 2.1 при определении оптимальных значений параметров механизма подъема стрелы. Итак, при определении оптимальных значений параметров механизма подъема стрелы можно не учитывать податливость рабочей жидкости и элементов гидропривода. Угловая скорость стрелы (рис 3.5) изменяется на протяжении всего процесса подъема стрелы. Изменение угловой скорости стрелы при постоянной скорости движения штока объясняется изменением углов между элементами </w:t>
      </w:r>
      <w:proofErr w:type="spellStart"/>
      <w:r w:rsidR="003464CE" w:rsidRPr="00CF7AC1">
        <w:rPr>
          <w:sz w:val="28"/>
          <w:szCs w:val="28"/>
        </w:rPr>
        <w:t>гидроманипулятора</w:t>
      </w:r>
      <w:proofErr w:type="spellEnd"/>
      <w:r w:rsidR="003464CE" w:rsidRPr="00CF7AC1">
        <w:rPr>
          <w:sz w:val="28"/>
          <w:szCs w:val="28"/>
        </w:rPr>
        <w:t>.</w:t>
      </w:r>
    </w:p>
    <w:p w:rsidR="003464CE" w:rsidRDefault="003464CE" w:rsidP="003464CE">
      <w:pPr>
        <w:pStyle w:val="a3"/>
        <w:spacing w:line="360" w:lineRule="auto"/>
        <w:ind w:firstLine="720"/>
        <w:rPr>
          <w:sz w:val="28"/>
          <w:szCs w:val="28"/>
        </w:rPr>
      </w:pPr>
    </w:p>
    <w:p w:rsidR="003464CE" w:rsidRPr="00CF7AC1" w:rsidRDefault="003464CE" w:rsidP="003464CE">
      <w:pPr>
        <w:pStyle w:val="a3"/>
        <w:spacing w:line="360" w:lineRule="auto"/>
        <w:ind w:firstLine="720"/>
        <w:rPr>
          <w:sz w:val="28"/>
          <w:szCs w:val="28"/>
        </w:rPr>
      </w:pPr>
      <w:r w:rsidRPr="00CF7AC1">
        <w:rPr>
          <w:sz w:val="28"/>
          <w:szCs w:val="28"/>
        </w:rPr>
        <w:t>Характер изменения скорости штока и угловой скорости стрелы не изменяется при уменьшении подачи насоса с 1,33</w:t>
      </w:r>
      <w:r w:rsidRPr="00CF7AC1">
        <w:rPr>
          <w:sz w:val="28"/>
          <w:szCs w:val="28"/>
        </w:rPr>
        <w:sym w:font="Symbol" w:char="F0D7"/>
      </w:r>
      <w:r w:rsidRPr="00CF7AC1">
        <w:rPr>
          <w:sz w:val="28"/>
          <w:szCs w:val="28"/>
        </w:rPr>
        <w:t>10</w:t>
      </w:r>
      <w:r w:rsidRPr="00CF7AC1">
        <w:rPr>
          <w:sz w:val="28"/>
          <w:szCs w:val="28"/>
          <w:vertAlign w:val="superscript"/>
        </w:rPr>
        <w:t xml:space="preserve">-3 </w:t>
      </w:r>
      <w:r w:rsidRPr="00CF7AC1">
        <w:rPr>
          <w:sz w:val="28"/>
          <w:szCs w:val="28"/>
        </w:rPr>
        <w:t>м</w:t>
      </w:r>
      <w:r w:rsidRPr="00CF7AC1">
        <w:rPr>
          <w:sz w:val="28"/>
          <w:szCs w:val="28"/>
          <w:vertAlign w:val="superscript"/>
        </w:rPr>
        <w:t>3</w:t>
      </w:r>
      <w:r w:rsidRPr="00CF7AC1">
        <w:rPr>
          <w:sz w:val="28"/>
          <w:szCs w:val="28"/>
        </w:rPr>
        <w:t>/с до 0,5</w:t>
      </w:r>
      <w:r w:rsidRPr="00CF7AC1">
        <w:rPr>
          <w:sz w:val="28"/>
          <w:szCs w:val="28"/>
        </w:rPr>
        <w:sym w:font="Symbol" w:char="F0D7"/>
      </w:r>
      <w:r w:rsidRPr="00CF7AC1">
        <w:rPr>
          <w:sz w:val="28"/>
          <w:szCs w:val="28"/>
        </w:rPr>
        <w:t>10</w:t>
      </w:r>
      <w:r w:rsidRPr="00CF7AC1">
        <w:rPr>
          <w:sz w:val="28"/>
          <w:szCs w:val="28"/>
          <w:vertAlign w:val="superscript"/>
        </w:rPr>
        <w:t xml:space="preserve">-3 </w:t>
      </w:r>
      <w:r w:rsidRPr="00CF7AC1">
        <w:rPr>
          <w:sz w:val="28"/>
          <w:szCs w:val="28"/>
        </w:rPr>
        <w:t xml:space="preserve"> м</w:t>
      </w:r>
      <w:r w:rsidRPr="00CF7AC1">
        <w:rPr>
          <w:sz w:val="28"/>
          <w:szCs w:val="28"/>
          <w:vertAlign w:val="superscript"/>
        </w:rPr>
        <w:t>3</w:t>
      </w:r>
      <w:r w:rsidRPr="00CF7AC1">
        <w:rPr>
          <w:sz w:val="28"/>
          <w:szCs w:val="28"/>
        </w:rPr>
        <w:t>/с. Снижаются лишь величины этих скоростей.</w:t>
      </w:r>
    </w:p>
    <w:p w:rsidR="003464CE" w:rsidRPr="00CF7AC1" w:rsidRDefault="003464CE" w:rsidP="003464CE">
      <w:pPr>
        <w:pStyle w:val="a3"/>
        <w:spacing w:line="360" w:lineRule="auto"/>
        <w:ind w:firstLine="720"/>
        <w:rPr>
          <w:sz w:val="28"/>
          <w:szCs w:val="28"/>
        </w:rPr>
      </w:pPr>
      <w:r w:rsidRPr="00CF7AC1">
        <w:rPr>
          <w:sz w:val="28"/>
          <w:szCs w:val="28"/>
        </w:rPr>
        <w:t xml:space="preserve">При увеличении податливости рабочей жидкости в два раза (что возможно при повышении температуры) пиковое значение давления (рис. 3.6) несколько превышает соответствующее значение при меньшей податливости (рис. 3.2). При установившемся режиме движения штока </w:t>
      </w:r>
      <w:proofErr w:type="gramStart"/>
      <w:r w:rsidRPr="00CF7AC1">
        <w:rPr>
          <w:sz w:val="28"/>
          <w:szCs w:val="28"/>
        </w:rPr>
        <w:t xml:space="preserve">гидроцилиндра  </w:t>
      </w:r>
      <w:r w:rsidRPr="00CF7AC1">
        <w:rPr>
          <w:sz w:val="28"/>
          <w:szCs w:val="28"/>
        </w:rPr>
        <w:lastRenderedPageBreak/>
        <w:t>характер</w:t>
      </w:r>
      <w:proofErr w:type="gramEnd"/>
      <w:r w:rsidRPr="00CF7AC1">
        <w:rPr>
          <w:sz w:val="28"/>
          <w:szCs w:val="28"/>
        </w:rPr>
        <w:t xml:space="preserve"> изменения давления в поршневой полости ГЦ стрелы (рис. 3.6) не изменяется по сравнению случаем с меньшей податливостью (рис. 3.2).</w:t>
      </w:r>
    </w:p>
    <w:p w:rsidR="003464CE" w:rsidRPr="00CF7AC1" w:rsidRDefault="00FD69D9" w:rsidP="003464CE">
      <w:pPr>
        <w:pStyle w:val="a3"/>
        <w:spacing w:line="360" w:lineRule="auto"/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object w:dxaOrig="1440" w:dyaOrig="1440">
          <v:group id="_x0000_s1033" style="position:absolute;left:0;text-align:left;margin-left:-13.3pt;margin-top:3.2pt;width:298.45pt;height:207.35pt;z-index:251660288" coordorigin="1152,2448" coordsize="5969,4147" o:allowincell="f">
            <v:group id="_x0000_s1034" style="position:absolute;left:1440;top:2448;width:5681;height:4147" coordorigin="1316,2361" coordsize="5681,4147">
              <v:shape id="_x0000_s1035" type="#_x0000_t202" style="position:absolute;left:1316;top:5051;width:5681;height:1457;mso-wrap-edited:f" wrapcoords="-75 0 -75 21221 21600 21221 21600 0 -75 0" filled="f" stroked="f">
                <v:textbox style="mso-next-textbox:#_x0000_s1035">
                  <w:txbxContent>
                    <w:p w:rsidR="003464CE" w:rsidRDefault="003464CE" w:rsidP="003464CE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Рис. 3.6. Расчетная зависимость давления от времени в гидроцилиндре подъема стрелы манипулятора ЛВ-185-07 </w:t>
                      </w:r>
                    </w:p>
                    <w:p w:rsidR="003464CE" w:rsidRPr="00FD69D9" w:rsidRDefault="003464CE" w:rsidP="003464CE">
                      <w:pPr>
                        <w:rPr>
                          <w:color w:val="FF0000"/>
                          <w:sz w:val="28"/>
                        </w:rPr>
                      </w:pPr>
                      <w:r w:rsidRPr="00FD69D9">
                        <w:rPr>
                          <w:color w:val="FF0000"/>
                          <w:sz w:val="28"/>
                        </w:rPr>
                        <w:t xml:space="preserve">при </w:t>
                      </w:r>
                      <w:r w:rsidRPr="00FD69D9">
                        <w:rPr>
                          <w:color w:val="FF0000"/>
                          <w:sz w:val="28"/>
                          <w:lang w:val="en-US"/>
                        </w:rPr>
                        <w:t>Q</w:t>
                      </w:r>
                      <w:r w:rsidRPr="00FD69D9">
                        <w:rPr>
                          <w:color w:val="FF0000"/>
                          <w:sz w:val="28"/>
                          <w:vertAlign w:val="subscript"/>
                        </w:rPr>
                        <w:t>н</w:t>
                      </w:r>
                      <w:r w:rsidRPr="00FD69D9">
                        <w:rPr>
                          <w:color w:val="FF0000"/>
                          <w:sz w:val="28"/>
                        </w:rPr>
                        <w:t>=1,33</w:t>
                      </w:r>
                      <w:r w:rsidRPr="00FD69D9">
                        <w:rPr>
                          <w:color w:val="FF0000"/>
                          <w:sz w:val="28"/>
                        </w:rPr>
                        <w:sym w:font="Symbol" w:char="F0D7"/>
                      </w:r>
                      <w:r w:rsidRPr="00FD69D9">
                        <w:rPr>
                          <w:color w:val="FF0000"/>
                          <w:sz w:val="28"/>
                        </w:rPr>
                        <w:t>10</w:t>
                      </w:r>
                      <w:r w:rsidRPr="00FD69D9">
                        <w:rPr>
                          <w:color w:val="FF0000"/>
                          <w:sz w:val="28"/>
                          <w:vertAlign w:val="superscript"/>
                        </w:rPr>
                        <w:t>-3</w:t>
                      </w:r>
                      <w:r w:rsidRPr="00FD69D9">
                        <w:rPr>
                          <w:color w:val="FF0000"/>
                          <w:sz w:val="28"/>
                        </w:rPr>
                        <w:t>м</w:t>
                      </w:r>
                      <w:r w:rsidRPr="00FD69D9">
                        <w:rPr>
                          <w:color w:val="FF0000"/>
                          <w:sz w:val="28"/>
                          <w:vertAlign w:val="superscript"/>
                        </w:rPr>
                        <w:t>3</w:t>
                      </w:r>
                      <w:r w:rsidRPr="00FD69D9">
                        <w:rPr>
                          <w:color w:val="FF0000"/>
                          <w:sz w:val="28"/>
                        </w:rPr>
                        <w:t xml:space="preserve">/с, </w:t>
                      </w:r>
                      <w:proofErr w:type="spellStart"/>
                      <w:r w:rsidRPr="00FD69D9">
                        <w:rPr>
                          <w:color w:val="FF0000"/>
                          <w:sz w:val="28"/>
                        </w:rPr>
                        <w:t>К</w:t>
                      </w:r>
                      <w:r w:rsidRPr="00FD69D9">
                        <w:rPr>
                          <w:color w:val="FF0000"/>
                          <w:sz w:val="28"/>
                          <w:vertAlign w:val="subscript"/>
                        </w:rPr>
                        <w:t>р</w:t>
                      </w:r>
                      <w:proofErr w:type="spellEnd"/>
                      <w:r w:rsidRPr="00FD69D9">
                        <w:rPr>
                          <w:color w:val="FF0000"/>
                          <w:sz w:val="28"/>
                        </w:rPr>
                        <w:t>=2</w:t>
                      </w:r>
                      <w:r w:rsidRPr="00FD69D9">
                        <w:rPr>
                          <w:color w:val="FF0000"/>
                          <w:sz w:val="28"/>
                        </w:rPr>
                        <w:sym w:font="Symbol" w:char="F0D7"/>
                      </w:r>
                      <w:r w:rsidRPr="00FD69D9">
                        <w:rPr>
                          <w:color w:val="FF0000"/>
                          <w:sz w:val="28"/>
                        </w:rPr>
                        <w:t>10</w:t>
                      </w:r>
                      <w:r w:rsidRPr="00FD69D9">
                        <w:rPr>
                          <w:color w:val="FF0000"/>
                          <w:sz w:val="28"/>
                          <w:vertAlign w:val="superscript"/>
                        </w:rPr>
                        <w:t>-5</w:t>
                      </w:r>
                      <w:r w:rsidRPr="00FD69D9">
                        <w:rPr>
                          <w:color w:val="FF0000"/>
                          <w:sz w:val="28"/>
                        </w:rPr>
                        <w:t>/(7,28Р+106)</w:t>
                      </w:r>
                    </w:p>
                  </w:txbxContent>
                </v:textbox>
              </v:shape>
              <v:shape id="_x0000_s1036" type="#_x0000_t75" style="position:absolute;left:2016;top:2361;width:4320;height:2827">
                <v:imagedata r:id="rId11" o:title=""/>
              </v:shape>
            </v:group>
            <v:shape id="_x0000_s1037" type="#_x0000_t202" style="position:absolute;left:1152;top:3210;width:1037;height:540;mso-wrap-edited:f" wrapcoords="-554 0 -554 21098 21600 21098 21600 0 -554 0" filled="f" stroked="f">
              <v:textbox style="mso-next-textbox:#_x0000_s1037">
                <w:txbxContent>
                  <w:p w:rsidR="003464CE" w:rsidRDefault="003464CE" w:rsidP="003464CE">
                    <w:pPr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Р, МПа</w:t>
                    </w:r>
                  </w:p>
                </w:txbxContent>
              </v:textbox>
            </v:shape>
            <w10:wrap type="square" side="right"/>
          </v:group>
          <o:OLEObject Type="Embed" ProgID="PBrush" ShapeID="_x0000_s1036" DrawAspect="Content" ObjectID="_1778468256" r:id="rId12"/>
        </w:object>
      </w:r>
      <w:r w:rsidR="003464CE" w:rsidRPr="00CF7AC1">
        <w:rPr>
          <w:sz w:val="28"/>
          <w:szCs w:val="28"/>
        </w:rPr>
        <w:t xml:space="preserve">Увеличение пикового значения давления при выбранном изменении </w:t>
      </w:r>
      <w:proofErr w:type="spellStart"/>
      <w:proofErr w:type="gramStart"/>
      <w:r w:rsidR="003464CE" w:rsidRPr="00CF7AC1">
        <w:rPr>
          <w:sz w:val="28"/>
          <w:szCs w:val="28"/>
        </w:rPr>
        <w:t>подат-ливости</w:t>
      </w:r>
      <w:proofErr w:type="spellEnd"/>
      <w:proofErr w:type="gramEnd"/>
      <w:r w:rsidR="003464CE" w:rsidRPr="00CF7AC1">
        <w:rPr>
          <w:sz w:val="28"/>
          <w:szCs w:val="28"/>
        </w:rPr>
        <w:t xml:space="preserve"> рабочей жидкости объясняется большими </w:t>
      </w:r>
      <w:proofErr w:type="spellStart"/>
      <w:r w:rsidR="003464CE" w:rsidRPr="00CF7AC1">
        <w:rPr>
          <w:sz w:val="28"/>
          <w:szCs w:val="28"/>
        </w:rPr>
        <w:t>инер-ционными</w:t>
      </w:r>
      <w:proofErr w:type="spellEnd"/>
      <w:r w:rsidR="003464CE" w:rsidRPr="00CF7AC1">
        <w:rPr>
          <w:sz w:val="28"/>
          <w:szCs w:val="28"/>
        </w:rPr>
        <w:t xml:space="preserve"> силами, которые возникают в начальный период движения стреловой группы вследствие более позднего </w:t>
      </w:r>
      <w:proofErr w:type="spellStart"/>
      <w:r w:rsidR="003464CE" w:rsidRPr="00CF7AC1">
        <w:rPr>
          <w:sz w:val="28"/>
          <w:szCs w:val="28"/>
        </w:rPr>
        <w:t>страгивания</w:t>
      </w:r>
      <w:proofErr w:type="spellEnd"/>
      <w:r w:rsidR="003464CE" w:rsidRPr="00CF7AC1">
        <w:rPr>
          <w:sz w:val="28"/>
          <w:szCs w:val="28"/>
        </w:rPr>
        <w:t xml:space="preserve"> при большем значении подачи рабочей жидкости, линейно растущей с течением времени в период переходного процесса.</w:t>
      </w:r>
    </w:p>
    <w:p w:rsidR="003464CE" w:rsidRPr="00CF7AC1" w:rsidRDefault="003464CE" w:rsidP="003464CE">
      <w:pPr>
        <w:pStyle w:val="a3"/>
        <w:spacing w:line="360" w:lineRule="auto"/>
        <w:ind w:firstLine="720"/>
        <w:rPr>
          <w:sz w:val="28"/>
          <w:szCs w:val="28"/>
        </w:rPr>
      </w:pPr>
      <w:r w:rsidRPr="00CF7AC1">
        <w:rPr>
          <w:sz w:val="28"/>
          <w:szCs w:val="28"/>
        </w:rPr>
        <w:t xml:space="preserve">Расчетные пиковые давления значительно превышают значения, полученные при натурных испытаниях манипуляторов (гл. </w:t>
      </w:r>
      <w:r>
        <w:rPr>
          <w:sz w:val="28"/>
          <w:szCs w:val="28"/>
        </w:rPr>
        <w:t>7</w:t>
      </w:r>
      <w:r w:rsidRPr="00CF7AC1">
        <w:rPr>
          <w:sz w:val="28"/>
          <w:szCs w:val="28"/>
        </w:rPr>
        <w:t>). Следовательно, необходимо более точно учитывать характер изменения подачи рабочей жидкости, работу предохранительных устройств и, возможно, учитывать податливость звеньев манипулятора.</w:t>
      </w:r>
    </w:p>
    <w:p w:rsidR="003464CE" w:rsidRPr="00CF7AC1" w:rsidRDefault="003464CE" w:rsidP="003464CE">
      <w:pPr>
        <w:pStyle w:val="a3"/>
        <w:spacing w:line="360" w:lineRule="auto"/>
        <w:ind w:firstLine="720"/>
        <w:rPr>
          <w:sz w:val="28"/>
          <w:szCs w:val="28"/>
        </w:rPr>
      </w:pPr>
      <w:r w:rsidRPr="00CF7AC1">
        <w:rPr>
          <w:sz w:val="28"/>
          <w:szCs w:val="28"/>
        </w:rPr>
        <w:t>При определении коэффициента податливости следует учитывать объем деформируемой рабочей жидкости в гидроцилиндре и трубопроводах.</w:t>
      </w:r>
    </w:p>
    <w:p w:rsidR="00DE7815" w:rsidRDefault="00FD69D9"/>
    <w:sectPr w:rsidR="00DE78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03AFF"/>
    <w:multiLevelType w:val="hybridMultilevel"/>
    <w:tmpl w:val="0BB6A1DE"/>
    <w:lvl w:ilvl="0" w:tplc="27160252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8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A6A"/>
    <w:rsid w:val="00277A6A"/>
    <w:rsid w:val="003464CE"/>
    <w:rsid w:val="009F1078"/>
    <w:rsid w:val="00B32C2E"/>
    <w:rsid w:val="00FD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5:chartTrackingRefBased/>
  <w15:docId w15:val="{C770B6C3-1E08-4253-9448-7B6659CD4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64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3464CE"/>
    <w:pPr>
      <w:ind w:firstLine="510"/>
      <w:jc w:val="both"/>
    </w:pPr>
  </w:style>
  <w:style w:type="character" w:customStyle="1" w:styleId="a4">
    <w:name w:val="Основной текст с отступом Знак"/>
    <w:basedOn w:val="a0"/>
    <w:link w:val="a3"/>
    <w:rsid w:val="003464C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Body Text 2"/>
    <w:basedOn w:val="a"/>
    <w:link w:val="20"/>
    <w:rsid w:val="003464CE"/>
    <w:rPr>
      <w:sz w:val="28"/>
    </w:rPr>
  </w:style>
  <w:style w:type="character" w:customStyle="1" w:styleId="20">
    <w:name w:val="Основной текст 2 Знак"/>
    <w:basedOn w:val="a0"/>
    <w:link w:val="2"/>
    <w:rsid w:val="003464C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">
    <w:name w:val="1"/>
    <w:basedOn w:val="a"/>
    <w:rsid w:val="003464CE"/>
    <w:pPr>
      <w:numPr>
        <w:numId w:val="1"/>
      </w:numPr>
      <w:spacing w:after="160" w:line="240" w:lineRule="exact"/>
    </w:pPr>
    <w:rPr>
      <w:i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</dc:creator>
  <cp:keywords/>
  <dc:description/>
  <cp:lastModifiedBy>Petr</cp:lastModifiedBy>
  <cp:revision>4</cp:revision>
  <dcterms:created xsi:type="dcterms:W3CDTF">2024-05-14T07:36:00Z</dcterms:created>
  <dcterms:modified xsi:type="dcterms:W3CDTF">2024-05-29T03:11:00Z</dcterms:modified>
</cp:coreProperties>
</file>