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v0.2.6-batch11)</w:t>
        <w:br/>
      </w:r>
      <w:r>
        <w:rPr>
          <w:rFonts w:ascii="Arial" w:hAnsi="Arial"/>
          <w:color w:val="404040"/>
          <w:sz w:val="20"/>
        </w:rPr>
        <w:t>Concept DOI: 10.5281/zenodo.20024578</w:t>
        <w:br/>
      </w:r>
      <w:r>
        <w:rPr>
          <w:rFonts w:ascii="Arial" w:hAnsi="Arial"/>
          <w:color w:val="404040"/>
          <w:sz w:val="20"/>
        </w:rPr>
        <w:t>Compiled: 2026-05-05</w:t>
        <w:br/>
      </w:r>
    </w:p>
    <w:p>
      <w:r>
        <w:rPr>
          <w:rFonts w:ascii="Arial" w:hAnsi="Arial"/>
          <w:sz w:val="20"/>
        </w:rPr>
        <w:br w:type="page"/>
      </w:r>
    </w:p>
    <w:p>
      <w:pPr>
        <w:keepNext/>
        <w:spacing w:before="240" w:after="120"/>
      </w:pPr>
      <w:bookmarkStart w:id="77458" w:name="provenance"/>
      <w:r>
        <w:rPr>
          <w:rFonts w:ascii="Arial" w:hAnsi="Arial"/>
          <w:b/>
          <w:color w:val="A12C7B"/>
          <w:sz w:val="32"/>
        </w:rPr>
        <w:t>Data provenance declaration</w:t>
      </w:r>
      <w:bookmarkEnd w:id="77458"/>
    </w:p>
    <w:p>
      <w:r>
        <w:rPr>
          <w:rFonts w:ascii="Arial" w:hAnsi="Arial"/>
          <w:sz w:val="20"/>
        </w:rPr>
        <w:t>This supplement is built as part of an active reproducibility protocol. The numerical results in Tables S1–S9 and Figures S1–S2 are produced by the harness in github.com/pandasupranab/RiceBaCI-GEE under release v0.2.6-batch11. As of this build date (2026-05-05) the repository is running on:</w:t>
      </w:r>
    </w:p>
    <w:p>
      <w:pPr>
        <w:pStyle w:val="ListBullet"/>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pPr>
      <w:r>
        <w:rPr>
          <w:rFonts w:ascii="Arial" w:hAnsi="Arial"/>
          <w:sz w:val="20"/>
        </w:rPr>
        <w:t>Literature-calibrated canonical Sentinel-1 backscatter signatures (Module 12) — idealised ΔVH/ΔVV/ΔCR profiles anchored to Hoshikawa 2023, Wali 2020, Filipponi 2019, Konkathi 2024, Lee &amp; Pottier 2009. To be replaced by direct measurement on Sentinel-1 IW GRD time-series; Table S9 / Figure S2.</w:t>
      </w:r>
    </w:p>
    <w:p>
      <w:pPr>
        <w:pStyle w:val="ListBullet"/>
      </w:pPr>
      <w:r>
        <w:rPr>
          <w:rFonts w:ascii="Arial" w:hAnsi="Arial"/>
          <w:sz w:val="20"/>
        </w:rPr>
        <w:t>Indicative Module 02 random-forest baseline numbers (Tables S10/S11 to be added) — pending direct retraining on Sentinel-1 labelled pixels.</w:t>
      </w:r>
    </w:p>
    <w:p>
      <w:r>
        <w:rPr>
          <w:rFonts w:ascii="Arial" w:hAnsi="Arial"/>
          <w:i/>
          <w:sz w:val="20"/>
        </w:rPr>
        <w:t>All structural claims (study design, identification strategy, falsifiability conditions, mechanism physics, climatological framing, code organisation) are independent of the numerical placeholders and remain valid. The numbers will be replaced in release v0.3.0-real-data; this supplement will be re-built unchanged in structure with the real values substituted in. No modelling decision in this document is post-hoc to the data.</w:t>
      </w:r>
    </w:p>
    <w:p>
      <w:r>
        <w:rPr>
          <w:rFonts w:ascii="Arial" w:hAnsi="Arial"/>
          <w:sz w:val="20"/>
        </w:rPr>
        <w:br w:type="page"/>
      </w:r>
    </w:p>
    <w:p>
      <w:pPr>
        <w:keepNext/>
        <w:spacing w:before="240" w:after="120"/>
      </w:pPr>
      <w:bookmarkStart w:id="51420" w:name="toc"/>
      <w:r>
        <w:rPr>
          <w:rFonts w:ascii="Arial" w:hAnsi="Arial"/>
          <w:b/>
          <w:color w:val="141414"/>
          <w:sz w:val="32"/>
        </w:rPr>
        <w:t>Contents</w:t>
      </w:r>
      <w:bookmarkEnd w:id="51420"/>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Canonical Sentinel-1 dual-pol backscatter features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Canonical backscatter signatures — VH/VV/CR vs DOY</w:t>
      </w:r>
    </w:p>
    <w:p>
      <w:r>
        <w:rPr>
          <w:rFonts w:ascii="Arial" w:hAnsi="Arial"/>
          <w:sz w:val="20"/>
        </w:rPr>
        <w:br w:type="page"/>
      </w:r>
    </w:p>
    <w:p>
      <w:pPr>
        <w:keepNext/>
        <w:spacing w:before="240" w:after="120"/>
      </w:pPr>
      <w:bookmarkStart w:id="70310" w:name="note_s1"/>
      <w:r>
        <w:rPr>
          <w:rFonts w:ascii="Arial" w:hAnsi="Arial"/>
          <w:b/>
          <w:color w:val="1F3A5F"/>
          <w:sz w:val="32"/>
        </w:rPr>
        <w:t>Note S1 — Bulbul (2019) transferability probe</w:t>
      </w:r>
      <w:bookmarkEnd w:id="70310"/>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r>
        <w:rPr>
          <w:rFonts w:ascii="Arial" w:hAnsi="Arial"/>
          <w:sz w:val="20"/>
        </w:rPr>
        <w:pict>
          <v:rect style="width:0;height:1.5pt" o:hralign="center" o:hrstd="t" o:hr="t"/>
        </w:pic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jc w:val="righ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jc w:val="right"/>
            </w:pPr>
            <w:r>
              <w:rPr>
                <w:rFonts w:ascii="Arial" w:hAnsi="Arial"/>
                <w:sz w:val="18"/>
              </w:rPr>
              <w:t xml:space="preserve">Residual (d)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−0.12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−2.09</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−3.89</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−5.85</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Kandhamal</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+0.52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−1.44</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−1.06</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−3.02</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Mayurbhanj</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+1.58</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−0.39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+3.30</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+1.34</w:t>
            </w:r>
          </w:p>
        </w:tc>
        <w:tc>
          <w:tcPr/>
          <w:p>
            <w:pPr>
              <w:pStyle w:val="Compact"/>
              <w:jc w:val="center"/>
            </w:pPr>
            <w:r>
              <w:rPr>
                <w:rFonts w:ascii="Arial" w:hAnsi="Arial"/>
                <w:sz w:val="18"/>
              </w:rPr>
              <w:t xml:space="preserve">no</w:t>
            </w:r>
          </w:p>
        </w:tc>
      </w:tr>
    </w:tbl>
    <w:p>
      <w:pPr>
        <w:pStyle w:val="BodyTex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Three caveats accompany this transferability probe, each declared at pre-registration:</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36816" w:name="note_s2"/>
      <w:r>
        <w:rPr>
          <w:rFonts w:ascii="Arial" w:hAnsi="Arial"/>
          <w:b/>
          <w:color w:val="1F3A5F"/>
          <w:sz w:val="32"/>
        </w:rPr>
        <w:t>Note S2 — Pre-Kharif Bay-of-Bengal cyclone climatology</w:t>
      </w:r>
      <w:bookmarkEnd w:id="36816"/>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317" w:name="note_s3"/>
      <w:r>
        <w:rPr>
          <w:rFonts w:ascii="Arial" w:hAnsi="Arial"/>
          <w:b/>
          <w:color w:val="1F3A5F"/>
          <w:sz w:val="32"/>
        </w:rPr>
        <w:t>Note S3 — Sentinel-1 dual-polarisation backscatter signatures</w:t>
      </w:r>
      <w:bookmarkEnd w:id="317"/>
    </w:p>
    <w:bookmarkStart w:id="31" w:name="X3d655c27041e8d6d2856959bf2a6f9e8861d5e2"/>
    <w:p>
      <w:pPr>
        <w:pStyle w:val="Heading1"/>
      </w:pPr>
      <w:r>
        <w:rPr>
          <w:rFonts w:ascii="Arial" w:hAnsi="Arial"/>
        </w:rPr>
        <w:t xml:space="preserve">Supplementary Note S3 — Sentinel-1 dual-polarisation backscatter signatures of the three inundation mechanisms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r>
        <w:rPr>
          <w:rFonts w:ascii="Arial" w:hAnsi="Arial"/>
          <w:sz w:val="20"/>
        </w:rPr>
        <w:pict>
          <v:rect style="width:0;height:1.5pt" o:hralign="center" o:hrstd="t" o:hr="t"/>
        </w:pict>
      </w:r>
    </w:p>
    <w:bookmarkStart w:id="20" w:name="s3.1-why-this-note-exists"/>
    <w:p>
      <w:pPr>
        <w:pStyle w:val="Heading2"/>
      </w:pPr>
      <w:r>
        <w:rPr>
          <w:rFonts w:ascii="Arial" w:hAnsi="Arial"/>
        </w:rPr>
        <w:t xml:space="preserve">§S3.1 Why this note exists</w:t>
      </w:r>
    </w:p>
    <w:p>
      <w:pPr>
        <w:pStyle w:val="FirstParagraph"/>
      </w:pPr>
      <w:r>
        <w:rPr>
          <w:rFonts w:ascii="Arial" w:hAnsi="Arial"/>
          <w:sz w:val="20"/>
        </w:rPr>
        <w:t xml:space="preserve">The Module 02 random-forest classifier separates three physically distinct surface-water states on Odisha rice land:</w:t>
      </w:r>
    </w:p>
    <w:p>
      <w:pPr>
        <w:pStyle w:val="Compact"/>
        <w:numPr>
          <w:ilvl w:val="0"/>
          <w:numId w:val="1001"/>
        </w:numPr>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r>
        <w:rPr>
          <w:rFonts w:ascii="Arial" w:hAnsi="Arial"/>
          <w:sz w:val="20"/>
        </w:rPr>
        <w:pict>
          <v:rect style="width:0;height:1.5pt" o:hralign="center" o:hrstd="t" o:hr="t"/>
        </w:pict>
      </w:r>
    </w:p>
    <w:bookmarkEnd w:id="20"/>
    <w:bookmarkStart w:id="21" w:name="X9b98659bccc45f2ac6c352674c4ceec20d58486"/>
    <w:p>
      <w:pPr>
        <w:pStyle w:val="Heading2"/>
      </w:pPr>
      <w:r>
        <w:rPr>
          <w:rFonts w:ascii="Arial" w:hAnsi="Arial"/>
        </w:rPr>
        <w:t xml:space="preserve">§S3.2 Dual-polarisation scattering physics</w:t>
      </w:r>
    </w:p>
    <w:p>
      <w:pPr>
        <w:pStyle w:val="FirstParagrap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r>
        <w:rPr>
          <w:rFonts w:ascii="Arial" w:hAnsi="Arial"/>
          <w:sz w:val="20"/>
        </w:rPr>
        <w:pict>
          <v:rect style="width:0;height:1.5pt" o:hralign="center" o:hrstd="t" o:hr="t"/>
        </w:pict>
      </w:r>
    </w:p>
    <w:bookmarkEnd w:id="21"/>
    <w:bookmarkStart w:id="25" w:name="s3.3-mechanism-by-mechanism-signature"/>
    <w:p>
      <w:pPr>
        <w:pStyle w:val="Heading2"/>
      </w:pPr>
      <w:r>
        <w:rPr>
          <w:rFonts w:ascii="Arial" w:hAnsi="Arial"/>
        </w:rPr>
        <w:t xml:space="preserve">§S3.3 Mechanism-by-mechanism signature</w:t>
      </w:r>
    </w:p>
    <w:p>
      <w:pPr>
        <w:pStyle w:val="FirstParagraph"/>
      </w:pPr>
      <w:r>
        <w:rPr>
          <w:rFonts w:ascii="Arial" w:hAnsi="Arial"/>
          <w:sz w:val="20"/>
        </w:rPr>
        <w:t xml:space="preserve">Canonical values (Table S9; Figure S2):</w:t>
      </w:r>
    </w:p>
    <w:bookmarkStart w:id="22" w:name="a-transplanting-flood-doy-188-δvh-6.5-db"/>
    <w:p>
      <w:pPr>
        <w:pStyle w:val="Heading3"/>
      </w:pPr>
      <w:r>
        <w:rPr>
          <w:rFonts w:ascii="Arial" w:hAnsi="Arial"/>
        </w:rPr>
        <w:t xml:space="preserve">(A) Transplanting flood — DOY 188, ΔVH = −6.5 dB</w:t>
      </w:r>
    </w:p>
    <w:p>
      <w:pPr>
        <w:pStyle w:val="FirstParagrap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pPr>
      <w:r>
        <w:rPr>
          <w:rFonts w:ascii="Arial" w:hAnsi="Arial"/>
        </w:rPr>
        <w:t xml:space="preserve">(B) Saline storm-surge — DOY 123, ΔVH = −10.5 dB</w:t>
      </w:r>
    </w:p>
    <w:p>
      <w:pPr>
        <w:pStyle w:val="FirstParagrap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pPr>
      <w:r>
        <w:rPr>
          <w:rFonts w:ascii="Arial" w:hAnsi="Arial"/>
        </w:rPr>
        <w:t xml:space="preserve">(C) Freshwater rainfall ponding (Bulbul-class) — DOY 313, ΔVH = −3.0 dB</w:t>
      </w:r>
    </w:p>
    <w:p>
      <w:pPr>
        <w:pStyle w:val="FirstParagrap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r>
        <w:rPr>
          <w:rFonts w:ascii="Arial" w:hAnsi="Arial"/>
          <w:sz w:val="20"/>
        </w:rPr>
        <w:pict>
          <v:rect style="width:0;height:1.5pt" o:hralign="center" o:hrstd="t" o:hr="t"/>
        </w:pict>
      </w:r>
    </w:p>
    <w:bookmarkEnd w:id="24"/>
    <w:bookmarkEnd w:id="25"/>
    <w:bookmarkStart w:id="26" w:name="X5e74269fb2c79a3590f5c9962b5ac55386f8e41"/>
    <w:p>
      <w:pPr>
        <w:pStyle w:val="Heading2"/>
      </w:pPr>
      <w:r>
        <w:rPr>
          <w:rFonts w:ascii="Arial" w:hAnsi="Arial"/>
        </w:rPr>
        <w:t xml:space="preserve">§S3.4 Why salinity-per-se is not the discriminator — depth × roughness × dwell time dominates</w:t>
      </w:r>
    </w:p>
    <w:p>
      <w:pPr>
        <w:pStyle w:val="FirstParagrap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r>
        <w:rPr>
          <w:rFonts w:ascii="Arial" w:hAnsi="Arial"/>
          <w:sz w:val="20"/>
        </w:rPr>
        <w:pict>
          <v:rect style="width:0;height:1.5pt" o:hralign="center" o:hrstd="t" o:hr="t"/>
        </w:pict>
      </w:r>
    </w:p>
    <w:bookmarkEnd w:id="26"/>
    <w:bookmarkStart w:id="27" w:name="X9f7a2950de9b675f51cc5d36901e8876a835c91"/>
    <w:p>
      <w:pPr>
        <w:pStyle w:val="Heading2"/>
      </w:pPr>
      <w:r>
        <w:rPr>
          <w:rFonts w:ascii="Arial" w:hAnsi="Arial"/>
        </w:rPr>
        <w:t xml:space="preserve">§S3.5 Empirical justification of the seven-feature set used by Module 02</w:t>
      </w:r>
    </w:p>
    <w:p>
      <w:pPr>
        <w:pStyle w:val="FirstParagraph"/>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jc w:val="left"/>
            </w:pPr>
            <w:r>
              <w:rPr>
                <w:rFonts w:ascii="Arial" w:hAnsi="Arial"/>
                <w:sz w:val="18"/>
              </w:rPr>
              <w:t xml:space="preserve">Feature</w:t>
            </w:r>
          </w:p>
        </w:tc>
        <w:tc>
          <w:tcPr/>
          <w:p>
            <w:pPr>
              <w:pStyle w:val="Compact"/>
              <w:jc w:val="left"/>
            </w:pPr>
            <w:r>
              <w:rPr>
                <w:rFonts w:ascii="Arial" w:hAnsi="Arial"/>
                <w:sz w:val="18"/>
              </w:rPr>
              <w:t xml:space="preserve">Source</w:t>
            </w:r>
          </w:p>
        </w:tc>
        <w:tc>
          <w:tcPr/>
          <w:p>
            <w:pPr>
              <w:pStyle w:val="Compact"/>
              <w:jc w:val="left"/>
            </w:pPr>
            <w:r>
              <w:rPr>
                <w:rFonts w:ascii="Arial" w:hAnsi="Arial"/>
                <w:sz w:val="18"/>
              </w:rPr>
              <w:t xml:space="preserve">Role</w:t>
            </w:r>
          </w:p>
        </w:tc>
      </w:tr>
      <w:tr>
        <w:tc>
          <w:tcPr/>
          <w:p>
            <w:pPr>
              <w:pStyle w:val="Compact"/>
              <w:jc w:val="left"/>
            </w:pPr>
            <w:r>
              <w:rPr>
                <w:rFonts w:ascii="Arial" w:hAnsi="Arial"/>
                <w:b/>
                <w:bCs/>
                <w:sz w:val="18"/>
              </w:rPr>
              <w:t xml:space="preserve">VH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Cross-pol — primary discriminator (ΔVH separates A/B/C)</w:t>
            </w:r>
          </w:p>
        </w:tc>
      </w:tr>
      <w:tr>
        <w:tc>
          <w:tcPr/>
          <w:p>
            <w:pPr>
              <w:pStyle w:val="Compact"/>
              <w:jc w:val="left"/>
            </w:pPr>
            <w:r>
              <w:rPr>
                <w:rFonts w:ascii="Arial" w:hAnsi="Arial"/>
                <w:b/>
                <w:bCs/>
                <w:sz w:val="18"/>
              </w:rPr>
              <w:t xml:space="preserve">VV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Co-pol — surface vs. volume scattering</w:t>
            </w:r>
          </w:p>
        </w:tc>
      </w:tr>
      <w:tr>
        <w:tc>
          <w:tcPr/>
          <w:p>
            <w:pPr>
              <w:pStyle w:val="Compact"/>
              <w:jc w:val="left"/>
            </w:pPr>
            <w:r>
              <w:rPr>
                <w:rFonts w:ascii="Arial" w:hAnsi="Arial"/>
                <w:b/>
                <w:bCs/>
                <w:sz w:val="18"/>
              </w:rPr>
              <w:t xml:space="preserve">CR = VH − VV (dB)</w:t>
            </w:r>
          </w:p>
        </w:tc>
        <w:tc>
          <w:tcPr/>
          <w:p>
            <w:pPr>
              <w:pStyle w:val="Compact"/>
              <w:jc w:val="left"/>
            </w:pPr>
            <w:r>
              <w:rPr>
                <w:rFonts w:ascii="Arial" w:hAnsi="Arial"/>
                <w:sz w:val="18"/>
              </w:rPr>
              <w:t xml:space="preserve">derived</w:t>
            </w:r>
          </w:p>
        </w:tc>
        <w:tc>
          <w:tcPr/>
          <w:p>
            <w:pPr>
              <w:pStyle w:val="Compact"/>
              <w:jc w:val="left"/>
            </w:pPr>
            <w:r>
              <w:rPr>
                <w:rFonts w:ascii="Arial" w:hAnsi="Arial"/>
                <w:sz w:val="18"/>
              </w:rPr>
              <w:t xml:space="preserve">Depolarisation index — uniquely high for surge (B)</w:t>
            </w:r>
          </w:p>
        </w:tc>
      </w:tr>
      <w:tr>
        <w:tc>
          <w:tcPr/>
          <w:p>
            <w:pPr>
              <w:pStyle w:val="Compact"/>
              <w:jc w:val="left"/>
            </w:pPr>
            <w:r>
              <w:rPr>
                <w:rFonts w:ascii="Arial" w:hAnsi="Arial"/>
                <w:b/>
                <w:bCs/>
                <w:sz w:val="18"/>
              </w:rPr>
              <w:t xml:space="preserve">NDWI</w:t>
            </w:r>
          </w:p>
        </w:tc>
        <w:tc>
          <w:tcPr/>
          <w:p>
            <w:pPr>
              <w:pStyle w:val="Compact"/>
              <w:jc w:val="left"/>
            </w:pPr>
            <w:r>
              <w:rPr>
                <w:rFonts w:ascii="Arial" w:hAnsi="Arial"/>
                <w:sz w:val="18"/>
              </w:rPr>
              <w:t xml:space="preserve">Sentinel-2 SR (Harm.)</w:t>
            </w:r>
          </w:p>
        </w:tc>
        <w:tc>
          <w:tcPr/>
          <w:p>
            <w:pPr>
              <w:pStyle w:val="Compact"/>
              <w:jc w:val="left"/>
            </w:pPr>
            <w:r>
              <w:rPr>
                <w:rFonts w:ascii="Arial" w:hAnsi="Arial"/>
                <w:sz w:val="18"/>
              </w:rPr>
              <w:t xml:space="preserve">Optical surface-water confirmation, when cloud-free</w:t>
            </w:r>
          </w:p>
        </w:tc>
      </w:tr>
      <w:tr>
        <w:tc>
          <w:tcPr/>
          <w:p>
            <w:pPr>
              <w:pStyle w:val="Compact"/>
              <w:jc w:val="left"/>
            </w:pPr>
            <w:r>
              <w:rPr>
                <w:rFonts w:ascii="Arial" w:hAnsi="Arial"/>
                <w:b/>
                <w:bCs/>
                <w:sz w:val="18"/>
              </w:rPr>
              <w:t xml:space="preserve">LSWI</w:t>
            </w:r>
          </w:p>
        </w:tc>
        <w:tc>
          <w:tcPr/>
          <w:p>
            <w:pPr>
              <w:pStyle w:val="Compact"/>
              <w:jc w:val="left"/>
            </w:pPr>
            <w:r>
              <w:rPr>
                <w:rFonts w:ascii="Arial" w:hAnsi="Arial"/>
                <w:sz w:val="18"/>
              </w:rPr>
              <w:t xml:space="preserve">Sentinel-2 SR</w:t>
            </w:r>
          </w:p>
        </w:tc>
        <w:tc>
          <w:tcPr/>
          <w:p>
            <w:pPr>
              <w:pStyle w:val="Compact"/>
              <w:jc w:val="left"/>
            </w:pPr>
            <w:r>
              <w:rPr>
                <w:rFonts w:ascii="Arial" w:hAnsi="Arial"/>
                <w:sz w:val="18"/>
              </w:rPr>
              <w:t xml:space="preserve">Canopy water content — distinguishes flooded canopy from open water</w:t>
            </w:r>
          </w:p>
        </w:tc>
      </w:tr>
      <w:tr>
        <w:tc>
          <w:tcPr/>
          <w:p>
            <w:pPr>
              <w:pStyle w:val="Compact"/>
              <w:jc w:val="left"/>
            </w:pPr>
            <w:r>
              <w:rPr>
                <w:rFonts w:ascii="Arial" w:hAnsi="Arial"/>
                <w:b/>
                <w:bCs/>
                <w:sz w:val="18"/>
              </w:rPr>
              <w:t xml:space="preserve">JRC water permanence</w:t>
            </w:r>
          </w:p>
        </w:tc>
        <w:tc>
          <w:tcPr/>
          <w:p>
            <w:pPr>
              <w:pStyle w:val="Compact"/>
              <w:jc w:val="left"/>
            </w:pPr>
            <w:r>
              <w:rPr>
                <w:rFonts w:ascii="Arial" w:hAnsi="Arial"/>
                <w:sz w:val="18"/>
              </w:rPr>
              <w:t xml:space="preserve">JRC GSW v1.4</w:t>
            </w:r>
          </w:p>
        </w:tc>
        <w:tc>
          <w:tcPr/>
          <w:p>
            <w:pPr>
              <w:pStyle w:val="Compact"/>
              <w:jc w:val="left"/>
            </w:pPr>
            <w:r>
              <w:rPr>
                <w:rFonts w:ascii="Arial" w:hAnsi="Arial"/>
                <w:sz w:val="18"/>
              </w:rPr>
              <w:t xml:space="preserve">Excludes permanent waterbodies (rivers, ponds, aquaculture)</w:t>
            </w:r>
          </w:p>
        </w:tc>
      </w:tr>
      <w:tr>
        <w:tc>
          <w:tcPr/>
          <w:p>
            <w:pPr>
              <w:pStyle w:val="Compact"/>
              <w:jc w:val="left"/>
            </w:pPr>
            <w:r>
              <w:rPr>
                <w:rFonts w:ascii="Arial" w:hAnsi="Arial"/>
                <w:b/>
                <w:bCs/>
                <w:sz w:val="18"/>
              </w:rPr>
              <w:t xml:space="preserve">ERA5 3-day max wind</w:t>
            </w:r>
          </w:p>
        </w:tc>
        <w:tc>
          <w:tcPr/>
          <w:p>
            <w:pPr>
              <w:pStyle w:val="Compact"/>
              <w:jc w:val="left"/>
            </w:pPr>
            <w:r>
              <w:rPr>
                <w:rFonts w:ascii="Arial" w:hAnsi="Arial"/>
                <w:sz w:val="18"/>
              </w:rPr>
              <w:t xml:space="preserve">ERA5-Land hourly</w:t>
            </w:r>
          </w:p>
        </w:tc>
        <w:tc>
          <w:tcPr/>
          <w:p>
            <w:pPr>
              <w:pStyle w:val="Compact"/>
              <w:jc w:val="left"/>
            </w:pPr>
            <w:r>
              <w:rPr>
                <w:rFonts w:ascii="Arial" w:hAnsi="Arial"/>
                <w:sz w:val="18"/>
              </w:rPr>
              <w:t xml:space="preserve">Cyclonic-event filter for mechanism (B)</w:t>
            </w:r>
          </w:p>
        </w:tc>
      </w:tr>
    </w:tbl>
    <w:p>
      <w:pPr>
        <w:pStyle w:val="BodyText"/>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r>
        <w:rPr>
          <w:rFonts w:ascii="Arial" w:hAnsi="Arial"/>
          <w:sz w:val="20"/>
        </w:rPr>
        <w:pict>
          <v:rect style="width:0;height:1.5pt" o:hralign="center" o:hrstd="t" o:hr="t"/>
        </w:pict>
      </w:r>
    </w:p>
    <w:bookmarkEnd w:id="27"/>
    <w:bookmarkStart w:id="28" w:name="Xf68a0a5935df6be22767d622599cd98d67fa490"/>
    <w:p>
      <w:pPr>
        <w:pStyle w:val="Heading2"/>
      </w:pPr>
      <w:r>
        <w:rPr>
          <w:rFonts w:ascii="Arial" w:hAnsi="Arial"/>
        </w:rPr>
        <w:t xml:space="preserve">§S3.6 Feature importance from the Module 02 random forest</w:t>
      </w:r>
    </w:p>
    <w:p>
      <w:pPr>
        <w:pStyle w:val="FirstParagrap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r>
        <w:rPr>
          <w:rFonts w:ascii="Arial" w:hAnsi="Arial"/>
          <w:sz w:val="20"/>
        </w:rPr>
        <w:pict>
          <v:rect style="width:0;height:1.5pt" o:hralign="center" o:hrstd="t" o:hr="t"/>
        </w:pict>
      </w:r>
    </w:p>
    <w:bookmarkEnd w:id="28"/>
    <w:bookmarkStart w:id="29" w:name="s3.7-falsifiability-and-limitations"/>
    <w:p>
      <w:pPr>
        <w:pStyle w:val="Heading2"/>
      </w:pPr>
      <w:r>
        <w:rPr>
          <w:rFonts w:ascii="Arial" w:hAnsi="Arial"/>
        </w:rPr>
        <w:t xml:space="preserve">§S3.7 Falsifiability and limitations</w:t>
      </w:r>
    </w:p>
    <w:p>
      <w:pPr>
        <w:pStyle w:val="FirstParagraph"/>
      </w:pPr>
      <w:r>
        <w:rPr>
          <w:rFonts w:ascii="Arial" w:hAnsi="Arial"/>
          <w:sz w:val="20"/>
        </w:rPr>
        <w:t xml:space="preserve">The discriminator is rejected — and the entire identification strategy with it — under any of the following conditions:</w:t>
      </w:r>
    </w:p>
    <w:p>
      <w:pPr>
        <w:pStyle w:val="Compact"/>
        <w:numPr>
          <w:ilvl w:val="0"/>
          <w:numId w:val="1005"/>
        </w:numPr>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jc w:val="left"/>
            </w:pPr>
            <w:r>
              <w:rPr>
                <w:rFonts w:ascii="Arial" w:hAnsi="Arial"/>
                <w:sz w:val="18"/>
              </w:rPr>
              <w:t xml:space="preserve">Check</w:t>
            </w:r>
          </w:p>
        </w:tc>
        <w:tc>
          <w:tcPr/>
          <w:p>
            <w:pPr>
              <w:pStyle w:val="Compact"/>
              <w:jc w:val="left"/>
            </w:pPr>
            <w:r>
              <w:rPr>
                <w:rFonts w:ascii="Arial" w:hAnsi="Arial"/>
                <w:sz w:val="18"/>
              </w:rPr>
              <w:t xml:space="preserve">Threshold</w:t>
            </w:r>
          </w:p>
        </w:tc>
        <w:tc>
          <w:tcPr/>
          <w:p>
            <w:pPr>
              <w:pStyle w:val="Compact"/>
              <w:jc w:val="left"/>
            </w:pPr>
            <w:r>
              <w:rPr>
                <w:rFonts w:ascii="Arial" w:hAnsi="Arial"/>
                <w:sz w:val="18"/>
              </w:rPr>
              <w:t xml:space="preserve">Observed</w:t>
            </w:r>
          </w:p>
        </w:tc>
        <w:tc>
          <w:tcPr/>
          <w:p>
            <w:pPr>
              <w:pStyle w:val="Compact"/>
              <w:jc w:val="left"/>
            </w:pPr>
            <w:r>
              <w:rPr>
                <w:rFonts w:ascii="Arial" w:hAnsi="Arial"/>
                <w:sz w:val="18"/>
              </w:rPr>
              <w:t xml:space="preserve">Margin</w:t>
            </w:r>
          </w:p>
        </w:tc>
        <w:tc>
          <w:tcPr/>
          <w:p>
            <w:pPr>
              <w:pStyle w:val="Compact"/>
              <w:jc w:val="left"/>
            </w:pPr>
            <w:r>
              <w:rPr>
                <w:rFonts w:ascii="Arial" w:hAnsi="Arial"/>
                <w:sz w:val="18"/>
              </w:rPr>
              <w:t xml:space="preserve">Verdict</w:t>
            </w:r>
          </w:p>
        </w:tc>
      </w:tr>
      <w:tr>
        <w:tc>
          <w:tcPr/>
          <w:p>
            <w:pPr>
              <w:pStyle w:val="Compact"/>
              <w:jc w:val="left"/>
            </w:pPr>
            <w:r>
              <w:rPr>
                <w:rFonts w:ascii="Arial" w:hAnsi="Arial"/>
                <w:sz w:val="18"/>
              </w:rPr>
              <w:t xml:space="preserve">F1 — ΔVH gap (surge − transplanting)</w:t>
            </w:r>
          </w:p>
        </w:tc>
        <w:tc>
          <w:tcPr/>
          <w:p>
            <w:pPr>
              <w:pStyle w:val="Compact"/>
              <w:jc w:val="left"/>
            </w:pPr>
            <w:r>
              <w:rPr>
                <w:rFonts w:ascii="Arial" w:hAnsi="Arial"/>
                <w:sz w:val="18"/>
              </w:rPr>
              <w:t xml:space="preserve">≥ 3.0 dB</w:t>
            </w:r>
          </w:p>
        </w:tc>
        <w:tc>
          <w:tcPr/>
          <w:p>
            <w:pPr>
              <w:pStyle w:val="Compact"/>
              <w:jc w:val="left"/>
            </w:pPr>
            <w:r>
              <w:rPr>
                <w:rFonts w:ascii="Arial" w:hAnsi="Arial"/>
                <w:sz w:val="18"/>
              </w:rPr>
              <w:t xml:space="preserve">4.0 dB</w:t>
            </w:r>
          </w:p>
        </w:tc>
        <w:tc>
          <w:tcPr/>
          <w:p>
            <w:pPr>
              <w:pStyle w:val="Compact"/>
              <w:jc w:val="left"/>
            </w:pPr>
            <w:r>
              <w:rPr>
                <w:rFonts w:ascii="Arial" w:hAnsi="Arial"/>
                <w:sz w:val="18"/>
              </w:rPr>
              <w:t xml:space="preserve">+1.0 dB</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F2 — onset-rate separation</w:t>
            </w:r>
          </w:p>
        </w:tc>
        <w:tc>
          <w:tcPr/>
          <w:p>
            <w:pPr>
              <w:pStyle w:val="Compact"/>
              <w:jc w:val="left"/>
            </w:pPr>
            <w:r>
              <w:rPr>
                <w:rFonts w:ascii="Arial" w:hAnsi="Arial"/>
                <w:sz w:val="18"/>
              </w:rPr>
              <w:t xml:space="preserve">≥ 4×</w:t>
            </w:r>
          </w:p>
        </w:tc>
        <w:tc>
          <w:tcPr/>
          <w:p>
            <w:pPr>
              <w:pStyle w:val="Compact"/>
              <w:jc w:val="left"/>
            </w:pPr>
            <w:r>
              <w:rPr>
                <w:rFonts w:ascii="Arial" w:hAnsi="Arial"/>
                <w:sz w:val="18"/>
              </w:rPr>
              <w:t xml:space="preserve">12×</w:t>
            </w:r>
          </w:p>
        </w:tc>
        <w:tc>
          <w:tcPr/>
          <w:p>
            <w:pPr>
              <w:pStyle w:val="Compact"/>
              <w:jc w:val="left"/>
            </w:pPr>
            <w:r>
              <w:rPr>
                <w:rFonts w:ascii="Arial" w:hAnsi="Arial"/>
                <w:sz w:val="18"/>
              </w:rPr>
              <w:t xml:space="preserve">+8×</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F3 — wind ⊥ transplanting onset</w:t>
            </w:r>
          </w:p>
        </w:tc>
        <w:tc>
          <w:tcPr/>
          <w:p>
            <w:pPr>
              <w:pStyle w:val="Compact"/>
              <w:jc w:val="left"/>
            </w:pPr>
            <w:r>
              <w:rPr>
                <w:rFonts w:ascii="Arial" w:hAnsi="Arial"/>
                <w:sz w:val="18"/>
              </w:rPr>
              <w:t xml:space="preserve">|r| ≤ 0.30</w:t>
            </w:r>
          </w:p>
        </w:tc>
        <w:tc>
          <w:tcPr/>
          <w:p>
            <w:pPr>
              <w:pStyle w:val="Compact"/>
              <w:jc w:val="left"/>
            </w:pPr>
            <w:r>
              <w:rPr>
                <w:rFonts w:ascii="Arial" w:hAnsi="Arial"/>
                <w:sz w:val="18"/>
              </w:rPr>
              <w:t xml:space="preserve">r = 0.08</w:t>
            </w:r>
          </w:p>
        </w:tc>
        <w:tc>
          <w:tcPr/>
          <w:p>
            <w:pPr>
              <w:pStyle w:val="Compact"/>
              <w:jc w:val="left"/>
            </w:pPr>
            <w:r>
              <w:rPr>
                <w:rFonts w:ascii="Arial" w:hAnsi="Arial"/>
                <w:sz w:val="18"/>
              </w:rPr>
              <w:t xml:space="preserve">+0.22</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F4 — persistent post-event VH deficit</w:t>
            </w:r>
          </w:p>
        </w:tc>
        <w:tc>
          <w:tcPr/>
          <w:p>
            <w:pPr>
              <w:pStyle w:val="Compact"/>
              <w:jc w:val="left"/>
            </w:pPr>
            <w:r>
              <w:rPr>
                <w:rFonts w:ascii="Arial" w:hAnsi="Arial"/>
                <w:sz w:val="18"/>
              </w:rPr>
              <w:t xml:space="preserve">≥ 1.0 dB at +30 d</w:t>
            </w:r>
          </w:p>
        </w:tc>
        <w:tc>
          <w:tcPr/>
          <w:p>
            <w:pPr>
              <w:pStyle w:val="Compact"/>
              <w:jc w:val="left"/>
            </w:pPr>
            <w:r>
              <w:rPr>
                <w:rFonts w:ascii="Arial" w:hAnsi="Arial"/>
                <w:sz w:val="18"/>
              </w:rPr>
              <w:t xml:space="preserve">1.8 dB</w:t>
            </w:r>
          </w:p>
        </w:tc>
        <w:tc>
          <w:tcPr/>
          <w:p>
            <w:pPr>
              <w:pStyle w:val="Compact"/>
              <w:jc w:val="left"/>
            </w:pPr>
            <w:r>
              <w:rPr>
                <w:rFonts w:ascii="Arial" w:hAnsi="Arial"/>
                <w:sz w:val="18"/>
              </w:rPr>
              <w:t xml:space="preserve">+0.8 dB</w:t>
            </w:r>
          </w:p>
        </w:tc>
        <w:tc>
          <w:tcPr/>
          <w:p>
            <w:pPr>
              <w:pStyle w:val="Compact"/>
              <w:jc w:val="left"/>
            </w:pPr>
            <w:r>
              <w:rPr>
                <w:rFonts w:ascii="Arial" w:hAnsi="Arial"/>
                <w:sz w:val="18"/>
              </w:rPr>
              <w:t xml:space="preserve">pass</w:t>
            </w:r>
          </w:p>
        </w:tc>
      </w:tr>
    </w:tbl>
    <w:p>
      <w:pPr>
        <w:pStyle w:val="BodyText"/>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r>
        <w:rPr>
          <w:rFonts w:ascii="Arial" w:hAnsi="Arial"/>
          <w:sz w:val="20"/>
        </w:rPr>
        <w:pict>
          <v:rect style="width:0;height:1.5pt" o:hralign="center" o:hrstd="t" o:hr="t"/>
        </w:pict>
      </w:r>
    </w:p>
    <w:bookmarkEnd w:id="29"/>
    <w:bookmarkStart w:id="30" w:name="s3.8-pre-registration-trail"/>
    <w:p>
      <w:pPr>
        <w:pStyle w:val="Heading2"/>
      </w:pPr>
      <w:r>
        <w:rPr>
          <w:rFonts w:ascii="Arial" w:hAnsi="Arial"/>
        </w:rPr>
        <w:t xml:space="preserve">§S3.8 Pre-registration trail</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pPr>
      <w:r>
        <w:rPr>
          <w:rFonts w:ascii="Arial" w:hAnsi="Arial"/>
          <w:sz w:val="20"/>
        </w:rPr>
        <w:t xml:space="preserve">Table S9 docx and Figure S2 PDF/PNG;</w:t>
      </w:r>
    </w:p>
    <w:p>
      <w:pPr>
        <w:pStyle w:val="Compact"/>
        <w:numPr>
          <w:ilvl w:val="0"/>
          <w:numId w:val="1007"/>
        </w:numPr>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r>
        <w:rPr>
          <w:rFonts w:ascii="Arial" w:hAnsi="Arial"/>
          <w:sz w:val="20"/>
        </w:rPr>
        <w:pict>
          <v:rect style="width:0;height:1.5pt" o:hralign="center" o:hrstd="t" o:hr="t"/>
        </w:pict>
      </w:r>
    </w:p>
    <w:p>
      <w:pPr>
        <w:pStyle w:val="FirstParagraph"/>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r>
        <w:rPr>
          <w:rFonts w:ascii="Arial" w:hAnsi="Arial"/>
          <w:sz w:val="20"/>
        </w:rPr>
        <w:br w:type="page"/>
      </w:r>
    </w:p>
    <w:p>
      <w:pPr>
        <w:keepNext/>
        <w:spacing w:before="240" w:after="120"/>
      </w:pPr>
      <w:bookmarkStart w:id="59246" w:name="table_s1"/>
      <w:r>
        <w:rPr>
          <w:rFonts w:ascii="Arial" w:hAnsi="Arial"/>
          <w:b/>
          <w:color w:val="1F3A5F"/>
          <w:sz w:val="32"/>
        </w:rPr>
        <w:t>Table S1 — Static TWFE-DiD point estimates</w:t>
      </w:r>
      <w:bookmarkEnd w:id="59246"/>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+15.218</w:t>
            </w:r>
          </w:p>
        </w:tc>
        <w:tc>
          <w:tcPr>
            <w:tcW w:type="dxa" w:w="785"/>
          </w:tcPr>
          <w:p>
            <w:r>
              <w:rPr>
                <w:rFonts w:ascii="Arial" w:hAnsi="Arial"/>
                <w:sz w:val="20"/>
              </w:rPr>
              <w:t>17.337</w:t>
            </w:r>
          </w:p>
        </w:tc>
        <w:tc>
          <w:tcPr>
            <w:tcW w:type="dxa" w:w="785"/>
          </w:tcPr>
          <w:p>
            <w:r>
              <w:rPr>
                <w:rFonts w:ascii="Arial" w:hAnsi="Arial"/>
                <w:sz w:val="20"/>
              </w:rPr>
              <w:t>0.878</w:t>
            </w:r>
          </w:p>
        </w:tc>
        <w:tc>
          <w:tcPr>
            <w:tcW w:type="dxa" w:w="785"/>
          </w:tcPr>
          <w:p>
            <w:r>
              <w:rPr>
                <w:rFonts w:ascii="Arial" w:hAnsi="Arial"/>
                <w:sz w:val="20"/>
              </w:rPr>
              <w:t>0.380</w:t>
            </w:r>
          </w:p>
        </w:tc>
        <w:tc>
          <w:tcPr>
            <w:tcW w:type="dxa" w:w="785"/>
          </w:tcPr>
          <w:p>
            <w:r>
              <w:rPr>
                <w:rFonts w:ascii="Arial" w:hAnsi="Arial"/>
                <w:sz w:val="20"/>
              </w:rPr>
              <w:t>-18.762</w:t>
            </w:r>
          </w:p>
        </w:tc>
        <w:tc>
          <w:tcPr>
            <w:tcW w:type="dxa" w:w="785"/>
          </w:tcPr>
          <w:p>
            <w:r>
              <w:rPr>
                <w:rFonts w:ascii="Arial" w:hAnsi="Arial"/>
                <w:sz w:val="20"/>
              </w:rPr>
              <w:t>49.197</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-3.623</w:t>
            </w:r>
          </w:p>
        </w:tc>
        <w:tc>
          <w:tcPr>
            <w:tcW w:type="dxa" w:w="785"/>
          </w:tcPr>
          <w:p>
            <w:r>
              <w:rPr>
                <w:rFonts w:ascii="Arial" w:hAnsi="Arial"/>
                <w:sz w:val="20"/>
              </w:rPr>
              <w:t>2.891</w:t>
            </w:r>
          </w:p>
        </w:tc>
        <w:tc>
          <w:tcPr>
            <w:tcW w:type="dxa" w:w="785"/>
          </w:tcPr>
          <w:p>
            <w:r>
              <w:rPr>
                <w:rFonts w:ascii="Arial" w:hAnsi="Arial"/>
                <w:sz w:val="20"/>
              </w:rPr>
              <w:t>-1.253</w:t>
            </w:r>
          </w:p>
        </w:tc>
        <w:tc>
          <w:tcPr>
            <w:tcW w:type="dxa" w:w="785"/>
          </w:tcPr>
          <w:p>
            <w:r>
              <w:rPr>
                <w:rFonts w:ascii="Arial" w:hAnsi="Arial"/>
                <w:sz w:val="20"/>
              </w:rPr>
              <w:t>0.210</w:t>
            </w:r>
          </w:p>
        </w:tc>
        <w:tc>
          <w:tcPr>
            <w:tcW w:type="dxa" w:w="785"/>
          </w:tcPr>
          <w:p>
            <w:r>
              <w:rPr>
                <w:rFonts w:ascii="Arial" w:hAnsi="Arial"/>
                <w:sz w:val="20"/>
              </w:rPr>
              <w:t>-9.289</w:t>
            </w:r>
          </w:p>
        </w:tc>
        <w:tc>
          <w:tcPr>
            <w:tcW w:type="dxa" w:w="785"/>
          </w:tcPr>
          <w:p>
            <w:r>
              <w:rPr>
                <w:rFonts w:ascii="Arial" w:hAnsi="Arial"/>
                <w:sz w:val="20"/>
              </w:rPr>
              <w:t>2.042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-0.098</w:t>
            </w:r>
          </w:p>
        </w:tc>
        <w:tc>
          <w:tcPr>
            <w:tcW w:type="dxa" w:w="785"/>
          </w:tcPr>
          <w:p>
            <w:r>
              <w:rPr>
                <w:rFonts w:ascii="Arial" w:hAnsi="Arial"/>
                <w:sz w:val="20"/>
              </w:rPr>
              <w:t>0.062</w:t>
            </w:r>
          </w:p>
        </w:tc>
        <w:tc>
          <w:tcPr>
            <w:tcW w:type="dxa" w:w="785"/>
          </w:tcPr>
          <w:p>
            <w:r>
              <w:rPr>
                <w:rFonts w:ascii="Arial" w:hAnsi="Arial"/>
                <w:sz w:val="20"/>
              </w:rPr>
              <w:t>-1.589</w:t>
            </w:r>
          </w:p>
        </w:tc>
        <w:tc>
          <w:tcPr>
            <w:tcW w:type="dxa" w:w="785"/>
          </w:tcPr>
          <w:p>
            <w:r>
              <w:rPr>
                <w:rFonts w:ascii="Arial" w:hAnsi="Arial"/>
                <w:sz w:val="20"/>
              </w:rPr>
              <w:t>0.112</w:t>
            </w:r>
          </w:p>
        </w:tc>
        <w:tc>
          <w:tcPr>
            <w:tcW w:type="dxa" w:w="785"/>
          </w:tcPr>
          <w:p>
            <w:r>
              <w:rPr>
                <w:rFonts w:ascii="Arial" w:hAnsi="Arial"/>
                <w:sz w:val="20"/>
              </w:rPr>
              <w:t>-0.219</w:t>
            </w:r>
          </w:p>
        </w:tc>
        <w:tc>
          <w:tcPr>
            <w:tcW w:type="dxa" w:w="785"/>
          </w:tcPr>
          <w:p>
            <w:r>
              <w:rPr>
                <w:rFonts w:ascii="Arial" w:hAnsi="Arial"/>
                <w:sz w:val="20"/>
              </w:rPr>
              <w:t>0.023</w:t>
            </w:r>
          </w:p>
        </w:tc>
        <w:tc>
          <w:tcPr>
            <w:tcW w:type="dxa" w:w="785"/>
          </w:tcPr>
          <w:p>
            <w:r>
              <w:rPr>
                <w:rFonts w:ascii="Arial" w:hAnsi="Arial"/>
                <w:sz w:val="20"/>
              </w:rPr>
              <w:t>0.059</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12926" w:name="table_s2"/>
      <w:r>
        <w:rPr>
          <w:rFonts w:ascii="Arial" w:hAnsi="Arial"/>
          <w:b/>
          <w:color w:val="1F3A5F"/>
          <w:sz w:val="32"/>
        </w:rPr>
        <w:t>Table S2 — Pre-trend tests</w:t>
      </w:r>
      <w:bookmarkEnd w:id="12926"/>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39372" w:name="table_s3"/>
      <w:r>
        <w:rPr>
          <w:rFonts w:ascii="Arial" w:hAnsi="Arial"/>
          <w:b/>
          <w:color w:val="1F3A5F"/>
          <w:sz w:val="32"/>
        </w:rPr>
        <w:t>Table S3 — Bulbul transferability residuals</w:t>
      </w:r>
      <w:bookmarkEnd w:id="39372"/>
    </w:p>
    <w:p>
      <w:pPr>
        <w:jc w:val="left"/>
      </w:pPr>
      <w:r>
        <w:rPr>
          <w:rFonts w:ascii="Arial" w:hAnsi="Arial"/>
          <w:b/>
          <w:sz w:val="20"/>
        </w:rPr>
        <w:t>Table S3.  Bulbul (Nov 2019) transferability probe: out-of-sample prediction of inland Bulbul-affected districts' SOS using coefficients trained on Fani / Amphan / Yaas. [Populated by Module 05b after main DiD is locked.]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20"/>
              </w:rPr>
              <w:t>District</w:t>
            </w:r>
          </w:p>
        </w:tc>
        <w:tc>
          <w:tcPr>
            <w:tcW w:type="dxa" w:w="1728"/>
          </w:tcPr>
          <w:p>
            <w:r>
              <w:rPr>
                <w:rFonts w:ascii="Arial" w:hAnsi="Arial"/>
                <w:b/>
                <w:sz w:val="20"/>
              </w:rPr>
              <w:t>Predicted ΔSOS (d)</w:t>
            </w:r>
          </w:p>
        </w:tc>
        <w:tc>
          <w:tcPr>
            <w:tcW w:type="dxa" w:w="1728"/>
          </w:tcPr>
          <w:p>
            <w:r>
              <w:rPr>
                <w:rFonts w:ascii="Arial" w:hAnsi="Arial"/>
                <w:b/>
                <w:sz w:val="20"/>
              </w:rPr>
              <w:t>Observed ΔSOS (d)</w:t>
            </w:r>
          </w:p>
        </w:tc>
        <w:tc>
          <w:tcPr>
            <w:tcW w:type="dxa" w:w="1728"/>
          </w:tcPr>
          <w:p>
            <w:r>
              <w:rPr>
                <w:rFonts w:ascii="Arial" w:hAnsi="Arial"/>
                <w:b/>
                <w:sz w:val="20"/>
              </w:rPr>
              <w:t>Residual (d)</w:t>
            </w:r>
          </w:p>
        </w:tc>
        <w:tc>
          <w:tcPr>
            <w:tcW w:type="dxa" w:w="1728"/>
          </w:tcPr>
          <w:p>
            <w:r>
              <w:rPr>
                <w:rFonts w:ascii="Arial" w:hAnsi="Arial"/>
                <w:b/>
                <w:sz w:val="20"/>
              </w:rPr>
              <w:t>Inside 95% PI?</w:t>
            </w:r>
          </w:p>
        </w:tc>
      </w:tr>
      <w:tr>
        <w:tc>
          <w:tcPr>
            <w:tcW w:type="dxa" w:w="1728"/>
          </w:tcPr>
          <w:p>
            <w:r>
              <w:rPr>
                <w:rFonts w:ascii="Arial" w:hAnsi="Arial"/>
                <w:sz w:val="20"/>
              </w:rPr>
              <w:t>Baleshwar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Bhadrak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Kendrapara</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Jagatsinghpur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Puri</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Dhenkanal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Anugul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Cuttack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bl>
    <w:p/>
    <w:p>
      <w:r>
        <w:rPr>
          <w:rFonts w:ascii="Arial" w:hAnsi="Arial"/>
          <w:sz w:val="18"/>
        </w:rPr>
        <w:t>Notes. Awaiting Module 05b (transferability) execution. Prediction uses the corrected-pipeline DiD coefficients from Table S1 to forecast Bulbul-induced SOS shift; observed shift is computed from the corrected phenology pipeline applied to Bulbul (Nov 2019). Residuals centred near zero (and within the 95% prediction interval) indicate the trained model generalises to a different cyclone class (post-monsoon, rainfall-dominant) outside the study area.</w:t>
      </w:r>
    </w:p>
    <w:p>
      <w:r>
        <w:rPr>
          <w:rFonts w:ascii="Arial" w:hAnsi="Arial"/>
          <w:sz w:val="20"/>
        </w:rPr>
        <w:br w:type="page"/>
      </w:r>
    </w:p>
    <w:p>
      <w:pPr>
        <w:keepNext/>
        <w:spacing w:before="240" w:after="120"/>
      </w:pPr>
      <w:bookmarkStart w:id="76455" w:name="table_s4"/>
      <w:r>
        <w:rPr>
          <w:rFonts w:ascii="Arial" w:hAnsi="Arial"/>
          <w:b/>
          <w:color w:val="1F3A5F"/>
          <w:sz w:val="32"/>
        </w:rPr>
        <w:t>Table S4 — Wild-cluster bootstrap (G = 8)</w:t>
      </w:r>
      <w:bookmarkEnd w:id="76455"/>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+15.218</w:t>
            </w:r>
          </w:p>
        </w:tc>
        <w:tc>
          <w:tcPr>
            <w:tcW w:type="dxa" w:w="1080"/>
          </w:tcPr>
          <w:p>
            <w:r>
              <w:rPr>
                <w:rFonts w:ascii="Arial" w:hAnsi="Arial"/>
                <w:sz w:val="20"/>
              </w:rPr>
              <w:t>0.878</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-3.623</w:t>
            </w:r>
          </w:p>
        </w:tc>
        <w:tc>
          <w:tcPr>
            <w:tcW w:type="dxa" w:w="1080"/>
          </w:tcPr>
          <w:p>
            <w:r>
              <w:rPr>
                <w:rFonts w:ascii="Arial" w:hAnsi="Arial"/>
                <w:sz w:val="20"/>
              </w:rPr>
              <w:t>-1.253</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-0.098</w:t>
            </w:r>
          </w:p>
        </w:tc>
        <w:tc>
          <w:tcPr>
            <w:tcW w:type="dxa" w:w="1080"/>
          </w:tcPr>
          <w:p>
            <w:r>
              <w:rPr>
                <w:rFonts w:ascii="Arial" w:hAnsi="Arial"/>
                <w:sz w:val="20"/>
              </w:rPr>
              <w:t>-1.589</w:t>
            </w:r>
          </w:p>
        </w:tc>
        <w:tc>
          <w:tcPr>
            <w:tcW w:type="dxa" w:w="1080"/>
          </w:tcPr>
          <w:p>
            <w:r>
              <w:rPr>
                <w:rFonts w:ascii="Arial" w:hAnsi="Arial"/>
                <w:sz w:val="20"/>
              </w:rPr>
              <w:t>9999</w:t>
            </w:r>
          </w:p>
        </w:tc>
        <w:tc>
          <w:tcPr>
            <w:tcW w:type="dxa" w:w="1080"/>
          </w:tcPr>
          <w:p>
            <w:r>
              <w:rPr>
                <w:rFonts w:ascii="Arial" w:hAnsi="Arial"/>
                <w:sz w:val="20"/>
              </w:rPr>
              <w:t>0.1570</w:t>
            </w:r>
          </w:p>
        </w:tc>
        <w:tc>
          <w:tcPr>
            <w:tcW w:type="dxa" w:w="1080"/>
          </w:tcPr>
          <w:p>
            <w:r>
              <w:rPr>
                <w:rFonts w:ascii="Arial" w:hAnsi="Arial"/>
                <w:sz w:val="20"/>
              </w:rPr>
              <w:t>nan</w:t>
            </w:r>
          </w:p>
        </w:tc>
        <w:tc>
          <w:tcPr>
            <w:tcW w:type="dxa" w:w="1080"/>
          </w:tcPr>
          <w:p>
            <w:r>
              <w:rPr>
                <w:rFonts w:ascii="Arial" w:hAnsi="Arial"/>
                <w:sz w:val="20"/>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25915" w:name="table_s5"/>
      <w:r>
        <w:rPr>
          <w:rFonts w:ascii="Arial" w:hAnsi="Arial"/>
          <w:b/>
          <w:color w:val="1F3A5F"/>
          <w:sz w:val="32"/>
        </w:rPr>
        <w:t>Table S5 — Jackknife leave-one-out</w:t>
      </w:r>
      <w:bookmarkEnd w:id="25915"/>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+15.218</w:t>
            </w:r>
          </w:p>
        </w:tc>
        <w:tc>
          <w:tcPr>
            <w:tcW w:type="dxa" w:w="1440"/>
          </w:tcPr>
          <w:p>
            <w:r>
              <w:rPr>
                <w:rFonts w:ascii="Arial" w:hAnsi="Arial"/>
                <w:sz w:val="20"/>
              </w:rPr>
              <w:t>76.4</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-3.623</w:t>
            </w:r>
          </w:p>
        </w:tc>
        <w:tc>
          <w:tcPr>
            <w:tcW w:type="dxa" w:w="1440"/>
          </w:tcPr>
          <w:p>
            <w:r>
              <w:rPr>
                <w:rFonts w:ascii="Arial" w:hAnsi="Arial"/>
                <w:sz w:val="20"/>
              </w:rPr>
              <w:t>55.5</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-0.098</w:t>
            </w:r>
          </w:p>
        </w:tc>
        <w:tc>
          <w:tcPr>
            <w:tcW w:type="dxa" w:w="1440"/>
          </w:tcPr>
          <w:p>
            <w:r>
              <w:rPr>
                <w:rFonts w:ascii="Arial" w:hAnsi="Arial"/>
                <w:sz w:val="20"/>
              </w:rPr>
              <w:t>40.7</w:t>
            </w:r>
          </w:p>
        </w:tc>
        <w:tc>
          <w:tcPr>
            <w:tcW w:type="dxa" w:w="1440"/>
          </w:tcPr>
          <w:p>
            <w:r>
              <w:rPr>
                <w:rFonts w:ascii="Arial" w:hAnsi="Arial"/>
                <w:sz w:val="20"/>
              </w:rPr>
              <w:t>Baleshwar</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+21.672</w:t>
            </w:r>
          </w:p>
        </w:tc>
        <w:tc>
          <w:tcPr>
            <w:tcW w:type="dxa" w:w="864"/>
          </w:tcPr>
          <w:p>
            <w:r>
              <w:rPr>
                <w:rFonts w:ascii="Arial" w:hAnsi="Arial"/>
                <w:sz w:val="18"/>
              </w:rPr>
              <w:t>16.557</w:t>
            </w:r>
          </w:p>
        </w:tc>
        <w:tc>
          <w:tcPr>
            <w:tcW w:type="dxa" w:w="864"/>
          </w:tcPr>
          <w:p>
            <w:r>
              <w:rPr>
                <w:rFonts w:ascii="Arial" w:hAnsi="Arial"/>
                <w:sz w:val="18"/>
              </w:rPr>
              <w:t>0.191</w:t>
            </w:r>
          </w:p>
        </w:tc>
        <w:tc>
          <w:tcPr>
            <w:tcW w:type="dxa" w:w="864"/>
          </w:tcPr>
          <w:p>
            <w:r>
              <w:rPr>
                <w:rFonts w:ascii="Arial" w:hAnsi="Arial"/>
                <w:sz w:val="18"/>
              </w:rPr>
              <w:t>-10.779</w:t>
            </w:r>
          </w:p>
        </w:tc>
        <w:tc>
          <w:tcPr>
            <w:tcW w:type="dxa" w:w="864"/>
          </w:tcPr>
          <w:p>
            <w:r>
              <w:rPr>
                <w:rFonts w:ascii="Arial" w:hAnsi="Arial"/>
                <w:sz w:val="18"/>
              </w:rPr>
              <w:t>54.123</w:t>
            </w:r>
          </w:p>
        </w:tc>
        <w:tc>
          <w:tcPr>
            <w:tcW w:type="dxa" w:w="864"/>
          </w:tcPr>
          <w:p>
            <w:r>
              <w:rPr>
                <w:rFonts w:ascii="Arial" w:hAnsi="Arial"/>
                <w:sz w:val="18"/>
              </w:rPr>
              <w:t>42.400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+10.166</w:t>
            </w:r>
          </w:p>
        </w:tc>
        <w:tc>
          <w:tcPr>
            <w:tcW w:type="dxa" w:w="864"/>
          </w:tcPr>
          <w:p>
            <w:r>
              <w:rPr>
                <w:rFonts w:ascii="Arial" w:hAnsi="Arial"/>
                <w:sz w:val="18"/>
              </w:rPr>
              <w:t>20.343</w:t>
            </w:r>
          </w:p>
        </w:tc>
        <w:tc>
          <w:tcPr>
            <w:tcW w:type="dxa" w:w="864"/>
          </w:tcPr>
          <w:p>
            <w:r>
              <w:rPr>
                <w:rFonts w:ascii="Arial" w:hAnsi="Arial"/>
                <w:sz w:val="18"/>
              </w:rPr>
              <w:t>0.617</w:t>
            </w:r>
          </w:p>
        </w:tc>
        <w:tc>
          <w:tcPr>
            <w:tcW w:type="dxa" w:w="864"/>
          </w:tcPr>
          <w:p>
            <w:r>
              <w:rPr>
                <w:rFonts w:ascii="Arial" w:hAnsi="Arial"/>
                <w:sz w:val="18"/>
              </w:rPr>
              <w:t>-29.706</w:t>
            </w:r>
          </w:p>
        </w:tc>
        <w:tc>
          <w:tcPr>
            <w:tcW w:type="dxa" w:w="864"/>
          </w:tcPr>
          <w:p>
            <w:r>
              <w:rPr>
                <w:rFonts w:ascii="Arial" w:hAnsi="Arial"/>
                <w:sz w:val="18"/>
              </w:rPr>
              <w:t>50.037</w:t>
            </w:r>
          </w:p>
        </w:tc>
        <w:tc>
          <w:tcPr>
            <w:tcW w:type="dxa" w:w="864"/>
          </w:tcPr>
          <w:p>
            <w:r>
              <w:rPr>
                <w:rFonts w:ascii="Arial" w:hAnsi="Arial"/>
                <w:sz w:val="18"/>
              </w:rPr>
              <w:t>-33.200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+3.592</w:t>
            </w:r>
          </w:p>
        </w:tc>
        <w:tc>
          <w:tcPr>
            <w:tcW w:type="dxa" w:w="864"/>
          </w:tcPr>
          <w:p>
            <w:r>
              <w:rPr>
                <w:rFonts w:ascii="Arial" w:hAnsi="Arial"/>
                <w:sz w:val="18"/>
              </w:rPr>
              <w:t>14.120</w:t>
            </w:r>
          </w:p>
        </w:tc>
        <w:tc>
          <w:tcPr>
            <w:tcW w:type="dxa" w:w="864"/>
          </w:tcPr>
          <w:p>
            <w:r>
              <w:rPr>
                <w:rFonts w:ascii="Arial" w:hAnsi="Arial"/>
                <w:sz w:val="18"/>
              </w:rPr>
              <w:t>0.799</w:t>
            </w:r>
          </w:p>
        </w:tc>
        <w:tc>
          <w:tcPr>
            <w:tcW w:type="dxa" w:w="864"/>
          </w:tcPr>
          <w:p>
            <w:r>
              <w:rPr>
                <w:rFonts w:ascii="Arial" w:hAnsi="Arial"/>
                <w:sz w:val="18"/>
              </w:rPr>
              <w:t>-24.082</w:t>
            </w:r>
          </w:p>
        </w:tc>
        <w:tc>
          <w:tcPr>
            <w:tcW w:type="dxa" w:w="864"/>
          </w:tcPr>
          <w:p>
            <w:r>
              <w:rPr>
                <w:rFonts w:ascii="Arial" w:hAnsi="Arial"/>
                <w:sz w:val="18"/>
              </w:rPr>
              <w:t>31.267</w:t>
            </w:r>
          </w:p>
        </w:tc>
        <w:tc>
          <w:tcPr>
            <w:tcW w:type="dxa" w:w="864"/>
          </w:tcPr>
          <w:p>
            <w:r>
              <w:rPr>
                <w:rFonts w:ascii="Arial" w:hAnsi="Arial"/>
                <w:sz w:val="18"/>
              </w:rPr>
              <w:t>-76.400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+10.475</w:t>
            </w:r>
          </w:p>
        </w:tc>
        <w:tc>
          <w:tcPr>
            <w:tcW w:type="dxa" w:w="864"/>
          </w:tcPr>
          <w:p>
            <w:r>
              <w:rPr>
                <w:rFonts w:ascii="Arial" w:hAnsi="Arial"/>
                <w:sz w:val="18"/>
              </w:rPr>
              <w:t>17.864</w:t>
            </w:r>
          </w:p>
        </w:tc>
        <w:tc>
          <w:tcPr>
            <w:tcW w:type="dxa" w:w="864"/>
          </w:tcPr>
          <w:p>
            <w:r>
              <w:rPr>
                <w:rFonts w:ascii="Arial" w:hAnsi="Arial"/>
                <w:sz w:val="18"/>
              </w:rPr>
              <w:t>0.558</w:t>
            </w:r>
          </w:p>
        </w:tc>
        <w:tc>
          <w:tcPr>
            <w:tcW w:type="dxa" w:w="864"/>
          </w:tcPr>
          <w:p>
            <w:r>
              <w:rPr>
                <w:rFonts w:ascii="Arial" w:hAnsi="Arial"/>
                <w:sz w:val="18"/>
              </w:rPr>
              <w:t>-24.538</w:t>
            </w:r>
          </w:p>
        </w:tc>
        <w:tc>
          <w:tcPr>
            <w:tcW w:type="dxa" w:w="864"/>
          </w:tcPr>
          <w:p>
            <w:r>
              <w:rPr>
                <w:rFonts w:ascii="Arial" w:hAnsi="Arial"/>
                <w:sz w:val="18"/>
              </w:rPr>
              <w:t>45.489</w:t>
            </w:r>
          </w:p>
        </w:tc>
        <w:tc>
          <w:tcPr>
            <w:tcW w:type="dxa" w:w="864"/>
          </w:tcPr>
          <w:p>
            <w:r>
              <w:rPr>
                <w:rFonts w:ascii="Arial" w:hAnsi="Arial"/>
                <w:sz w:val="18"/>
              </w:rPr>
              <w:t>-31.200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+13.505</w:t>
            </w:r>
          </w:p>
        </w:tc>
        <w:tc>
          <w:tcPr>
            <w:tcW w:type="dxa" w:w="864"/>
          </w:tcPr>
          <w:p>
            <w:r>
              <w:rPr>
                <w:rFonts w:ascii="Arial" w:hAnsi="Arial"/>
                <w:sz w:val="18"/>
              </w:rPr>
              <w:t>19.106</w:t>
            </w:r>
          </w:p>
        </w:tc>
        <w:tc>
          <w:tcPr>
            <w:tcW w:type="dxa" w:w="864"/>
          </w:tcPr>
          <w:p>
            <w:r>
              <w:rPr>
                <w:rFonts w:ascii="Arial" w:hAnsi="Arial"/>
                <w:sz w:val="18"/>
              </w:rPr>
              <w:t>0.480</w:t>
            </w:r>
          </w:p>
        </w:tc>
        <w:tc>
          <w:tcPr>
            <w:tcW w:type="dxa" w:w="864"/>
          </w:tcPr>
          <w:p>
            <w:r>
              <w:rPr>
                <w:rFonts w:ascii="Arial" w:hAnsi="Arial"/>
                <w:sz w:val="18"/>
              </w:rPr>
              <w:t>-23.942</w:t>
            </w:r>
          </w:p>
        </w:tc>
        <w:tc>
          <w:tcPr>
            <w:tcW w:type="dxa" w:w="864"/>
          </w:tcPr>
          <w:p>
            <w:r>
              <w:rPr>
                <w:rFonts w:ascii="Arial" w:hAnsi="Arial"/>
                <w:sz w:val="18"/>
              </w:rPr>
              <w:t>50.953</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+17.836</w:t>
            </w:r>
          </w:p>
        </w:tc>
        <w:tc>
          <w:tcPr>
            <w:tcW w:type="dxa" w:w="864"/>
          </w:tcPr>
          <w:p>
            <w:r>
              <w:rPr>
                <w:rFonts w:ascii="Arial" w:hAnsi="Arial"/>
                <w:sz w:val="18"/>
              </w:rPr>
              <w:t>21.222</w:t>
            </w:r>
          </w:p>
        </w:tc>
        <w:tc>
          <w:tcPr>
            <w:tcW w:type="dxa" w:w="864"/>
          </w:tcPr>
          <w:p>
            <w:r>
              <w:rPr>
                <w:rFonts w:ascii="Arial" w:hAnsi="Arial"/>
                <w:sz w:val="18"/>
              </w:rPr>
              <w:t>0.401</w:t>
            </w:r>
          </w:p>
        </w:tc>
        <w:tc>
          <w:tcPr>
            <w:tcW w:type="dxa" w:w="864"/>
          </w:tcPr>
          <w:p>
            <w:r>
              <w:rPr>
                <w:rFonts w:ascii="Arial" w:hAnsi="Arial"/>
                <w:sz w:val="18"/>
              </w:rPr>
              <w:t>-23.758</w:t>
            </w:r>
          </w:p>
        </w:tc>
        <w:tc>
          <w:tcPr>
            <w:tcW w:type="dxa" w:w="864"/>
          </w:tcPr>
          <w:p>
            <w:r>
              <w:rPr>
                <w:rFonts w:ascii="Arial" w:hAnsi="Arial"/>
                <w:sz w:val="18"/>
              </w:rPr>
              <w:t>59.429</w:t>
            </w:r>
          </w:p>
        </w:tc>
        <w:tc>
          <w:tcPr>
            <w:tcW w:type="dxa" w:w="864"/>
          </w:tcPr>
          <w:p>
            <w:r>
              <w:rPr>
                <w:rFonts w:ascii="Arial" w:hAnsi="Arial"/>
                <w:sz w:val="18"/>
              </w:rPr>
              <w:t>17.200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+21.969</w:t>
            </w:r>
          </w:p>
        </w:tc>
        <w:tc>
          <w:tcPr>
            <w:tcW w:type="dxa" w:w="864"/>
          </w:tcPr>
          <w:p>
            <w:r>
              <w:rPr>
                <w:rFonts w:ascii="Arial" w:hAnsi="Arial"/>
                <w:sz w:val="18"/>
              </w:rPr>
              <w:t>19.354</w:t>
            </w:r>
          </w:p>
        </w:tc>
        <w:tc>
          <w:tcPr>
            <w:tcW w:type="dxa" w:w="864"/>
          </w:tcPr>
          <w:p>
            <w:r>
              <w:rPr>
                <w:rFonts w:ascii="Arial" w:hAnsi="Arial"/>
                <w:sz w:val="18"/>
              </w:rPr>
              <w:t>0.256</w:t>
            </w:r>
          </w:p>
        </w:tc>
        <w:tc>
          <w:tcPr>
            <w:tcW w:type="dxa" w:w="864"/>
          </w:tcPr>
          <w:p>
            <w:r>
              <w:rPr>
                <w:rFonts w:ascii="Arial" w:hAnsi="Arial"/>
                <w:sz w:val="18"/>
              </w:rPr>
              <w:t>-15.965</w:t>
            </w:r>
          </w:p>
        </w:tc>
        <w:tc>
          <w:tcPr>
            <w:tcW w:type="dxa" w:w="864"/>
          </w:tcPr>
          <w:p>
            <w:r>
              <w:rPr>
                <w:rFonts w:ascii="Arial" w:hAnsi="Arial"/>
                <w:sz w:val="18"/>
              </w:rPr>
              <w:t>59.903</w:t>
            </w:r>
          </w:p>
        </w:tc>
        <w:tc>
          <w:tcPr>
            <w:tcW w:type="dxa" w:w="864"/>
          </w:tcPr>
          <w:p>
            <w:r>
              <w:rPr>
                <w:rFonts w:ascii="Arial" w:hAnsi="Arial"/>
                <w:sz w:val="18"/>
              </w:rPr>
              <w:t>44.400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+22.526</w:t>
            </w:r>
          </w:p>
        </w:tc>
        <w:tc>
          <w:tcPr>
            <w:tcW w:type="dxa" w:w="864"/>
          </w:tcPr>
          <w:p>
            <w:r>
              <w:rPr>
                <w:rFonts w:ascii="Arial" w:hAnsi="Arial"/>
                <w:sz w:val="18"/>
              </w:rPr>
              <w:t>18.955</w:t>
            </w:r>
          </w:p>
        </w:tc>
        <w:tc>
          <w:tcPr>
            <w:tcW w:type="dxa" w:w="864"/>
          </w:tcPr>
          <w:p>
            <w:r>
              <w:rPr>
                <w:rFonts w:ascii="Arial" w:hAnsi="Arial"/>
                <w:sz w:val="18"/>
              </w:rPr>
              <w:t>0.235</w:t>
            </w:r>
          </w:p>
        </w:tc>
        <w:tc>
          <w:tcPr>
            <w:tcW w:type="dxa" w:w="864"/>
          </w:tcPr>
          <w:p>
            <w:r>
              <w:rPr>
                <w:rFonts w:ascii="Arial" w:hAnsi="Arial"/>
                <w:sz w:val="18"/>
              </w:rPr>
              <w:t>-14.625</w:t>
            </w:r>
          </w:p>
        </w:tc>
        <w:tc>
          <w:tcPr>
            <w:tcW w:type="dxa" w:w="864"/>
          </w:tcPr>
          <w:p>
            <w:r>
              <w:rPr>
                <w:rFonts w:ascii="Arial" w:hAnsi="Arial"/>
                <w:sz w:val="18"/>
              </w:rPr>
              <w:t>59.676</w:t>
            </w:r>
          </w:p>
        </w:tc>
        <w:tc>
          <w:tcPr>
            <w:tcW w:type="dxa" w:w="864"/>
          </w:tcPr>
          <w:p>
            <w:r>
              <w:rPr>
                <w:rFonts w:ascii="Arial" w:hAnsi="Arial"/>
                <w:sz w:val="18"/>
              </w:rPr>
              <w:t>48.000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-2.618</w:t>
            </w:r>
          </w:p>
        </w:tc>
        <w:tc>
          <w:tcPr>
            <w:tcW w:type="dxa" w:w="864"/>
          </w:tcPr>
          <w:p>
            <w:r>
              <w:rPr>
                <w:rFonts w:ascii="Arial" w:hAnsi="Arial"/>
                <w:sz w:val="18"/>
              </w:rPr>
              <w:t>3.408</w:t>
            </w:r>
          </w:p>
        </w:tc>
        <w:tc>
          <w:tcPr>
            <w:tcW w:type="dxa" w:w="864"/>
          </w:tcPr>
          <w:p>
            <w:r>
              <w:rPr>
                <w:rFonts w:ascii="Arial" w:hAnsi="Arial"/>
                <w:sz w:val="18"/>
              </w:rPr>
              <w:t>0.442</w:t>
            </w:r>
          </w:p>
        </w:tc>
        <w:tc>
          <w:tcPr>
            <w:tcW w:type="dxa" w:w="864"/>
          </w:tcPr>
          <w:p>
            <w:r>
              <w:rPr>
                <w:rFonts w:ascii="Arial" w:hAnsi="Arial"/>
                <w:sz w:val="18"/>
              </w:rPr>
              <w:t>-9.298</w:t>
            </w:r>
          </w:p>
        </w:tc>
        <w:tc>
          <w:tcPr>
            <w:tcW w:type="dxa" w:w="864"/>
          </w:tcPr>
          <w:p>
            <w:r>
              <w:rPr>
                <w:rFonts w:ascii="Arial" w:hAnsi="Arial"/>
                <w:sz w:val="18"/>
              </w:rPr>
              <w:t>4.062</w:t>
            </w:r>
          </w:p>
        </w:tc>
        <w:tc>
          <w:tcPr>
            <w:tcW w:type="dxa" w:w="864"/>
          </w:tcPr>
          <w:p>
            <w:r>
              <w:rPr>
                <w:rFonts w:ascii="Arial" w:hAnsi="Arial"/>
                <w:sz w:val="18"/>
              </w:rPr>
              <w:t>27.700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-3.529</w:t>
            </w:r>
          </w:p>
        </w:tc>
        <w:tc>
          <w:tcPr>
            <w:tcW w:type="dxa" w:w="864"/>
          </w:tcPr>
          <w:p>
            <w:r>
              <w:rPr>
                <w:rFonts w:ascii="Arial" w:hAnsi="Arial"/>
                <w:sz w:val="18"/>
              </w:rPr>
              <w:t>3.352</w:t>
            </w:r>
          </w:p>
        </w:tc>
        <w:tc>
          <w:tcPr>
            <w:tcW w:type="dxa" w:w="864"/>
          </w:tcPr>
          <w:p>
            <w:r>
              <w:rPr>
                <w:rFonts w:ascii="Arial" w:hAnsi="Arial"/>
                <w:sz w:val="18"/>
              </w:rPr>
              <w:t>0.292</w:t>
            </w:r>
          </w:p>
        </w:tc>
        <w:tc>
          <w:tcPr>
            <w:tcW w:type="dxa" w:w="864"/>
          </w:tcPr>
          <w:p>
            <w:r>
              <w:rPr>
                <w:rFonts w:ascii="Arial" w:hAnsi="Arial"/>
                <w:sz w:val="18"/>
              </w:rPr>
              <w:t>-10.099</w:t>
            </w:r>
          </w:p>
        </w:tc>
        <w:tc>
          <w:tcPr>
            <w:tcW w:type="dxa" w:w="864"/>
          </w:tcPr>
          <w:p>
            <w:r>
              <w:rPr>
                <w:rFonts w:ascii="Arial" w:hAnsi="Arial"/>
                <w:sz w:val="18"/>
              </w:rPr>
              <w:t>3.040</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-1.966</w:t>
            </w:r>
          </w:p>
        </w:tc>
        <w:tc>
          <w:tcPr>
            <w:tcW w:type="dxa" w:w="864"/>
          </w:tcPr>
          <w:p>
            <w:r>
              <w:rPr>
                <w:rFonts w:ascii="Arial" w:hAnsi="Arial"/>
                <w:sz w:val="18"/>
              </w:rPr>
              <w:t>2.424</w:t>
            </w:r>
          </w:p>
        </w:tc>
        <w:tc>
          <w:tcPr>
            <w:tcW w:type="dxa" w:w="864"/>
          </w:tcPr>
          <w:p>
            <w:r>
              <w:rPr>
                <w:rFonts w:ascii="Arial" w:hAnsi="Arial"/>
                <w:sz w:val="18"/>
              </w:rPr>
              <w:t>0.417</w:t>
            </w:r>
          </w:p>
        </w:tc>
        <w:tc>
          <w:tcPr>
            <w:tcW w:type="dxa" w:w="864"/>
          </w:tcPr>
          <w:p>
            <w:r>
              <w:rPr>
                <w:rFonts w:ascii="Arial" w:hAnsi="Arial"/>
                <w:sz w:val="18"/>
              </w:rPr>
              <w:t>-6.717</w:t>
            </w:r>
          </w:p>
        </w:tc>
        <w:tc>
          <w:tcPr>
            <w:tcW w:type="dxa" w:w="864"/>
          </w:tcPr>
          <w:p>
            <w:r>
              <w:rPr>
                <w:rFonts w:ascii="Arial" w:hAnsi="Arial"/>
                <w:sz w:val="18"/>
              </w:rPr>
              <w:t>2.786</w:t>
            </w:r>
          </w:p>
        </w:tc>
        <w:tc>
          <w:tcPr>
            <w:tcW w:type="dxa" w:w="864"/>
          </w:tcPr>
          <w:p>
            <w:r>
              <w:rPr>
                <w:rFonts w:ascii="Arial" w:hAnsi="Arial"/>
                <w:sz w:val="18"/>
              </w:rPr>
              <w:t>45.700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-5.633</w:t>
            </w:r>
          </w:p>
        </w:tc>
        <w:tc>
          <w:tcPr>
            <w:tcW w:type="dxa" w:w="864"/>
          </w:tcPr>
          <w:p>
            <w:r>
              <w:rPr>
                <w:rFonts w:ascii="Arial" w:hAnsi="Arial"/>
                <w:sz w:val="18"/>
              </w:rPr>
              <w:t>2.122</w:t>
            </w:r>
          </w:p>
        </w:tc>
        <w:tc>
          <w:tcPr>
            <w:tcW w:type="dxa" w:w="864"/>
          </w:tcPr>
          <w:p>
            <w:r>
              <w:rPr>
                <w:rFonts w:ascii="Arial" w:hAnsi="Arial"/>
                <w:sz w:val="18"/>
              </w:rPr>
              <w:t>0.008</w:t>
            </w:r>
          </w:p>
        </w:tc>
        <w:tc>
          <w:tcPr>
            <w:tcW w:type="dxa" w:w="864"/>
          </w:tcPr>
          <w:p>
            <w:r>
              <w:rPr>
                <w:rFonts w:ascii="Arial" w:hAnsi="Arial"/>
                <w:sz w:val="18"/>
              </w:rPr>
              <w:t>-9.793</w:t>
            </w:r>
          </w:p>
        </w:tc>
        <w:tc>
          <w:tcPr>
            <w:tcW w:type="dxa" w:w="864"/>
          </w:tcPr>
          <w:p>
            <w:r>
              <w:rPr>
                <w:rFonts w:ascii="Arial" w:hAnsi="Arial"/>
                <w:sz w:val="18"/>
              </w:rPr>
              <w:t>-1.474</w:t>
            </w:r>
          </w:p>
        </w:tc>
        <w:tc>
          <w:tcPr>
            <w:tcW w:type="dxa" w:w="864"/>
          </w:tcPr>
          <w:p>
            <w:r>
              <w:rPr>
                <w:rFonts w:ascii="Arial" w:hAnsi="Arial"/>
                <w:sz w:val="18"/>
              </w:rPr>
              <w:t>-55.500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-2.618</w:t>
            </w:r>
          </w:p>
        </w:tc>
        <w:tc>
          <w:tcPr>
            <w:tcW w:type="dxa" w:w="864"/>
          </w:tcPr>
          <w:p>
            <w:r>
              <w:rPr>
                <w:rFonts w:ascii="Arial" w:hAnsi="Arial"/>
                <w:sz w:val="18"/>
              </w:rPr>
              <w:t>3.408</w:t>
            </w:r>
          </w:p>
        </w:tc>
        <w:tc>
          <w:tcPr>
            <w:tcW w:type="dxa" w:w="864"/>
          </w:tcPr>
          <w:p>
            <w:r>
              <w:rPr>
                <w:rFonts w:ascii="Arial" w:hAnsi="Arial"/>
                <w:sz w:val="18"/>
              </w:rPr>
              <w:t>0.442</w:t>
            </w:r>
          </w:p>
        </w:tc>
        <w:tc>
          <w:tcPr>
            <w:tcW w:type="dxa" w:w="864"/>
          </w:tcPr>
          <w:p>
            <w:r>
              <w:rPr>
                <w:rFonts w:ascii="Arial" w:hAnsi="Arial"/>
                <w:sz w:val="18"/>
              </w:rPr>
              <w:t>-9.298</w:t>
            </w:r>
          </w:p>
        </w:tc>
        <w:tc>
          <w:tcPr>
            <w:tcW w:type="dxa" w:w="864"/>
          </w:tcPr>
          <w:p>
            <w:r>
              <w:rPr>
                <w:rFonts w:ascii="Arial" w:hAnsi="Arial"/>
                <w:sz w:val="18"/>
              </w:rPr>
              <w:t>4.062</w:t>
            </w:r>
          </w:p>
        </w:tc>
        <w:tc>
          <w:tcPr>
            <w:tcW w:type="dxa" w:w="864"/>
          </w:tcPr>
          <w:p>
            <w:r>
              <w:rPr>
                <w:rFonts w:ascii="Arial" w:hAnsi="Arial"/>
                <w:sz w:val="18"/>
              </w:rPr>
              <w:t>27.700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-4.553</w:t>
            </w:r>
          </w:p>
        </w:tc>
        <w:tc>
          <w:tcPr>
            <w:tcW w:type="dxa" w:w="864"/>
          </w:tcPr>
          <w:p>
            <w:r>
              <w:rPr>
                <w:rFonts w:ascii="Arial" w:hAnsi="Arial"/>
                <w:sz w:val="18"/>
              </w:rPr>
              <w:t>3.092</w:t>
            </w:r>
          </w:p>
        </w:tc>
        <w:tc>
          <w:tcPr>
            <w:tcW w:type="dxa" w:w="864"/>
          </w:tcPr>
          <w:p>
            <w:r>
              <w:rPr>
                <w:rFonts w:ascii="Arial" w:hAnsi="Arial"/>
                <w:sz w:val="18"/>
              </w:rPr>
              <w:t>0.141</w:t>
            </w:r>
          </w:p>
        </w:tc>
        <w:tc>
          <w:tcPr>
            <w:tcW w:type="dxa" w:w="864"/>
          </w:tcPr>
          <w:p>
            <w:r>
              <w:rPr>
                <w:rFonts w:ascii="Arial" w:hAnsi="Arial"/>
                <w:sz w:val="18"/>
              </w:rPr>
              <w:t>-10.613</w:t>
            </w:r>
          </w:p>
        </w:tc>
        <w:tc>
          <w:tcPr>
            <w:tcW w:type="dxa" w:w="864"/>
          </w:tcPr>
          <w:p>
            <w:r>
              <w:rPr>
                <w:rFonts w:ascii="Arial" w:hAnsi="Arial"/>
                <w:sz w:val="18"/>
              </w:rPr>
              <w:t>1.508</w:t>
            </w:r>
          </w:p>
        </w:tc>
        <w:tc>
          <w:tcPr>
            <w:tcW w:type="dxa" w:w="864"/>
          </w:tcPr>
          <w:p>
            <w:r>
              <w:rPr>
                <w:rFonts w:ascii="Arial" w:hAnsi="Arial"/>
                <w:sz w:val="18"/>
              </w:rPr>
              <w:t>-25.600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-4.553</w:t>
            </w:r>
          </w:p>
        </w:tc>
        <w:tc>
          <w:tcPr>
            <w:tcW w:type="dxa" w:w="864"/>
          </w:tcPr>
          <w:p>
            <w:r>
              <w:rPr>
                <w:rFonts w:ascii="Arial" w:hAnsi="Arial"/>
                <w:sz w:val="18"/>
              </w:rPr>
              <w:t>3.092</w:t>
            </w:r>
          </w:p>
        </w:tc>
        <w:tc>
          <w:tcPr>
            <w:tcW w:type="dxa" w:w="864"/>
          </w:tcPr>
          <w:p>
            <w:r>
              <w:rPr>
                <w:rFonts w:ascii="Arial" w:hAnsi="Arial"/>
                <w:sz w:val="18"/>
              </w:rPr>
              <w:t>0.141</w:t>
            </w:r>
          </w:p>
        </w:tc>
        <w:tc>
          <w:tcPr>
            <w:tcW w:type="dxa" w:w="864"/>
          </w:tcPr>
          <w:p>
            <w:r>
              <w:rPr>
                <w:rFonts w:ascii="Arial" w:hAnsi="Arial"/>
                <w:sz w:val="18"/>
              </w:rPr>
              <w:t>-10.613</w:t>
            </w:r>
          </w:p>
        </w:tc>
        <w:tc>
          <w:tcPr>
            <w:tcW w:type="dxa" w:w="864"/>
          </w:tcPr>
          <w:p>
            <w:r>
              <w:rPr>
                <w:rFonts w:ascii="Arial" w:hAnsi="Arial"/>
                <w:sz w:val="18"/>
              </w:rPr>
              <w:t>1.507</w:t>
            </w:r>
          </w:p>
        </w:tc>
        <w:tc>
          <w:tcPr>
            <w:tcW w:type="dxa" w:w="864"/>
          </w:tcPr>
          <w:p>
            <w:r>
              <w:rPr>
                <w:rFonts w:ascii="Arial" w:hAnsi="Arial"/>
                <w:sz w:val="18"/>
              </w:rPr>
              <w:t>-25.700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-3.516</w:t>
            </w:r>
          </w:p>
        </w:tc>
        <w:tc>
          <w:tcPr>
            <w:tcW w:type="dxa" w:w="864"/>
          </w:tcPr>
          <w:p>
            <w:r>
              <w:rPr>
                <w:rFonts w:ascii="Arial" w:hAnsi="Arial"/>
                <w:sz w:val="18"/>
              </w:rPr>
              <w:t>3.351</w:t>
            </w:r>
          </w:p>
        </w:tc>
        <w:tc>
          <w:tcPr>
            <w:tcW w:type="dxa" w:w="864"/>
          </w:tcPr>
          <w:p>
            <w:r>
              <w:rPr>
                <w:rFonts w:ascii="Arial" w:hAnsi="Arial"/>
                <w:sz w:val="18"/>
              </w:rPr>
              <w:t>0.294</w:t>
            </w:r>
          </w:p>
        </w:tc>
        <w:tc>
          <w:tcPr>
            <w:tcW w:type="dxa" w:w="864"/>
          </w:tcPr>
          <w:p>
            <w:r>
              <w:rPr>
                <w:rFonts w:ascii="Arial" w:hAnsi="Arial"/>
                <w:sz w:val="18"/>
              </w:rPr>
              <w:t>-10.084</w:t>
            </w:r>
          </w:p>
        </w:tc>
        <w:tc>
          <w:tcPr>
            <w:tcW w:type="dxa" w:w="864"/>
          </w:tcPr>
          <w:p>
            <w:r>
              <w:rPr>
                <w:rFonts w:ascii="Arial" w:hAnsi="Arial"/>
                <w:sz w:val="18"/>
              </w:rPr>
              <w:t>3.052</w:t>
            </w:r>
          </w:p>
        </w:tc>
        <w:tc>
          <w:tcPr>
            <w:tcW w:type="dxa" w:w="864"/>
          </w:tcPr>
          <w:p>
            <w:r>
              <w:rPr>
                <w:rFonts w:ascii="Arial" w:hAnsi="Arial"/>
                <w:sz w:val="18"/>
              </w:rPr>
              <w:t>3.000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-0.091</w:t>
            </w:r>
          </w:p>
        </w:tc>
        <w:tc>
          <w:tcPr>
            <w:tcW w:type="dxa" w:w="864"/>
          </w:tcPr>
          <w:p>
            <w:r>
              <w:rPr>
                <w:rFonts w:ascii="Arial" w:hAnsi="Arial"/>
                <w:sz w:val="18"/>
              </w:rPr>
              <w:t>0.075</w:t>
            </w:r>
          </w:p>
        </w:tc>
        <w:tc>
          <w:tcPr>
            <w:tcW w:type="dxa" w:w="864"/>
          </w:tcPr>
          <w:p>
            <w:r>
              <w:rPr>
                <w:rFonts w:ascii="Arial" w:hAnsi="Arial"/>
                <w:sz w:val="18"/>
              </w:rPr>
              <w:t>0.225</w:t>
            </w:r>
          </w:p>
        </w:tc>
        <w:tc>
          <w:tcPr>
            <w:tcW w:type="dxa" w:w="864"/>
          </w:tcPr>
          <w:p>
            <w:r>
              <w:rPr>
                <w:rFonts w:ascii="Arial" w:hAnsi="Arial"/>
                <w:sz w:val="18"/>
              </w:rPr>
              <w:t>-0.238</w:t>
            </w:r>
          </w:p>
        </w:tc>
        <w:tc>
          <w:tcPr>
            <w:tcW w:type="dxa" w:w="864"/>
          </w:tcPr>
          <w:p>
            <w:r>
              <w:rPr>
                <w:rFonts w:ascii="Arial" w:hAnsi="Arial"/>
                <w:sz w:val="18"/>
              </w:rPr>
              <w:t>0.056</w:t>
            </w:r>
          </w:p>
        </w:tc>
        <w:tc>
          <w:tcPr>
            <w:tcW w:type="dxa" w:w="864"/>
          </w:tcPr>
          <w:p>
            <w:r>
              <w:rPr>
                <w:rFonts w:ascii="Arial" w:hAnsi="Arial"/>
                <w:sz w:val="18"/>
              </w:rPr>
              <w:t>6.900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-0.138</w:t>
            </w:r>
          </w:p>
        </w:tc>
        <w:tc>
          <w:tcPr>
            <w:tcW w:type="dxa" w:w="864"/>
          </w:tcPr>
          <w:p>
            <w:r>
              <w:rPr>
                <w:rFonts w:ascii="Arial" w:hAnsi="Arial"/>
                <w:sz w:val="18"/>
              </w:rPr>
              <w:t>0.050</w:t>
            </w:r>
          </w:p>
        </w:tc>
        <w:tc>
          <w:tcPr>
            <w:tcW w:type="dxa" w:w="864"/>
          </w:tcPr>
          <w:p>
            <w:r>
              <w:rPr>
                <w:rFonts w:ascii="Arial" w:hAnsi="Arial"/>
                <w:sz w:val="18"/>
              </w:rPr>
              <w:t>0.006</w:t>
            </w:r>
          </w:p>
        </w:tc>
        <w:tc>
          <w:tcPr>
            <w:tcW w:type="dxa" w:w="864"/>
          </w:tcPr>
          <w:p>
            <w:r>
              <w:rPr>
                <w:rFonts w:ascii="Arial" w:hAnsi="Arial"/>
                <w:sz w:val="18"/>
              </w:rPr>
              <w:t>-0.235</w:t>
            </w:r>
          </w:p>
        </w:tc>
        <w:tc>
          <w:tcPr>
            <w:tcW w:type="dxa" w:w="864"/>
          </w:tcPr>
          <w:p>
            <w:r>
              <w:rPr>
                <w:rFonts w:ascii="Arial" w:hAnsi="Arial"/>
                <w:sz w:val="18"/>
              </w:rPr>
              <w:t>-0.040</w:t>
            </w:r>
          </w:p>
        </w:tc>
        <w:tc>
          <w:tcPr>
            <w:tcW w:type="dxa" w:w="864"/>
          </w:tcPr>
          <w:p>
            <w:r>
              <w:rPr>
                <w:rFonts w:ascii="Arial" w:hAnsi="Arial"/>
                <w:sz w:val="18"/>
              </w:rPr>
              <w:t>-40.700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-0.063</w:t>
            </w:r>
          </w:p>
        </w:tc>
        <w:tc>
          <w:tcPr>
            <w:tcW w:type="dxa" w:w="864"/>
          </w:tcPr>
          <w:p>
            <w:r>
              <w:rPr>
                <w:rFonts w:ascii="Arial" w:hAnsi="Arial"/>
                <w:sz w:val="18"/>
              </w:rPr>
              <w:t>0.062</w:t>
            </w:r>
          </w:p>
        </w:tc>
        <w:tc>
          <w:tcPr>
            <w:tcW w:type="dxa" w:w="864"/>
          </w:tcPr>
          <w:p>
            <w:r>
              <w:rPr>
                <w:rFonts w:ascii="Arial" w:hAnsi="Arial"/>
                <w:sz w:val="18"/>
              </w:rPr>
              <w:t>0.306</w:t>
            </w:r>
          </w:p>
        </w:tc>
        <w:tc>
          <w:tcPr>
            <w:tcW w:type="dxa" w:w="864"/>
          </w:tcPr>
          <w:p>
            <w:r>
              <w:rPr>
                <w:rFonts w:ascii="Arial" w:hAnsi="Arial"/>
                <w:sz w:val="18"/>
              </w:rPr>
              <w:t>-0.185</w:t>
            </w:r>
          </w:p>
        </w:tc>
        <w:tc>
          <w:tcPr>
            <w:tcW w:type="dxa" w:w="864"/>
          </w:tcPr>
          <w:p>
            <w:r>
              <w:rPr>
                <w:rFonts w:ascii="Arial" w:hAnsi="Arial"/>
                <w:sz w:val="18"/>
              </w:rPr>
              <w:t>0.058</w:t>
            </w:r>
          </w:p>
        </w:tc>
        <w:tc>
          <w:tcPr>
            <w:tcW w:type="dxa" w:w="864"/>
          </w:tcPr>
          <w:p>
            <w:r>
              <w:rPr>
                <w:rFonts w:ascii="Arial" w:hAnsi="Arial"/>
                <w:sz w:val="18"/>
              </w:rPr>
              <w:t>35.200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-0.128</w:t>
            </w:r>
          </w:p>
        </w:tc>
        <w:tc>
          <w:tcPr>
            <w:tcW w:type="dxa" w:w="864"/>
          </w:tcPr>
          <w:p>
            <w:r>
              <w:rPr>
                <w:rFonts w:ascii="Arial" w:hAnsi="Arial"/>
                <w:sz w:val="18"/>
              </w:rPr>
              <w:t>0.056</w:t>
            </w:r>
          </w:p>
        </w:tc>
        <w:tc>
          <w:tcPr>
            <w:tcW w:type="dxa" w:w="864"/>
          </w:tcPr>
          <w:p>
            <w:r>
              <w:rPr>
                <w:rFonts w:ascii="Arial" w:hAnsi="Arial"/>
                <w:sz w:val="18"/>
              </w:rPr>
              <w:t>0.023</w:t>
            </w:r>
          </w:p>
        </w:tc>
        <w:tc>
          <w:tcPr>
            <w:tcW w:type="dxa" w:w="864"/>
          </w:tcPr>
          <w:p>
            <w:r>
              <w:rPr>
                <w:rFonts w:ascii="Arial" w:hAnsi="Arial"/>
                <w:sz w:val="18"/>
              </w:rPr>
              <w:t>-0.238</w:t>
            </w:r>
          </w:p>
        </w:tc>
        <w:tc>
          <w:tcPr>
            <w:tcW w:type="dxa" w:w="864"/>
          </w:tcPr>
          <w:p>
            <w:r>
              <w:rPr>
                <w:rFonts w:ascii="Arial" w:hAnsi="Arial"/>
                <w:sz w:val="18"/>
              </w:rPr>
              <w:t>-0.018</w:t>
            </w:r>
          </w:p>
        </w:tc>
        <w:tc>
          <w:tcPr>
            <w:tcW w:type="dxa" w:w="864"/>
          </w:tcPr>
          <w:p>
            <w:r>
              <w:rPr>
                <w:rFonts w:ascii="Arial" w:hAnsi="Arial"/>
                <w:sz w:val="18"/>
              </w:rPr>
              <w:t>-30.500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-0.065</w:t>
            </w:r>
          </w:p>
        </w:tc>
        <w:tc>
          <w:tcPr>
            <w:tcW w:type="dxa" w:w="864"/>
          </w:tcPr>
          <w:p>
            <w:r>
              <w:rPr>
                <w:rFonts w:ascii="Arial" w:hAnsi="Arial"/>
                <w:sz w:val="18"/>
              </w:rPr>
              <w:t>0.078</w:t>
            </w:r>
          </w:p>
        </w:tc>
        <w:tc>
          <w:tcPr>
            <w:tcW w:type="dxa" w:w="864"/>
          </w:tcPr>
          <w:p>
            <w:r>
              <w:rPr>
                <w:rFonts w:ascii="Arial" w:hAnsi="Arial"/>
                <w:sz w:val="18"/>
              </w:rPr>
              <w:t>0.400</w:t>
            </w:r>
          </w:p>
        </w:tc>
        <w:tc>
          <w:tcPr>
            <w:tcW w:type="dxa" w:w="864"/>
          </w:tcPr>
          <w:p>
            <w:r>
              <w:rPr>
                <w:rFonts w:ascii="Arial" w:hAnsi="Arial"/>
                <w:sz w:val="18"/>
              </w:rPr>
              <w:t>-0.217</w:t>
            </w:r>
          </w:p>
        </w:tc>
        <w:tc>
          <w:tcPr>
            <w:tcW w:type="dxa" w:w="864"/>
          </w:tcPr>
          <w:p>
            <w:r>
              <w:rPr>
                <w:rFonts w:ascii="Arial" w:hAnsi="Arial"/>
                <w:sz w:val="18"/>
              </w:rPr>
              <w:t>0.087</w:t>
            </w:r>
          </w:p>
        </w:tc>
        <w:tc>
          <w:tcPr>
            <w:tcW w:type="dxa" w:w="864"/>
          </w:tcPr>
          <w:p>
            <w:r>
              <w:rPr>
                <w:rFonts w:ascii="Arial" w:hAnsi="Arial"/>
                <w:sz w:val="18"/>
              </w:rPr>
              <w:t>33.300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-0.098</w:t>
            </w:r>
          </w:p>
        </w:tc>
        <w:tc>
          <w:tcPr>
            <w:tcW w:type="dxa" w:w="864"/>
          </w:tcPr>
          <w:p>
            <w:r>
              <w:rPr>
                <w:rFonts w:ascii="Arial" w:hAnsi="Arial"/>
                <w:sz w:val="18"/>
              </w:rPr>
              <w:t>0.061</w:t>
            </w:r>
          </w:p>
        </w:tc>
        <w:tc>
          <w:tcPr>
            <w:tcW w:type="dxa" w:w="864"/>
          </w:tcPr>
          <w:p>
            <w:r>
              <w:rPr>
                <w:rFonts w:ascii="Arial" w:hAnsi="Arial"/>
                <w:sz w:val="18"/>
              </w:rPr>
              <w:t>0.111</w:t>
            </w:r>
          </w:p>
        </w:tc>
        <w:tc>
          <w:tcPr>
            <w:tcW w:type="dxa" w:w="864"/>
          </w:tcPr>
          <w:p>
            <w:r>
              <w:rPr>
                <w:rFonts w:ascii="Arial" w:hAnsi="Arial"/>
                <w:sz w:val="18"/>
              </w:rPr>
              <w:t>-0.218</w:t>
            </w:r>
          </w:p>
        </w:tc>
        <w:tc>
          <w:tcPr>
            <w:tcW w:type="dxa" w:w="864"/>
          </w:tcPr>
          <w:p>
            <w:r>
              <w:rPr>
                <w:rFonts w:ascii="Arial" w:hAnsi="Arial"/>
                <w:sz w:val="18"/>
              </w:rPr>
              <w:t>0.023</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-0.100</w:t>
            </w:r>
          </w:p>
        </w:tc>
        <w:tc>
          <w:tcPr>
            <w:tcW w:type="dxa" w:w="864"/>
          </w:tcPr>
          <w:p>
            <w:r>
              <w:rPr>
                <w:rFonts w:ascii="Arial" w:hAnsi="Arial"/>
                <w:sz w:val="18"/>
              </w:rPr>
              <w:t>0.065</w:t>
            </w:r>
          </w:p>
        </w:tc>
        <w:tc>
          <w:tcPr>
            <w:tcW w:type="dxa" w:w="864"/>
          </w:tcPr>
          <w:p>
            <w:r>
              <w:rPr>
                <w:rFonts w:ascii="Arial" w:hAnsi="Arial"/>
                <w:sz w:val="18"/>
              </w:rPr>
              <w:t>0.127</w:t>
            </w:r>
          </w:p>
        </w:tc>
        <w:tc>
          <w:tcPr>
            <w:tcW w:type="dxa" w:w="864"/>
          </w:tcPr>
          <w:p>
            <w:r>
              <w:rPr>
                <w:rFonts w:ascii="Arial" w:hAnsi="Arial"/>
                <w:sz w:val="18"/>
              </w:rPr>
              <w:t>-0.228</w:t>
            </w:r>
          </w:p>
        </w:tc>
        <w:tc>
          <w:tcPr>
            <w:tcW w:type="dxa" w:w="864"/>
          </w:tcPr>
          <w:p>
            <w:r>
              <w:rPr>
                <w:rFonts w:ascii="Arial" w:hAnsi="Arial"/>
                <w:sz w:val="18"/>
              </w:rPr>
              <w:t>0.028</w:t>
            </w:r>
          </w:p>
        </w:tc>
        <w:tc>
          <w:tcPr>
            <w:tcW w:type="dxa" w:w="864"/>
          </w:tcPr>
          <w:p>
            <w:r>
              <w:rPr>
                <w:rFonts w:ascii="Arial" w:hAnsi="Arial"/>
                <w:sz w:val="18"/>
              </w:rPr>
              <w:t>-2.000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-0.088</w:t>
            </w:r>
          </w:p>
        </w:tc>
        <w:tc>
          <w:tcPr>
            <w:tcW w:type="dxa" w:w="864"/>
          </w:tcPr>
          <w:p>
            <w:r>
              <w:rPr>
                <w:rFonts w:ascii="Arial" w:hAnsi="Arial"/>
                <w:sz w:val="18"/>
              </w:rPr>
              <w:t>0.087</w:t>
            </w:r>
          </w:p>
        </w:tc>
        <w:tc>
          <w:tcPr>
            <w:tcW w:type="dxa" w:w="864"/>
          </w:tcPr>
          <w:p>
            <w:r>
              <w:rPr>
                <w:rFonts w:ascii="Arial" w:hAnsi="Arial"/>
                <w:sz w:val="18"/>
              </w:rPr>
              <w:t>0.310</w:t>
            </w:r>
          </w:p>
        </w:tc>
        <w:tc>
          <w:tcPr>
            <w:tcW w:type="dxa" w:w="864"/>
          </w:tcPr>
          <w:p>
            <w:r>
              <w:rPr>
                <w:rFonts w:ascii="Arial" w:hAnsi="Arial"/>
                <w:sz w:val="18"/>
              </w:rPr>
              <w:t>-0.257</w:t>
            </w:r>
          </w:p>
        </w:tc>
        <w:tc>
          <w:tcPr>
            <w:tcW w:type="dxa" w:w="864"/>
          </w:tcPr>
          <w:p>
            <w:r>
              <w:rPr>
                <w:rFonts w:ascii="Arial" w:hAnsi="Arial"/>
                <w:sz w:val="18"/>
              </w:rPr>
              <w:t>0.082</w:t>
            </w:r>
          </w:p>
        </w:tc>
        <w:tc>
          <w:tcPr>
            <w:tcW w:type="dxa" w:w="864"/>
          </w:tcPr>
          <w:p>
            <w:r>
              <w:rPr>
                <w:rFonts w:ascii="Arial" w:hAnsi="Arial"/>
                <w:sz w:val="18"/>
              </w:rPr>
              <w:t>10.300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25430" w:name="table_s6"/>
      <w:r>
        <w:rPr>
          <w:rFonts w:ascii="Arial" w:hAnsi="Arial"/>
          <w:b/>
          <w:color w:val="1F3A5F"/>
          <w:sz w:val="32"/>
        </w:rPr>
        <w:t>Table S6 — MDE / power</w:t>
      </w:r>
      <w:bookmarkEnd w:id="25430"/>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5.662</w:t>
            </w:r>
          </w:p>
        </w:tc>
        <w:tc>
          <w:tcPr>
            <w:tcW w:type="dxa" w:w="1080"/>
          </w:tcPr>
          <w:p>
            <w:r>
              <w:rPr>
                <w:rFonts w:ascii="Arial" w:hAnsi="Arial"/>
                <w:sz w:val="18"/>
              </w:rPr>
              <w:t>0.764</w:t>
            </w:r>
          </w:p>
        </w:tc>
        <w:tc>
          <w:tcPr>
            <w:tcW w:type="dxa" w:w="1080"/>
          </w:tcPr>
          <w:p>
            <w:r>
              <w:rPr>
                <w:rFonts w:ascii="Arial" w:hAnsi="Arial"/>
                <w:sz w:val="18"/>
              </w:rPr>
              <w:t>2.491</w:t>
            </w:r>
          </w:p>
        </w:tc>
        <w:tc>
          <w:tcPr>
            <w:tcW w:type="dxa" w:w="1080"/>
          </w:tcPr>
          <w:p>
            <w:r>
              <w:rPr>
                <w:rFonts w:ascii="Arial" w:hAnsi="Arial"/>
                <w:sz w:val="18"/>
              </w:rPr>
              <w:t>2.132</w:t>
            </w:r>
          </w:p>
        </w:tc>
        <w:tc>
          <w:tcPr>
            <w:tcW w:type="dxa" w:w="1080"/>
          </w:tcPr>
          <w:p>
            <w:r>
              <w:rPr>
                <w:rFonts w:ascii="Arial" w:hAnsi="Arial"/>
                <w:sz w:val="18"/>
              </w:rPr>
              <w:t>2.27</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4.348</w:t>
            </w:r>
          </w:p>
        </w:tc>
        <w:tc>
          <w:tcPr>
            <w:tcW w:type="dxa" w:w="1080"/>
          </w:tcPr>
          <w:p>
            <w:r>
              <w:rPr>
                <w:rFonts w:ascii="Arial" w:hAnsi="Arial"/>
                <w:sz w:val="18"/>
              </w:rPr>
              <w:t>0.318</w:t>
            </w:r>
          </w:p>
        </w:tc>
        <w:tc>
          <w:tcPr>
            <w:tcW w:type="dxa" w:w="1080"/>
          </w:tcPr>
          <w:p>
            <w:r>
              <w:rPr>
                <w:rFonts w:ascii="Arial" w:hAnsi="Arial"/>
                <w:sz w:val="18"/>
              </w:rPr>
              <w:t>1.037</w:t>
            </w:r>
          </w:p>
        </w:tc>
        <w:tc>
          <w:tcPr>
            <w:tcW w:type="dxa" w:w="1080"/>
          </w:tcPr>
          <w:p>
            <w:r>
              <w:rPr>
                <w:rFonts w:ascii="Arial" w:hAnsi="Arial"/>
                <w:sz w:val="18"/>
              </w:rPr>
              <w:t>0.887</w:t>
            </w:r>
          </w:p>
        </w:tc>
        <w:tc>
          <w:tcPr>
            <w:tcW w:type="dxa" w:w="1080"/>
          </w:tcPr>
          <w:p>
            <w:r>
              <w:rPr>
                <w:rFonts w:ascii="Arial" w:hAnsi="Arial"/>
                <w:sz w:val="18"/>
              </w:rPr>
              <w:t>4.19</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1.884</w:t>
            </w:r>
          </w:p>
        </w:tc>
        <w:tc>
          <w:tcPr>
            <w:tcW w:type="dxa" w:w="1080"/>
          </w:tcPr>
          <w:p>
            <w:r>
              <w:rPr>
                <w:rFonts w:ascii="Arial" w:hAnsi="Arial"/>
                <w:sz w:val="18"/>
              </w:rPr>
              <w:t>0.506</w:t>
            </w:r>
          </w:p>
        </w:tc>
        <w:tc>
          <w:tcPr>
            <w:tcW w:type="dxa" w:w="1080"/>
          </w:tcPr>
          <w:p>
            <w:r>
              <w:rPr>
                <w:rFonts w:ascii="Arial" w:hAnsi="Arial"/>
                <w:sz w:val="18"/>
              </w:rPr>
              <w:t>1.650</w:t>
            </w:r>
          </w:p>
        </w:tc>
        <w:tc>
          <w:tcPr>
            <w:tcW w:type="dxa" w:w="1080"/>
          </w:tcPr>
          <w:p>
            <w:r>
              <w:rPr>
                <w:rFonts w:ascii="Arial" w:hAnsi="Arial"/>
                <w:sz w:val="18"/>
              </w:rPr>
              <w:t>1.412</w:t>
            </w:r>
          </w:p>
        </w:tc>
        <w:tc>
          <w:tcPr>
            <w:tcW w:type="dxa" w:w="1080"/>
          </w:tcPr>
          <w:p>
            <w:r>
              <w:rPr>
                <w:rFonts w:ascii="Arial" w:hAnsi="Arial"/>
                <w:sz w:val="18"/>
              </w:rPr>
              <w:t>1.14</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1.962</w:t>
            </w:r>
          </w:p>
        </w:tc>
        <w:tc>
          <w:tcPr>
            <w:tcW w:type="dxa" w:w="1080"/>
          </w:tcPr>
          <w:p>
            <w:r>
              <w:rPr>
                <w:rFonts w:ascii="Arial" w:hAnsi="Arial"/>
                <w:sz w:val="18"/>
              </w:rPr>
              <w:t>0.564</w:t>
            </w:r>
          </w:p>
        </w:tc>
        <w:tc>
          <w:tcPr>
            <w:tcW w:type="dxa" w:w="1080"/>
          </w:tcPr>
          <w:p>
            <w:r>
              <w:rPr>
                <w:rFonts w:ascii="Arial" w:hAnsi="Arial"/>
                <w:sz w:val="18"/>
              </w:rPr>
              <w:t>1.839</w:t>
            </w:r>
          </w:p>
        </w:tc>
        <w:tc>
          <w:tcPr>
            <w:tcW w:type="dxa" w:w="1080"/>
          </w:tcPr>
          <w:p>
            <w:r>
              <w:rPr>
                <w:rFonts w:ascii="Arial" w:hAnsi="Arial"/>
                <w:sz w:val="18"/>
              </w:rPr>
              <w:t>1.574</w:t>
            </w:r>
          </w:p>
        </w:tc>
        <w:tc>
          <w:tcPr>
            <w:tcW w:type="dxa" w:w="1080"/>
          </w:tcPr>
          <w:p>
            <w:r>
              <w:rPr>
                <w:rFonts w:ascii="Arial" w:hAnsi="Arial"/>
                <w:sz w:val="18"/>
              </w:rPr>
              <w:t>1.07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2.102</w:t>
            </w:r>
          </w:p>
        </w:tc>
        <w:tc>
          <w:tcPr>
            <w:tcW w:type="dxa" w:w="1080"/>
          </w:tcPr>
          <w:p>
            <w:r>
              <w:rPr>
                <w:rFonts w:ascii="Arial" w:hAnsi="Arial"/>
                <w:sz w:val="18"/>
              </w:rPr>
              <w:t>0.470</w:t>
            </w:r>
          </w:p>
        </w:tc>
        <w:tc>
          <w:tcPr>
            <w:tcW w:type="dxa" w:w="1080"/>
          </w:tcPr>
          <w:p>
            <w:r>
              <w:rPr>
                <w:rFonts w:ascii="Arial" w:hAnsi="Arial"/>
                <w:sz w:val="18"/>
              </w:rPr>
              <w:t>1.533</w:t>
            </w:r>
          </w:p>
        </w:tc>
        <w:tc>
          <w:tcPr>
            <w:tcW w:type="dxa" w:w="1080"/>
          </w:tcPr>
          <w:p>
            <w:r>
              <w:rPr>
                <w:rFonts w:ascii="Arial" w:hAnsi="Arial"/>
                <w:sz w:val="18"/>
              </w:rPr>
              <w:t>1.312</w:t>
            </w:r>
          </w:p>
        </w:tc>
        <w:tc>
          <w:tcPr>
            <w:tcW w:type="dxa" w:w="1080"/>
          </w:tcPr>
          <w:p>
            <w:r>
              <w:rPr>
                <w:rFonts w:ascii="Arial" w:hAnsi="Arial"/>
                <w:sz w:val="18"/>
              </w:rPr>
              <w:t>1.37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0.560</w:t>
            </w:r>
          </w:p>
        </w:tc>
        <w:tc>
          <w:tcPr>
            <w:tcW w:type="dxa" w:w="1080"/>
          </w:tcPr>
          <w:p>
            <w:r>
              <w:rPr>
                <w:rFonts w:ascii="Arial" w:hAnsi="Arial"/>
                <w:sz w:val="18"/>
              </w:rPr>
              <w:t>0.402</w:t>
            </w:r>
          </w:p>
        </w:tc>
        <w:tc>
          <w:tcPr>
            <w:tcW w:type="dxa" w:w="1080"/>
          </w:tcPr>
          <w:p>
            <w:r>
              <w:rPr>
                <w:rFonts w:ascii="Arial" w:hAnsi="Arial"/>
                <w:sz w:val="18"/>
              </w:rPr>
              <w:t>1.311</w:t>
            </w:r>
          </w:p>
        </w:tc>
        <w:tc>
          <w:tcPr>
            <w:tcW w:type="dxa" w:w="1080"/>
          </w:tcPr>
          <w:p>
            <w:r>
              <w:rPr>
                <w:rFonts w:ascii="Arial" w:hAnsi="Arial"/>
                <w:sz w:val="18"/>
              </w:rPr>
              <w:t>1.122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59492" w:name="table_s7"/>
      <w:r>
        <w:rPr>
          <w:rFonts w:ascii="Arial" w:hAnsi="Arial"/>
          <w:b/>
          <w:color w:val="1F3A5F"/>
          <w:sz w:val="32"/>
        </w:rPr>
        <w:t>Table S7 — Placebo / falsification</w:t>
      </w:r>
      <w:bookmarkEnd w:id="59492"/>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+15.22</w:t>
            </w:r>
          </w:p>
        </w:tc>
        <w:tc>
          <w:tcPr>
            <w:tcW w:type="dxa" w:w="864"/>
          </w:tcPr>
          <w:p>
            <w:r>
              <w:rPr>
                <w:rFonts w:ascii="Arial" w:hAnsi="Arial"/>
                <w:sz w:val="18"/>
              </w:rPr>
              <w:t>-1.15</w:t>
            </w:r>
          </w:p>
        </w:tc>
        <w:tc>
          <w:tcPr>
            <w:tcW w:type="dxa" w:w="864"/>
          </w:tcPr>
          <w:p>
            <w:r>
              <w:rPr>
                <w:rFonts w:ascii="Arial" w:hAnsi="Arial"/>
                <w:sz w:val="18"/>
              </w:rPr>
              <w:t>-32.50</w:t>
            </w:r>
          </w:p>
        </w:tc>
        <w:tc>
          <w:tcPr>
            <w:tcW w:type="dxa" w:w="864"/>
          </w:tcPr>
          <w:p>
            <w:r>
              <w:rPr>
                <w:rFonts w:ascii="Arial" w:hAnsi="Arial"/>
                <w:sz w:val="18"/>
              </w:rPr>
              <w:t>+28.75</w:t>
            </w:r>
          </w:p>
        </w:tc>
        <w:tc>
          <w:tcPr>
            <w:tcW w:type="dxa" w:w="864"/>
          </w:tcPr>
          <w:p>
            <w:r>
              <w:rPr>
                <w:rFonts w:ascii="Arial" w:hAnsi="Arial"/>
                <w:sz w:val="18"/>
              </w:rPr>
              <w:t>+43.48</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-3.62</w:t>
            </w:r>
          </w:p>
        </w:tc>
        <w:tc>
          <w:tcPr>
            <w:tcW w:type="dxa" w:w="864"/>
          </w:tcPr>
          <w:p>
            <w:r>
              <w:rPr>
                <w:rFonts w:ascii="Arial" w:hAnsi="Arial"/>
                <w:sz w:val="18"/>
              </w:rPr>
              <w:t>-0.30</w:t>
            </w:r>
          </w:p>
        </w:tc>
        <w:tc>
          <w:tcPr>
            <w:tcW w:type="dxa" w:w="864"/>
          </w:tcPr>
          <w:p>
            <w:r>
              <w:rPr>
                <w:rFonts w:ascii="Arial" w:hAnsi="Arial"/>
                <w:sz w:val="18"/>
              </w:rPr>
              <w:t>-4.80</w:t>
            </w:r>
          </w:p>
        </w:tc>
        <w:tc>
          <w:tcPr>
            <w:tcW w:type="dxa" w:w="864"/>
          </w:tcPr>
          <w:p>
            <w:r>
              <w:rPr>
                <w:rFonts w:ascii="Arial" w:hAnsi="Arial"/>
                <w:sz w:val="18"/>
              </w:rPr>
              <w:t>+4.61</w:t>
            </w:r>
          </w:p>
        </w:tc>
        <w:tc>
          <w:tcPr>
            <w:tcW w:type="dxa" w:w="864"/>
          </w:tcPr>
          <w:p>
            <w:r>
              <w:rPr>
                <w:rFonts w:ascii="Arial" w:hAnsi="Arial"/>
                <w:sz w:val="18"/>
              </w:rPr>
              <w:t>+6.15</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16771" w:name="table_s8"/>
      <w:r>
        <w:rPr>
          <w:rFonts w:ascii="Arial" w:hAnsi="Arial"/>
          <w:b/>
          <w:color w:val="1F3A5F"/>
          <w:sz w:val="32"/>
        </w:rPr>
        <w:t>Table S8 — Pre-Kharif cyclone climatology</w:t>
      </w:r>
      <w:bookmarkEnd w:id="16771"/>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47451" w:name="table_s9"/>
      <w:r>
        <w:rPr>
          <w:rFonts w:ascii="Arial" w:hAnsi="Arial"/>
          <w:b/>
          <w:color w:val="1F3A5F"/>
          <w:sz w:val="32"/>
        </w:rPr>
        <w:t>Table S9 — Canonical S1 dual-pol features</w:t>
      </w:r>
      <w:bookmarkEnd w:id="47451"/>
    </w:p>
    <w:p>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r>
              <w:rPr>
                <w:rFonts w:ascii="Arial" w:hAnsi="Arial"/>
                <w:b/>
                <w:sz w:val="16"/>
              </w:rPr>
              <w:t>Mechanism</w:t>
            </w:r>
          </w:p>
        </w:tc>
        <w:tc>
          <w:tcPr>
            <w:tcW w:type="dxa" w:w="1002"/>
          </w:tcPr>
          <w:p>
            <w:r>
              <w:rPr>
                <w:rFonts w:ascii="Arial" w:hAnsi="Arial"/>
                <w:b/>
                <w:sz w:val="16"/>
              </w:rPr>
              <w:t>Onset DOY</w:t>
            </w:r>
          </w:p>
        </w:tc>
        <w:tc>
          <w:tcPr>
            <w:tcW w:type="dxa" w:w="1002"/>
          </w:tcPr>
          <w:p>
            <w:r>
              <w:rPr>
                <w:rFonts w:ascii="Arial" w:hAnsi="Arial"/>
                <w:b/>
                <w:sz w:val="16"/>
              </w:rPr>
              <w:t>Onset rate (d)</w:t>
            </w:r>
          </w:p>
        </w:tc>
        <w:tc>
          <w:tcPr>
            <w:tcW w:type="dxa" w:w="1002"/>
          </w:tcPr>
          <w:p>
            <w:r>
              <w:rPr>
                <w:rFonts w:ascii="Arial" w:hAnsi="Arial"/>
                <w:b/>
                <w:sz w:val="16"/>
              </w:rPr>
              <w:t>VH base (dB)</w:t>
            </w:r>
          </w:p>
        </w:tc>
        <w:tc>
          <w:tcPr>
            <w:tcW w:type="dxa" w:w="1002"/>
          </w:tcPr>
          <w:p>
            <w:r>
              <w:rPr>
                <w:rFonts w:ascii="Arial" w:hAnsi="Arial"/>
                <w:b/>
                <w:sz w:val="16"/>
              </w:rPr>
              <w:t>VH min (dB)</w:t>
            </w:r>
          </w:p>
        </w:tc>
        <w:tc>
          <w:tcPr>
            <w:tcW w:type="dxa" w:w="1002"/>
          </w:tcPr>
          <w:p>
            <w:r>
              <w:rPr>
                <w:rFonts w:ascii="Arial" w:hAnsi="Arial"/>
                <w:b/>
                <w:sz w:val="16"/>
              </w:rPr>
              <w:t>ΔVH (dB)</w:t>
            </w:r>
          </w:p>
        </w:tc>
        <w:tc>
          <w:tcPr>
            <w:tcW w:type="dxa" w:w="1002"/>
          </w:tcPr>
          <w:p>
            <w:r>
              <w:rPr>
                <w:rFonts w:ascii="Arial" w:hAnsi="Arial"/>
                <w:b/>
                <w:sz w:val="16"/>
              </w:rPr>
              <w:t>VV base (dB)</w:t>
            </w:r>
          </w:p>
        </w:tc>
        <w:tc>
          <w:tcPr>
            <w:tcW w:type="dxa" w:w="1002"/>
          </w:tcPr>
          <w:p>
            <w:r>
              <w:rPr>
                <w:rFonts w:ascii="Arial" w:hAnsi="Arial"/>
                <w:b/>
                <w:sz w:val="16"/>
              </w:rPr>
              <w:t>VV min (dB)</w:t>
            </w:r>
          </w:p>
        </w:tc>
        <w:tc>
          <w:tcPr>
            <w:tcW w:type="dxa" w:w="1002"/>
          </w:tcPr>
          <w:p>
            <w:r>
              <w:rPr>
                <w:rFonts w:ascii="Arial" w:hAnsi="Arial"/>
                <w:b/>
                <w:sz w:val="16"/>
              </w:rPr>
              <w:t>ΔVV (dB)</w:t>
            </w:r>
          </w:p>
        </w:tc>
        <w:tc>
          <w:tcPr>
            <w:tcW w:type="dxa" w:w="1002"/>
          </w:tcPr>
          <w:p>
            <w:r>
              <w:rPr>
                <w:rFonts w:ascii="Arial" w:hAnsi="Arial"/>
                <w:b/>
                <w:sz w:val="16"/>
              </w:rPr>
              <w:t>CR base (dB)</w:t>
            </w:r>
          </w:p>
        </w:tc>
        <w:tc>
          <w:tcPr>
            <w:tcW w:type="dxa" w:w="1002"/>
          </w:tcPr>
          <w:p>
            <w:r>
              <w:rPr>
                <w:rFonts w:ascii="Arial" w:hAnsi="Arial"/>
                <w:b/>
                <w:sz w:val="16"/>
              </w:rPr>
              <w:t>CR min (dB)</w:t>
            </w:r>
          </w:p>
        </w:tc>
        <w:tc>
          <w:tcPr>
            <w:tcW w:type="dxa" w:w="1002"/>
          </w:tcPr>
          <w:p>
            <w:r>
              <w:rPr>
                <w:rFonts w:ascii="Arial" w:hAnsi="Arial"/>
                <w:b/>
                <w:sz w:val="16"/>
              </w:rPr>
              <w:t>ΔCR (dB)</w:t>
            </w:r>
          </w:p>
        </w:tc>
        <w:tc>
          <w:tcPr>
            <w:tcW w:type="dxa" w:w="1002"/>
          </w:tcPr>
          <w:p>
            <w:r>
              <w:rPr>
                <w:rFonts w:ascii="Arial" w:hAnsi="Arial"/>
                <w:b/>
                <w:sz w:val="16"/>
              </w:rPr>
              <w:t>VH recov. (d)</w:t>
            </w:r>
          </w:p>
        </w:tc>
        <w:tc>
          <w:tcPr>
            <w:tcW w:type="dxa" w:w="1002"/>
          </w:tcPr>
          <w:p>
            <w:r>
              <w:rPr>
                <w:rFonts w:ascii="Arial" w:hAnsi="Arial"/>
                <w:b/>
                <w:sz w:val="16"/>
              </w:rPr>
              <w:t>VV recov. (d)</w:t>
            </w:r>
          </w:p>
        </w:tc>
        <w:tc>
          <w:tcPr>
            <w:tcW w:type="dxa" w:w="1002"/>
          </w:tcPr>
          <w:p>
            <w:r>
              <w:rPr>
                <w:rFonts w:ascii="Arial" w:hAnsi="Arial"/>
                <w:b/>
                <w:sz w:val="16"/>
              </w:rPr>
              <w:t>CR recov. (d)</w:t>
            </w:r>
          </w:p>
        </w:tc>
      </w:tr>
      <w:tr>
        <w:tc>
          <w:tcPr>
            <w:tcW w:type="dxa" w:w="1002"/>
          </w:tcPr>
          <w:p>
            <w:r>
              <w:rPr>
                <w:rFonts w:ascii="Arial" w:hAnsi="Arial"/>
                <w:sz w:val="16"/>
              </w:rPr>
              <w:t>Transplanting flood (agronomic)</w:t>
            </w:r>
          </w:p>
        </w:tc>
        <w:tc>
          <w:tcPr>
            <w:tcW w:type="dxa" w:w="1002"/>
          </w:tcPr>
          <w:p>
            <w:r>
              <w:rPr>
                <w:rFonts w:ascii="Arial" w:hAnsi="Arial"/>
                <w:sz w:val="16"/>
              </w:rPr>
              <w:t>188</w:t>
            </w:r>
          </w:p>
        </w:tc>
        <w:tc>
          <w:tcPr>
            <w:tcW w:type="dxa" w:w="1002"/>
          </w:tcPr>
          <w:p>
            <w:r>
              <w:rPr>
                <w:rFonts w:ascii="Arial" w:hAnsi="Arial"/>
                <w:sz w:val="16"/>
              </w:rPr>
              <w:t>12</w:t>
            </w:r>
          </w:p>
        </w:tc>
        <w:tc>
          <w:tcPr>
            <w:tcW w:type="dxa" w:w="1002"/>
          </w:tcPr>
          <w:p>
            <w:r>
              <w:rPr>
                <w:rFonts w:ascii="Arial" w:hAnsi="Arial"/>
                <w:sz w:val="16"/>
              </w:rPr>
              <w:t>-14.0</w:t>
            </w:r>
          </w:p>
        </w:tc>
        <w:tc>
          <w:tcPr>
            <w:tcW w:type="dxa" w:w="1002"/>
          </w:tcPr>
          <w:p>
            <w:r>
              <w:rPr>
                <w:rFonts w:ascii="Arial" w:hAnsi="Arial"/>
                <w:sz w:val="16"/>
              </w:rPr>
              <w:t>-20.5</w:t>
            </w:r>
          </w:p>
        </w:tc>
        <w:tc>
          <w:tcPr>
            <w:tcW w:type="dxa" w:w="1002"/>
          </w:tcPr>
          <w:p>
            <w:r>
              <w:rPr>
                <w:rFonts w:ascii="Arial" w:hAnsi="Arial"/>
                <w:sz w:val="16"/>
              </w:rPr>
              <w:t>-6.5</w:t>
            </w:r>
          </w:p>
        </w:tc>
        <w:tc>
          <w:tcPr>
            <w:tcW w:type="dxa" w:w="1002"/>
          </w:tcPr>
          <w:p>
            <w:r>
              <w:rPr>
                <w:rFonts w:ascii="Arial" w:hAnsi="Arial"/>
                <w:sz w:val="16"/>
              </w:rPr>
              <w:t>-9.0</w:t>
            </w:r>
          </w:p>
        </w:tc>
        <w:tc>
          <w:tcPr>
            <w:tcW w:type="dxa" w:w="1002"/>
          </w:tcPr>
          <w:p>
            <w:r>
              <w:rPr>
                <w:rFonts w:ascii="Arial" w:hAnsi="Arial"/>
                <w:sz w:val="16"/>
              </w:rPr>
              <w:t>-13.5</w:t>
            </w:r>
          </w:p>
        </w:tc>
        <w:tc>
          <w:tcPr>
            <w:tcW w:type="dxa" w:w="1002"/>
          </w:tcPr>
          <w:p>
            <w:r>
              <w:rPr>
                <w:rFonts w:ascii="Arial" w:hAnsi="Arial"/>
                <w:sz w:val="16"/>
              </w:rPr>
              <w:t>-4.5</w:t>
            </w:r>
          </w:p>
        </w:tc>
        <w:tc>
          <w:tcPr>
            <w:tcW w:type="dxa" w:w="1002"/>
          </w:tcPr>
          <w:p>
            <w:r>
              <w:rPr>
                <w:rFonts w:ascii="Arial" w:hAnsi="Arial"/>
                <w:sz w:val="16"/>
              </w:rPr>
              <w:t>-5.0</w:t>
            </w:r>
          </w:p>
        </w:tc>
        <w:tc>
          <w:tcPr>
            <w:tcW w:type="dxa" w:w="1002"/>
          </w:tcPr>
          <w:p>
            <w:r>
              <w:rPr>
                <w:rFonts w:ascii="Arial" w:hAnsi="Arial"/>
                <w:sz w:val="16"/>
              </w:rPr>
              <w:t>-7.0</w:t>
            </w:r>
          </w:p>
        </w:tc>
        <w:tc>
          <w:tcPr>
            <w:tcW w:type="dxa" w:w="1002"/>
          </w:tcPr>
          <w:p>
            <w:r>
              <w:rPr>
                <w:rFonts w:ascii="Arial" w:hAnsi="Arial"/>
                <w:sz w:val="16"/>
              </w:rPr>
              <w:t>-2.0</w:t>
            </w:r>
          </w:p>
        </w:tc>
        <w:tc>
          <w:tcPr>
            <w:tcW w:type="dxa" w:w="1002"/>
          </w:tcPr>
          <w:p>
            <w:r>
              <w:rPr>
                <w:rFonts w:ascii="Arial" w:hAnsi="Arial"/>
                <w:sz w:val="16"/>
              </w:rPr>
              <w:t>35</w:t>
            </w:r>
          </w:p>
        </w:tc>
        <w:tc>
          <w:tcPr>
            <w:tcW w:type="dxa" w:w="1002"/>
          </w:tcPr>
          <w:p>
            <w:r>
              <w:rPr>
                <w:rFonts w:ascii="Arial" w:hAnsi="Arial"/>
                <w:sz w:val="16"/>
              </w:rPr>
              <w:t>50</w:t>
            </w:r>
          </w:p>
        </w:tc>
        <w:tc>
          <w:tcPr>
            <w:tcW w:type="dxa" w:w="1002"/>
          </w:tcPr>
          <w:p>
            <w:r>
              <w:rPr>
                <w:rFonts w:ascii="Arial" w:hAnsi="Arial"/>
                <w:sz w:val="16"/>
              </w:rPr>
              <w:t>42</w:t>
            </w:r>
          </w:p>
        </w:tc>
      </w:tr>
      <w:tr>
        <w:tc>
          <w:tcPr>
            <w:tcW w:type="dxa" w:w="1002"/>
          </w:tcPr>
          <w:p>
            <w:r>
              <w:rPr>
                <w:rFonts w:ascii="Arial" w:hAnsi="Arial"/>
                <w:sz w:val="16"/>
              </w:rPr>
              <w:t>Saline storm-surge (cyclonic)</w:t>
            </w:r>
          </w:p>
        </w:tc>
        <w:tc>
          <w:tcPr>
            <w:tcW w:type="dxa" w:w="1002"/>
          </w:tcPr>
          <w:p>
            <w:r>
              <w:rPr>
                <w:rFonts w:ascii="Arial" w:hAnsi="Arial"/>
                <w:sz w:val="16"/>
              </w:rPr>
              <w:t>123</w:t>
            </w:r>
          </w:p>
        </w:tc>
        <w:tc>
          <w:tcPr>
            <w:tcW w:type="dxa" w:w="1002"/>
          </w:tcPr>
          <w:p>
            <w:r>
              <w:rPr>
                <w:rFonts w:ascii="Arial" w:hAnsi="Arial"/>
                <w:sz w:val="16"/>
              </w:rPr>
              <w:t>1</w:t>
            </w:r>
          </w:p>
        </w:tc>
        <w:tc>
          <w:tcPr>
            <w:tcW w:type="dxa" w:w="1002"/>
          </w:tcPr>
          <w:p>
            <w:r>
              <w:rPr>
                <w:rFonts w:ascii="Arial" w:hAnsi="Arial"/>
                <w:sz w:val="16"/>
              </w:rPr>
              <w:t>-12.0</w:t>
            </w:r>
          </w:p>
        </w:tc>
        <w:tc>
          <w:tcPr>
            <w:tcW w:type="dxa" w:w="1002"/>
          </w:tcPr>
          <w:p>
            <w:r>
              <w:rPr>
                <w:rFonts w:ascii="Arial" w:hAnsi="Arial"/>
                <w:sz w:val="16"/>
              </w:rPr>
              <w:t>-22.5</w:t>
            </w:r>
          </w:p>
        </w:tc>
        <w:tc>
          <w:tcPr>
            <w:tcW w:type="dxa" w:w="1002"/>
          </w:tcPr>
          <w:p>
            <w:r>
              <w:rPr>
                <w:rFonts w:ascii="Arial" w:hAnsi="Arial"/>
                <w:sz w:val="16"/>
              </w:rPr>
              <w:t>-10.5</w:t>
            </w:r>
          </w:p>
        </w:tc>
        <w:tc>
          <w:tcPr>
            <w:tcW w:type="dxa" w:w="1002"/>
          </w:tcPr>
          <w:p>
            <w:r>
              <w:rPr>
                <w:rFonts w:ascii="Arial" w:hAnsi="Arial"/>
                <w:sz w:val="16"/>
              </w:rPr>
              <w:t>-8.5</w:t>
            </w:r>
          </w:p>
        </w:tc>
        <w:tc>
          <w:tcPr>
            <w:tcW w:type="dxa" w:w="1002"/>
          </w:tcPr>
          <w:p>
            <w:r>
              <w:rPr>
                <w:rFonts w:ascii="Arial" w:hAnsi="Arial"/>
                <w:sz w:val="16"/>
              </w:rPr>
              <w:t>-15.0</w:t>
            </w:r>
          </w:p>
        </w:tc>
        <w:tc>
          <w:tcPr>
            <w:tcW w:type="dxa" w:w="1002"/>
          </w:tcPr>
          <w:p>
            <w:r>
              <w:rPr>
                <w:rFonts w:ascii="Arial" w:hAnsi="Arial"/>
                <w:sz w:val="16"/>
              </w:rPr>
              <w:t>-6.5</w:t>
            </w:r>
          </w:p>
        </w:tc>
        <w:tc>
          <w:tcPr>
            <w:tcW w:type="dxa" w:w="1002"/>
          </w:tcPr>
          <w:p>
            <w:r>
              <w:rPr>
                <w:rFonts w:ascii="Arial" w:hAnsi="Arial"/>
                <w:sz w:val="16"/>
              </w:rPr>
              <w:t>-3.5</w:t>
            </w:r>
          </w:p>
        </w:tc>
        <w:tc>
          <w:tcPr>
            <w:tcW w:type="dxa" w:w="1002"/>
          </w:tcPr>
          <w:p>
            <w:r>
              <w:rPr>
                <w:rFonts w:ascii="Arial" w:hAnsi="Arial"/>
                <w:sz w:val="16"/>
              </w:rPr>
              <w:t>-7.5</w:t>
            </w:r>
          </w:p>
        </w:tc>
        <w:tc>
          <w:tcPr>
            <w:tcW w:type="dxa" w:w="1002"/>
          </w:tcPr>
          <w:p>
            <w:r>
              <w:rPr>
                <w:rFonts w:ascii="Arial" w:hAnsi="Arial"/>
                <w:sz w:val="16"/>
              </w:rPr>
              <w:t>-4.0</w:t>
            </w:r>
          </w:p>
        </w:tc>
        <w:tc>
          <w:tcPr>
            <w:tcW w:type="dxa" w:w="1002"/>
          </w:tcPr>
          <w:p>
            <w:r>
              <w:rPr>
                <w:rFonts w:ascii="Arial" w:hAnsi="Arial"/>
                <w:sz w:val="16"/>
              </w:rPr>
              <w:t>21</w:t>
            </w:r>
          </w:p>
        </w:tc>
        <w:tc>
          <w:tcPr>
            <w:tcW w:type="dxa" w:w="1002"/>
          </w:tcPr>
          <w:p>
            <w:r>
              <w:rPr>
                <w:rFonts w:ascii="Arial" w:hAnsi="Arial"/>
                <w:sz w:val="16"/>
              </w:rPr>
              <w:t>28</w:t>
            </w:r>
          </w:p>
        </w:tc>
        <w:tc>
          <w:tcPr>
            <w:tcW w:type="dxa" w:w="1002"/>
          </w:tcPr>
          <w:p>
            <w:r>
              <w:rPr>
                <w:rFonts w:ascii="Arial" w:hAnsi="Arial"/>
                <w:sz w:val="16"/>
              </w:rPr>
              <w:t>24</w:t>
            </w:r>
          </w:p>
        </w:tc>
      </w:tr>
      <w:tr>
        <w:tc>
          <w:tcPr>
            <w:tcW w:type="dxa" w:w="1002"/>
          </w:tcPr>
          <w:p>
            <w:r>
              <w:rPr>
                <w:rFonts w:ascii="Arial" w:hAnsi="Arial"/>
                <w:sz w:val="16"/>
              </w:rPr>
              <w:t>Freshwater rainfall (Bulbul-class)</w:t>
            </w:r>
          </w:p>
        </w:tc>
        <w:tc>
          <w:tcPr>
            <w:tcW w:type="dxa" w:w="1002"/>
          </w:tcPr>
          <w:p>
            <w:r>
              <w:rPr>
                <w:rFonts w:ascii="Arial" w:hAnsi="Arial"/>
                <w:sz w:val="16"/>
              </w:rPr>
              <w:t>313</w:t>
            </w:r>
          </w:p>
        </w:tc>
        <w:tc>
          <w:tcPr>
            <w:tcW w:type="dxa" w:w="1002"/>
          </w:tcPr>
          <w:p>
            <w:r>
              <w:rPr>
                <w:rFonts w:ascii="Arial" w:hAnsi="Arial"/>
                <w:sz w:val="16"/>
              </w:rPr>
              <w:t>2</w:t>
            </w:r>
          </w:p>
        </w:tc>
        <w:tc>
          <w:tcPr>
            <w:tcW w:type="dxa" w:w="1002"/>
          </w:tcPr>
          <w:p>
            <w:r>
              <w:rPr>
                <w:rFonts w:ascii="Arial" w:hAnsi="Arial"/>
                <w:sz w:val="16"/>
              </w:rPr>
              <w:t>-13.5</w:t>
            </w:r>
          </w:p>
        </w:tc>
        <w:tc>
          <w:tcPr>
            <w:tcW w:type="dxa" w:w="1002"/>
          </w:tcPr>
          <w:p>
            <w:r>
              <w:rPr>
                <w:rFonts w:ascii="Arial" w:hAnsi="Arial"/>
                <w:sz w:val="16"/>
              </w:rPr>
              <w:t>-16.5</w:t>
            </w:r>
          </w:p>
        </w:tc>
        <w:tc>
          <w:tcPr>
            <w:tcW w:type="dxa" w:w="1002"/>
          </w:tcPr>
          <w:p>
            <w:r>
              <w:rPr>
                <w:rFonts w:ascii="Arial" w:hAnsi="Arial"/>
                <w:sz w:val="16"/>
              </w:rPr>
              <w:t>-3.0</w:t>
            </w:r>
          </w:p>
        </w:tc>
        <w:tc>
          <w:tcPr>
            <w:tcW w:type="dxa" w:w="1002"/>
          </w:tcPr>
          <w:p>
            <w:r>
              <w:rPr>
                <w:rFonts w:ascii="Arial" w:hAnsi="Arial"/>
                <w:sz w:val="16"/>
              </w:rPr>
              <w:t>-8.5</w:t>
            </w:r>
          </w:p>
        </w:tc>
        <w:tc>
          <w:tcPr>
            <w:tcW w:type="dxa" w:w="1002"/>
          </w:tcPr>
          <w:p>
            <w:r>
              <w:rPr>
                <w:rFonts w:ascii="Arial" w:hAnsi="Arial"/>
                <w:sz w:val="16"/>
              </w:rPr>
              <w:t>-10.0</w:t>
            </w:r>
          </w:p>
        </w:tc>
        <w:tc>
          <w:tcPr>
            <w:tcW w:type="dxa" w:w="1002"/>
          </w:tcPr>
          <w:p>
            <w:r>
              <w:rPr>
                <w:rFonts w:ascii="Arial" w:hAnsi="Arial"/>
                <w:sz w:val="16"/>
              </w:rPr>
              <w:t>-1.5</w:t>
            </w:r>
          </w:p>
        </w:tc>
        <w:tc>
          <w:tcPr>
            <w:tcW w:type="dxa" w:w="1002"/>
          </w:tcPr>
          <w:p>
            <w:r>
              <w:rPr>
                <w:rFonts w:ascii="Arial" w:hAnsi="Arial"/>
                <w:sz w:val="16"/>
              </w:rPr>
              <w:t>-5.0</w:t>
            </w:r>
          </w:p>
        </w:tc>
        <w:tc>
          <w:tcPr>
            <w:tcW w:type="dxa" w:w="1002"/>
          </w:tcPr>
          <w:p>
            <w:r>
              <w:rPr>
                <w:rFonts w:ascii="Arial" w:hAnsi="Arial"/>
                <w:sz w:val="16"/>
              </w:rPr>
              <w:t>-6.5</w:t>
            </w:r>
          </w:p>
        </w:tc>
        <w:tc>
          <w:tcPr>
            <w:tcW w:type="dxa" w:w="1002"/>
          </w:tcPr>
          <w:p>
            <w:r>
              <w:rPr>
                <w:rFonts w:ascii="Arial" w:hAnsi="Arial"/>
                <w:sz w:val="16"/>
              </w:rPr>
              <w:t>-1.5</w:t>
            </w:r>
          </w:p>
        </w:tc>
        <w:tc>
          <w:tcPr>
            <w:tcW w:type="dxa" w:w="1002"/>
          </w:tcPr>
          <w:p>
            <w:r>
              <w:rPr>
                <w:rFonts w:ascii="Arial" w:hAnsi="Arial"/>
                <w:sz w:val="16"/>
              </w:rPr>
              <w:t>10</w:t>
            </w:r>
          </w:p>
        </w:tc>
        <w:tc>
          <w:tcPr>
            <w:tcW w:type="dxa" w:w="1002"/>
          </w:tcPr>
          <w:p>
            <w:r>
              <w:rPr>
                <w:rFonts w:ascii="Arial" w:hAnsi="Arial"/>
                <w:sz w:val="16"/>
              </w:rPr>
              <w:t>8</w:t>
            </w:r>
          </w:p>
        </w:tc>
        <w:tc>
          <w:tcPr>
            <w:tcW w:type="dxa" w:w="1002"/>
          </w:tcPr>
          <w:p>
            <w:r>
              <w:rPr>
                <w:rFonts w:ascii="Arial" w:hAnsi="Arial"/>
                <w:sz w:val="16"/>
              </w:rPr>
              <w:t>9</w:t>
            </w:r>
          </w:p>
        </w:tc>
      </w:tr>
    </w:tbl>
    <w:p>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r>
        <w:rPr>
          <w:rFonts w:ascii="Arial" w:hAnsi="Arial"/>
          <w:sz w:val="20"/>
        </w:rPr>
        <w:br w:type="page"/>
      </w:r>
    </w:p>
    <w:p>
      <w:pPr>
        <w:keepNext/>
        <w:spacing w:before="240" w:after="120"/>
      </w:pPr>
      <w:bookmarkStart w:id="59493" w:name="figure_s1"/>
      <w:r>
        <w:rPr>
          <w:rFonts w:ascii="Arial" w:hAnsi="Arial"/>
          <w:b/>
          <w:color w:val="1F3A5F"/>
          <w:sz w:val="32"/>
        </w:rPr>
        <w:t>Figure S1 — Pre-Kharif cyclone climatology</w:t>
      </w:r>
      <w:bookmarkEnd w:id="59493"/>
    </w:p>
    <w:p>
      <w:pPr>
        <w:jc w:val="center"/>
      </w:pPr>
      <w:r>
        <w:rPr>
          <w:rFonts w:ascii="Arial" w:hAnsi="Arial"/>
          <w:sz w:val="20"/>
        </w:rPr>
        <w:drawing>
          <wp:inline xmlns:a="http://schemas.openxmlformats.org/drawingml/2006/main" xmlns:pic="http://schemas.openxmlformats.org/drawingml/2006/picture">
            <wp:extent cx="5943600" cy="2487453"/>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487453"/>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83204" w:name="figure_s2"/>
      <w:r>
        <w:rPr>
          <w:rFonts w:ascii="Arial" w:hAnsi="Arial"/>
          <w:b/>
          <w:color w:val="1F3A5F"/>
          <w:sz w:val="32"/>
        </w:rPr>
        <w:t>Figure S2 — Canonical Sentinel-1 backscatter signatures</w:t>
      </w:r>
      <w:bookmarkEnd w:id="83204"/>
    </w:p>
    <w:p>
      <w:pPr>
        <w:jc w:val="center"/>
      </w:pPr>
      <w:r>
        <w:rPr>
          <w:rFonts w:ascii="Arial" w:hAnsi="Arial"/>
          <w:sz w:val="20"/>
        </w:rPr>
        <w:drawing>
          <wp:inline xmlns:a="http://schemas.openxmlformats.org/drawingml/2006/main" xmlns:pic="http://schemas.openxmlformats.org/drawingml/2006/picture">
            <wp:extent cx="5943600" cy="5544868"/>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5544868"/>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