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26444" w:name="provenance"/>
      <w:r>
        <w:rPr>
          <w:rFonts w:ascii="Arial" w:hAnsi="Arial"/>
          <w:b/>
          <w:color w:val="A12C7B"/>
          <w:sz w:val="32"/>
        </w:rPr>
        <w:t>Data provenance declaration</w:t>
      </w:r>
      <w:bookmarkEnd w:id="26444"/>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pPr>
      <w:r>
        <w:rPr>
          <w:rFonts w:ascii="Arial" w:hAnsi="Arial"/>
          <w:sz w:val="20"/>
        </w:rPr>
        <w:t>Indicative Module 02 random-forest baseline numbers (Tables S10/S11 to be added) — pending direct retraining on Sentinel-1 labelled pixels.</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30271" w:name="toc"/>
      <w:r>
        <w:rPr>
          <w:rFonts w:ascii="Arial" w:hAnsi="Arial"/>
          <w:b/>
          <w:color w:val="141414"/>
          <w:sz w:val="32"/>
        </w:rPr>
        <w:t>Contents</w:t>
      </w:r>
      <w:bookmarkEnd w:id="30271"/>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jc w:val="righ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jc w:val="right"/>
            </w:pPr>
            <w:r>
              <w:rPr>
                <w:rFonts w:ascii="Arial" w:hAnsi="Arial"/>
                <w:sz w:val="18"/>
              </w:rPr>
              <w:t xml:space="preserve">Residual (d)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−0.12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−2.09</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−3.89</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−5.85</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Kandhamal</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+0.52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−1.44</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−1.06</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−3.02</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Mayurbhanj</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+1.58</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−0.39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+3.30</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+1.34</w:t>
            </w:r>
          </w:p>
        </w:tc>
        <w:tc>
          <w:tcPr/>
          <w:p>
            <w:pPr>
              <w:pStyle w:val="Compact"/>
              <w:jc w:val="center"/>
            </w:pPr>
            <w:r>
              <w:rPr>
                <w:rFonts w:ascii="Arial" w:hAnsi="Arial"/>
                <w:sz w:val="18"/>
              </w:rPr>
              <w:t xml:space="preserve">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58150" w:name="table_s1"/>
      <w:r>
        <w:rPr>
          <w:rFonts w:ascii="Arial" w:hAnsi="Arial"/>
          <w:b/>
          <w:color w:val="1F3A5F"/>
          <w:sz w:val="32"/>
        </w:rPr>
        <w:t>Table S1 — Static TWFE-DiD point estimates</w:t>
      </w:r>
      <w:bookmarkEnd w:id="58150"/>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62942" w:name="table_s2"/>
      <w:r>
        <w:rPr>
          <w:rFonts w:ascii="Arial" w:hAnsi="Arial"/>
          <w:b/>
          <w:color w:val="1F3A5F"/>
          <w:sz w:val="32"/>
        </w:rPr>
        <w:t>Table S2 — Pre-trend tests</w:t>
      </w:r>
      <w:bookmarkEnd w:id="62942"/>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6830" w:name="table_s3"/>
      <w:r>
        <w:rPr>
          <w:rFonts w:ascii="Arial" w:hAnsi="Arial"/>
          <w:b/>
          <w:color w:val="1F3A5F"/>
          <w:sz w:val="32"/>
        </w:rPr>
        <w:t>Table S3 — Bulbul transferability residuals</w:t>
      </w:r>
      <w:bookmarkEnd w:id="6830"/>
    </w:p>
    <w:p>
      <w:pPr>
        <w:jc w:val="left"/>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20"/>
              </w:rPr>
              <w:t>District</w:t>
            </w:r>
          </w:p>
        </w:tc>
        <w:tc>
          <w:tcPr>
            <w:tcW w:type="dxa" w:w="1728"/>
          </w:tcPr>
          <w:p>
            <w:r>
              <w:rPr>
                <w:rFonts w:ascii="Arial" w:hAnsi="Arial"/>
                <w:b/>
                <w:sz w:val="20"/>
              </w:rPr>
              <w:t>Predicted ΔSOS (d)</w:t>
            </w:r>
          </w:p>
        </w:tc>
        <w:tc>
          <w:tcPr>
            <w:tcW w:type="dxa" w:w="1728"/>
          </w:tcPr>
          <w:p>
            <w:r>
              <w:rPr>
                <w:rFonts w:ascii="Arial" w:hAnsi="Arial"/>
                <w:b/>
                <w:sz w:val="20"/>
              </w:rPr>
              <w:t>Observed ΔSOS (d)</w:t>
            </w:r>
          </w:p>
        </w:tc>
        <w:tc>
          <w:tcPr>
            <w:tcW w:type="dxa" w:w="1728"/>
          </w:tcPr>
          <w:p>
            <w:r>
              <w:rPr>
                <w:rFonts w:ascii="Arial" w:hAnsi="Arial"/>
                <w:b/>
                <w:sz w:val="20"/>
              </w:rPr>
              <w:t>Residual (d)</w:t>
            </w:r>
          </w:p>
        </w:tc>
        <w:tc>
          <w:tcPr>
            <w:tcW w:type="dxa" w:w="1728"/>
          </w:tcPr>
          <w:p>
            <w:r>
              <w:rPr>
                <w:rFonts w:ascii="Arial" w:hAnsi="Arial"/>
                <w:b/>
                <w:sz w:val="20"/>
              </w:rPr>
              <w:t>Inside 95% PI?</w:t>
            </w:r>
          </w:p>
        </w:tc>
      </w:tr>
      <w:tr>
        <w:tc>
          <w:tcPr>
            <w:tcW w:type="dxa" w:w="1728"/>
          </w:tcPr>
          <w:p>
            <w:r>
              <w:rPr>
                <w:rFonts w:ascii="Arial" w:hAnsi="Arial"/>
                <w:sz w:val="20"/>
              </w:rPr>
              <w:t>Baleshwar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Bhadrak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Kendrapara</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Jagatsinghpur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Puri</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Dhenkanal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Anugul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Cuttack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bl>
    <w:p/>
    <w:p>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r>
        <w:rPr>
          <w:rFonts w:ascii="Arial" w:hAnsi="Arial"/>
          <w:sz w:val="20"/>
        </w:rPr>
        <w:br w:type="page"/>
      </w:r>
    </w:p>
    <w:p>
      <w:pPr>
        <w:keepNext/>
        <w:spacing w:before="240" w:after="120"/>
      </w:pPr>
      <w:bookmarkStart w:id="44256" w:name="table_s4"/>
      <w:r>
        <w:rPr>
          <w:rFonts w:ascii="Arial" w:hAnsi="Arial"/>
          <w:b/>
          <w:color w:val="1F3A5F"/>
          <w:sz w:val="32"/>
        </w:rPr>
        <w:t>Table S4 — Wild-cluster bootstrap (G = 8)</w:t>
      </w:r>
      <w:bookmarkEnd w:id="44256"/>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63462" w:name="table_s5"/>
      <w:r>
        <w:rPr>
          <w:rFonts w:ascii="Arial" w:hAnsi="Arial"/>
          <w:b/>
          <w:color w:val="1F3A5F"/>
          <w:sz w:val="32"/>
        </w:rPr>
        <w:t>Table S5 — Jackknife leave-one-out</w:t>
      </w:r>
      <w:bookmarkEnd w:id="63462"/>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37421" w:name="table_s6"/>
      <w:r>
        <w:rPr>
          <w:rFonts w:ascii="Arial" w:hAnsi="Arial"/>
          <w:b/>
          <w:color w:val="1F3A5F"/>
          <w:sz w:val="32"/>
        </w:rPr>
        <w:t>Table S6 — MDE / power</w:t>
      </w:r>
      <w:bookmarkEnd w:id="37421"/>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45456" w:name="table_s7"/>
      <w:r>
        <w:rPr>
          <w:rFonts w:ascii="Arial" w:hAnsi="Arial"/>
          <w:b/>
          <w:color w:val="1F3A5F"/>
          <w:sz w:val="32"/>
        </w:rPr>
        <w:t>Table S7 — Placebo / falsification</w:t>
      </w:r>
      <w:bookmarkEnd w:id="45456"/>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98866" w:name="table_s8"/>
      <w:r>
        <w:rPr>
          <w:rFonts w:ascii="Arial" w:hAnsi="Arial"/>
          <w:b/>
          <w:color w:val="1F3A5F"/>
          <w:sz w:val="32"/>
        </w:rPr>
        <w:t>Table S8 — Pre-Kharif cyclone climatology</w:t>
      </w:r>
      <w:bookmarkEnd w:id="98866"/>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21581" w:name="table_s9"/>
      <w:r>
        <w:rPr>
          <w:rFonts w:ascii="Arial" w:hAnsi="Arial"/>
          <w:b/>
          <w:color w:val="1F3A5F"/>
          <w:sz w:val="32"/>
        </w:rPr>
        <w:t>Table S9 — Canonical S1 dual-pol features</w:t>
      </w:r>
      <w:bookmarkEnd w:id="21581"/>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99162" w:name="figure_s1"/>
      <w:r>
        <w:rPr>
          <w:rFonts w:ascii="Arial" w:hAnsi="Arial"/>
          <w:b/>
          <w:color w:val="1F3A5F"/>
          <w:sz w:val="32"/>
        </w:rPr>
        <w:t>Figure S1 — Pre-Kharif cyclone climatology</w:t>
      </w:r>
      <w:bookmarkEnd w:id="99162"/>
    </w:p>
    <w:p>
      <w:pPr>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2975" w:name="figure_s2"/>
      <w:r>
        <w:rPr>
          <w:rFonts w:ascii="Arial" w:hAnsi="Arial"/>
          <w:b/>
          <w:color w:val="1F3A5F"/>
          <w:sz w:val="32"/>
        </w:rPr>
        <w:t>Figure S2 — Canonical Sentinel-1 backscatter signatures</w:t>
      </w:r>
      <w:bookmarkEnd w:id="92975"/>
    </w:p>
    <w:p>
      <w:pPr>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