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10.5281/zenodo.20587316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(2026-06-08) the repository is running on:</w:t>
      </w:r>
    </w:p>
    <w:p>
      <w:pPr>
        <w:pStyle w:val="ListBullet"/>
        <w:spacing w:lineRule="auto" w:line="480"/>
        <w:jc w:val="both"/>
      </w:pPr>
      <w:r>
        <w:rPr>
          <w:rFonts w:ascii="Arial" w:hAnsi="Arial"/>
          <w:sz w:val="20"/>
        </w:rPr>
        <w:t>Real Sentinel-1+2 BACI panel v2.1 (analysis/baci_panel_real_v21.csv) — derived from the Module 02 v0.3.0 saline-flood classifier applied to the 8-district × 8-year Kharif phenology retrieval, with the raw and v2.1-corrected SOS/POS/EOS dates feeding the TWFE-DiD specification (Eq. 4). Drives Tables S1 (DiD static), S2 (pre-trends), S4 (wild-cluster bootstrap), S5 (LOO jackknife), S6 (MDE / power), S7 (in-space permutation placebo), and S13a (per-cell correction summary); the GEE retrieval that produced the corrected dates is reproducible from the v1.0.1-submission release of the RiceBaCI-GEE repository (Mendeley DOI 10.17632/z3zxk4xy3c.1, Zenodo DOI 10.5281/zenodo.20587316). No synthetic panel is used in the submitted analysis; the v0 synthetic harness (`synthetic_baci_panel.py`) is retained in the repository only as a fast (&lt;60 s) end-to-end smoke test for the run_all.sh harness and never enters any reported result.</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spacing w:before="0" w:after="120" w:line="276" w:lineRule="auto"/>
      </w:pPr>
      <w:r>
        <w:rPr>
          <w:rFonts w:ascii="Arial" w:hAnsi="Arial"/>
          <w:i/>
          <w:sz w:val="19"/>
          <w:szCs w:val="19"/>
          <w:color w:val="595959"/>
        </w:rPr>
        <w:t xml:space="preserve">Abbreviations: PI = Prediction Interval.</w:t>
      </w:r>
    </w:p>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spacing w:before="0" w:after="120" w:line="276" w:lineRule="auto"/>
      </w:pPr>
      <w:r>
        <w:rPr>
          <w:rFonts w:ascii="Arial" w:hAnsi="Arial"/>
          <w:i/>
          <w:sz w:val="19"/>
          <w:szCs w:val="19"/>
          <w:color w:val="595959"/>
        </w:rPr>
        <w:t xml:space="preserve">Abbreviations: DOY = Day-Of-Year.</w:t>
      </w:r>
    </w:p>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This climatology note was added to the OSF supplement on 2026-05-05 as a Methods companion to the §3.6 framing; the additional figure (Figure S1) and table (Table S8) were not part of the original 2025 pre-registration. Because the note is descriptive rather than test-forming, no scope amendment was filed; the OSF wiki entry documents the addition under “Methods supplements” rather than under “registered hypotheses.”</w:t>
      </w:r>
      <w:r>
        <w:rPr>
          <w:rFonts w:ascii="Arial" w:hAnsi="Arial"/>
          <w:sz w:val="20"/>
        </w:rPr>
      </w:r>
      <w:r>
        <w:rPr>
          <w:rFonts w:ascii="Arial" w:hAnsi="Arial"/>
          <w:b/>
          <w:bCs/>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spacing w:before="0" w:after="120" w:line="276" w:lineRule="auto"/>
      </w:pPr>
      <w:r>
        <w:rPr>
          <w:rFonts w:ascii="Arial" w:hAnsi="Arial"/>
          <w:i/>
          <w:sz w:val="19"/>
          <w:szCs w:val="19"/>
          <w:color w:val="595959"/>
        </w:rPr>
        <w:t xml:space="preserve">Abbreviations: CR = Cross-Ratio (VH − VV in dB); ERA5 = ECMWF Reanalysis v5; GRD = Ground Range Detected; GSW = Global Surface Water; IW = Interferometric Wide swath; JRC = Joint Research Centre (European Commission); LSWI = Land Surface Water Index; NDWI = Normalised Difference Water Index; VH = Vertical-transmit Horizontal-receive polarisation; VV = Vertical-transmit Vertical-receive polarisation.</w:t>
      </w:r>
    </w:p>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spacing w:before="0" w:after="120" w:line="276" w:lineRule="auto"/>
      </w:pPr>
      <w:r>
        <w:rPr>
          <w:rFonts w:ascii="Arial" w:hAnsi="Arial"/>
          <w:i/>
          <w:sz w:val="19"/>
          <w:szCs w:val="19"/>
          <w:color w:val="595959"/>
        </w:rPr>
        <w:t xml:space="preserve">Abbreviations: VH = Vertical-transmit Horizontal-receive polarisation.</w:t>
      </w:r>
    </w:p>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 xml:space="preserve">Table S1.  Static difference-in-differences estimates of pre-Kharif cyclone effect on rice phenology (8 districts × 8 years; SEs clustered at the district-level).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 WCR = Wild-Cluster Restricted (bootstrap).</w:t>
      </w:r>
    </w:p>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before="0" w:after="120" w:line="276" w:lineRule="auto"/>
      </w:pPr>
      <w:r>
        <w:rPr>
          <w:rFonts w:ascii="Arial" w:hAnsi="Arial"/>
          <w:i/>
          <w:sz w:val="19"/>
          <w:szCs w:val="19"/>
          <w:color w:val="595959"/>
        </w:rPr>
        <w:t xml:space="preserve">Abbreviations: EOS = End-Of-Season; LOO = Leave-One-Out; POS = Peak-Of-Season; SOS = Start-Of-Season.</w:t>
      </w:r>
    </w:p>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r>
              <w:t>raw</w:t>
            </w:r>
          </w:p>
        </w:tc>
        <w:tc>
          <w:tcPr>
            <w:tcW w:type="dxa" w:w="1080"/>
          </w:tcPr>
          <w:p>
            <w:r>
              <w:t>SOS</w:t>
            </w:r>
          </w:p>
        </w:tc>
        <w:tc>
          <w:tcPr>
            <w:tcW w:type="dxa" w:w="1080"/>
          </w:tcPr>
          <w:p>
            <w:r>
              <w:t>+15.289</w:t>
            </w:r>
          </w:p>
        </w:tc>
        <w:tc>
          <w:tcPr>
            <w:tcW w:type="dxa" w:w="1080"/>
          </w:tcPr>
          <w:p>
            <w:r>
              <w:t>17.328</w:t>
            </w:r>
          </w:p>
        </w:tc>
        <w:tc>
          <w:tcPr>
            <w:tcW w:type="dxa" w:w="1080"/>
          </w:tcPr>
          <w:p>
            <w:r>
              <w:t>56.501</w:t>
            </w:r>
          </w:p>
        </w:tc>
        <w:tc>
          <w:tcPr>
            <w:tcW w:type="dxa" w:w="1080"/>
          </w:tcPr>
          <w:p>
            <w:r>
              <w:t>48.356</w:t>
            </w:r>
          </w:p>
        </w:tc>
        <w:tc>
          <w:tcPr>
            <w:tcW w:type="dxa" w:w="1080"/>
          </w:tcPr>
          <w:p>
            <w:r>
              <w:t>0.27</w:t>
            </w:r>
          </w:p>
        </w:tc>
        <w:tc>
          <w:tcPr>
            <w:tcW w:type="dxa" w:w="1080"/>
          </w:tcPr>
          <w:p>
            <w:r>
              <w:t>no</w:t>
            </w:r>
          </w:p>
        </w:tc>
      </w:tr>
      <w:tr>
        <w:tc>
          <w:tcPr>
            <w:tcW w:type="dxa" w:w="1080"/>
          </w:tcPr>
          <w:p>
            <w:r>
              <w:t>raw</w:t>
            </w:r>
          </w:p>
        </w:tc>
        <w:tc>
          <w:tcPr>
            <w:tcW w:type="dxa" w:w="1080"/>
          </w:tcPr>
          <w:p>
            <w:r>
              <w:t>POS</w:t>
            </w:r>
          </w:p>
        </w:tc>
        <w:tc>
          <w:tcPr>
            <w:tcW w:type="dxa" w:w="1080"/>
          </w:tcPr>
          <w:p>
            <w:r>
              <w:t>-3.587</w:t>
            </w:r>
          </w:p>
        </w:tc>
        <w:tc>
          <w:tcPr>
            <w:tcW w:type="dxa" w:w="1080"/>
          </w:tcPr>
          <w:p>
            <w:r>
              <w:t>2.882</w:t>
            </w:r>
          </w:p>
        </w:tc>
        <w:tc>
          <w:tcPr>
            <w:tcW w:type="dxa" w:w="1080"/>
          </w:tcPr>
          <w:p>
            <w:r>
              <w:t>9.397</w:t>
            </w:r>
          </w:p>
        </w:tc>
        <w:tc>
          <w:tcPr>
            <w:tcW w:type="dxa" w:w="1080"/>
          </w:tcPr>
          <w:p>
            <w:r>
              <w:t>8.043</w:t>
            </w:r>
          </w:p>
        </w:tc>
        <w:tc>
          <w:tcPr>
            <w:tcW w:type="dxa" w:w="1080"/>
          </w:tcPr>
          <w:p>
            <w:r>
              <w:t>0.38</w:t>
            </w:r>
          </w:p>
        </w:tc>
        <w:tc>
          <w:tcPr>
            <w:tcW w:type="dxa" w:w="1080"/>
          </w:tcPr>
          <w:p>
            <w:r>
              <w:t>no</w:t>
            </w:r>
          </w:p>
        </w:tc>
      </w:tr>
      <w:tr>
        <w:tc>
          <w:tcPr>
            <w:tcW w:type="dxa" w:w="1080"/>
          </w:tcPr>
          <w:p>
            <w:r>
              <w:t>raw</w:t>
            </w:r>
          </w:p>
        </w:tc>
        <w:tc>
          <w:tcPr>
            <w:tcW w:type="dxa" w:w="1080"/>
          </w:tcPr>
          <w:p>
            <w:r>
              <w:t>EOS</w:t>
            </w:r>
          </w:p>
        </w:tc>
        <w:tc>
          <w:tcPr>
            <w:tcW w:type="dxa" w:w="1080"/>
          </w:tcPr>
          <w:p>
            <w:r>
              <w:t>-0.000</w:t>
            </w:r>
          </w:p>
        </w:tc>
        <w:tc>
          <w:tcPr>
            <w:tcW w:type="dxa" w:w="1080"/>
          </w:tcPr>
          <w:p>
            <w:r>
              <w:t>0.000</w:t>
            </w:r>
          </w:p>
        </w:tc>
        <w:tc>
          <w:tcPr>
            <w:tcW w:type="dxa" w:w="1080"/>
          </w:tcPr>
          <w:p>
            <w:r>
              <w:t>0.000</w:t>
            </w:r>
          </w:p>
        </w:tc>
        <w:tc>
          <w:tcPr>
            <w:tcW w:type="dxa" w:w="1080"/>
          </w:tcPr>
          <w:p>
            <w:r>
              <w:t>0.000</w:t>
            </w:r>
          </w:p>
        </w:tc>
        <w:tc>
          <w:tcPr>
            <w:tcW w:type="dxa" w:w="1080"/>
          </w:tcPr>
          <w:p>
            <w:r>
              <w:t>0.00</w:t>
            </w:r>
          </w:p>
        </w:tc>
        <w:tc>
          <w:tcPr>
            <w:tcW w:type="dxa" w:w="1080"/>
          </w:tcPr>
          <w:p>
            <w:r>
              <w:t>no</w:t>
            </w:r>
          </w:p>
        </w:tc>
      </w:tr>
      <w:tr>
        <w:tc>
          <w:tcPr>
            <w:tcW w:type="dxa" w:w="1080"/>
          </w:tcPr>
          <w:p>
            <w:r>
              <w:t>corrected</w:t>
            </w:r>
          </w:p>
        </w:tc>
        <w:tc>
          <w:tcPr>
            <w:tcW w:type="dxa" w:w="1080"/>
          </w:tcPr>
          <w:p>
            <w:r>
              <w:t>SOS</w:t>
            </w:r>
          </w:p>
        </w:tc>
        <w:tc>
          <w:tcPr>
            <w:tcW w:type="dxa" w:w="1080"/>
          </w:tcPr>
          <w:p>
            <w:r>
              <w:t>+15.108</w:t>
            </w:r>
          </w:p>
        </w:tc>
        <w:tc>
          <w:tcPr>
            <w:tcW w:type="dxa" w:w="1080"/>
          </w:tcPr>
          <w:p>
            <w:r>
              <w:t>17.312</w:t>
            </w:r>
          </w:p>
        </w:tc>
        <w:tc>
          <w:tcPr>
            <w:tcW w:type="dxa" w:w="1080"/>
          </w:tcPr>
          <w:p>
            <w:r>
              <w:t>56.448</w:t>
            </w:r>
          </w:p>
        </w:tc>
        <w:tc>
          <w:tcPr>
            <w:tcW w:type="dxa" w:w="1080"/>
          </w:tcPr>
          <w:p>
            <w:r>
              <w:t>48.311</w:t>
            </w:r>
          </w:p>
        </w:tc>
        <w:tc>
          <w:tcPr>
            <w:tcW w:type="dxa" w:w="1080"/>
          </w:tcPr>
          <w:p>
            <w:r>
              <w:t>0.27</w:t>
            </w:r>
          </w:p>
        </w:tc>
        <w:tc>
          <w:tcPr>
            <w:tcW w:type="dxa" w:w="1080"/>
          </w:tcPr>
          <w:p>
            <w:r>
              <w:t>no</w:t>
            </w:r>
          </w:p>
        </w:tc>
      </w:tr>
      <w:tr>
        <w:tc>
          <w:tcPr>
            <w:tcW w:type="dxa" w:w="1080"/>
          </w:tcPr>
          <w:p>
            <w:r>
              <w:t>corrected</w:t>
            </w:r>
          </w:p>
        </w:tc>
        <w:tc>
          <w:tcPr>
            <w:tcW w:type="dxa" w:w="1080"/>
          </w:tcPr>
          <w:p>
            <w:r>
              <w:t>POS</w:t>
            </w:r>
          </w:p>
        </w:tc>
        <w:tc>
          <w:tcPr>
            <w:tcW w:type="dxa" w:w="1080"/>
          </w:tcPr>
          <w:p>
            <w:r>
              <w:t>-3.677</w:t>
            </w:r>
          </w:p>
        </w:tc>
        <w:tc>
          <w:tcPr>
            <w:tcW w:type="dxa" w:w="1080"/>
          </w:tcPr>
          <w:p>
            <w:r>
              <w:t>2.897</w:t>
            </w:r>
          </w:p>
        </w:tc>
        <w:tc>
          <w:tcPr>
            <w:tcW w:type="dxa" w:w="1080"/>
          </w:tcPr>
          <w:p>
            <w:r>
              <w:t>9.446</w:t>
            </w:r>
          </w:p>
        </w:tc>
        <w:tc>
          <w:tcPr>
            <w:tcW w:type="dxa" w:w="1080"/>
          </w:tcPr>
          <w:p>
            <w:r>
              <w:t>8.084</w:t>
            </w:r>
          </w:p>
        </w:tc>
        <w:tc>
          <w:tcPr>
            <w:tcW w:type="dxa" w:w="1080"/>
          </w:tcPr>
          <w:p>
            <w:r>
              <w:t>0.39</w:t>
            </w:r>
          </w:p>
        </w:tc>
        <w:tc>
          <w:tcPr>
            <w:tcW w:type="dxa" w:w="1080"/>
          </w:tcPr>
          <w:p>
            <w:r>
              <w:t>no</w:t>
            </w:r>
          </w:p>
        </w:tc>
      </w:tr>
      <w:tr>
        <w:tc>
          <w:tcPr>
            <w:tcW w:type="dxa" w:w="1080"/>
          </w:tcPr>
          <w:p>
            <w:r>
              <w:t>corrected</w:t>
            </w:r>
          </w:p>
        </w:tc>
        <w:tc>
          <w:tcPr>
            <w:tcW w:type="dxa" w:w="1080"/>
          </w:tcPr>
          <w:p>
            <w:r>
              <w:t>EOS</w:t>
            </w:r>
          </w:p>
        </w:tc>
        <w:tc>
          <w:tcPr>
            <w:tcW w:type="dxa" w:w="1080"/>
          </w:tcPr>
          <w:p>
            <w:r>
              <w:t>-0.239</w:t>
            </w:r>
          </w:p>
        </w:tc>
        <w:tc>
          <w:tcPr>
            <w:tcW w:type="dxa" w:w="1080"/>
          </w:tcPr>
          <w:p>
            <w:r>
              <w:t>0.169</w:t>
            </w:r>
          </w:p>
        </w:tc>
        <w:tc>
          <w:tcPr>
            <w:tcW w:type="dxa" w:w="1080"/>
          </w:tcPr>
          <w:p>
            <w:r>
              <w:t>0.551</w:t>
            </w:r>
          </w:p>
        </w:tc>
        <w:tc>
          <w:tcPr>
            <w:tcW w:type="dxa" w:w="1080"/>
          </w:tcPr>
          <w:p>
            <w:r>
              <w:t>0.472</w:t>
            </w:r>
          </w:p>
        </w:tc>
        <w:tc>
          <w:tcPr>
            <w:tcW w:type="dxa" w:w="1080"/>
          </w:tcPr>
          <w:p>
            <w:r>
              <w:t>0.43</w:t>
            </w:r>
          </w:p>
        </w:tc>
        <w:tc>
          <w:tcPr>
            <w:tcW w:type="dxa" w:w="1080"/>
          </w:tcPr>
          <w:p>
            <w:r>
              <w:t>no</w:t>
            </w:r>
          </w:p>
        </w:tc>
      </w:tr>
    </w:tbl>
    <w:p>
      <w:pPr>
        <w:spacing w:before="0" w:after="120" w:line="276" w:lineRule="auto"/>
      </w:pPr>
      <w:r>
        <w:rPr>
          <w:rFonts w:ascii="Arial" w:hAnsi="Arial"/>
          <w:i/>
          <w:sz w:val="19"/>
          <w:szCs w:val="19"/>
          <w:color w:val="595959"/>
        </w:rPr>
        <w:t xml:space="preserve">Abbreviations: EOS = End-Of-Season; MDE = Minimum Detectable Effect; POS = Peak-Of-Season; SOS = Start-Of-Season.</w:t>
      </w:r>
    </w:p>
    <w:p>
      <w:pPr>
        <w:spacing w:lineRule="auto" w:line="480"/>
        <w:jc w:val="both"/>
      </w:pPr>
      <w:r>
        <w:rPr>
          <w:rFonts w:ascii="Arial" w:hAnsi="Arial"/>
          <w:sz w:val="18"/>
        </w:rPr>
        <w:t>Notes. MDE = (t_{α/2,G−1} + t_{1−β,G−1}) × SE. At G = 8, t_{0.025,7} = 2.365 and t_{0.80,7} = 0.896, so the multiplier is 3.261. On the real v2.1 panel none of the six (pipeline×metric) cells is detectable at α = 0.05, power = 0.80, df = 7: |τ̂|/MDE ranges from 0.27 (raw/SOS) to 0.43 (corrected/EOS). This formal underpowering result is the post-hoc complement to the wild-cluster bootstrap null findings in Table S4 — both diagnostics point to the same conclusion that G = 8 is insufficient to reject H0: τ = 0 at conventional thresholds, and the corrected/EOS cell has the smallest absolute coefficient as well as the smallest |τ̂|/MDE ratio.</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before="0" w:after="120" w:line="276" w:lineRule="auto"/>
      </w:pPr>
      <w:r>
        <w:rPr>
          <w:rFonts w:ascii="Arial" w:hAnsi="Arial"/>
          <w:i/>
          <w:sz w:val="19"/>
          <w:szCs w:val="19"/>
          <w:color w:val="595959"/>
        </w:rPr>
        <w:t xml:space="preserve">Abbreviations: EOS = End-Of-Season; POS = Peak-Of-Season; SOS = Start-Of-Season.</w:t>
      </w:r>
    </w:p>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before="0" w:after="120" w:line="276" w:lineRule="auto"/>
      </w:pPr>
      <w:r>
        <w:rPr>
          <w:rFonts w:ascii="Arial" w:hAnsi="Arial"/>
          <w:i/>
          <w:sz w:val="19"/>
          <w:szCs w:val="19"/>
          <w:color w:val="595959"/>
        </w:rPr>
        <w:t xml:space="preserve">Abbreviations: DOY = Day-Of-Year; ESCS = Extremely Severe Cyclonic Storm; IMD = India Meteorological Department; VSCS = Very Severe Cyclonic Storm.</w:t>
      </w:r>
    </w:p>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before="0" w:after="120" w:line="276" w:lineRule="auto"/>
      </w:pPr>
      <w:r>
        <w:rPr>
          <w:rFonts w:ascii="Arial" w:hAnsi="Arial"/>
          <w:i/>
          <w:sz w:val="19"/>
          <w:szCs w:val="19"/>
          <w:color w:val="595959"/>
        </w:rPr>
        <w:t xml:space="preserve">Abbreviations: CR = Cross-Ratio (VH − VV in dB); DOY = Day-Of-Year; VH = Vertical-transmit Horizontal-receive polarisation; VV = Vertical-transmit Vertical-receive polarisation.</w:t>
      </w:r>
    </w:p>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Figure S1. (A) Track-genesis schematic; (B) intensity-vs-day-of-year (DOY) scatter on Saffir-Simpson bands. Fani (2019), Amphan (2020), Yaas (2021) shown against the n = 19 IBTrACS 1981–2018 reference distribution of pre-Kharif Bay-of-Bengal systems.</w:t>
      </w:r>
      <w:r>
        <w:rPr>
          <w:rFonts w:ascii="Arial" w:hAnsi="Arial"/>
          <w:i/>
          <w:sz w:val="18"/>
        </w:rPr>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pPr>
        <w:spacing w:before="0" w:after="120" w:line="276" w:lineRule="auto"/>
      </w:pPr>
      <w:r>
        <w:rPr>
          <w:rFonts w:ascii="Arial" w:hAnsi="Arial"/>
          <w:i/>
          <w:sz w:val="19"/>
          <w:szCs w:val="19"/>
          <w:color w:val="595959"/>
        </w:rPr>
        <w:t xml:space="preserve">Abbreviations: AAR = Agricultural Activities Restoration; CRIDA = Central Research Institute for Dryland Agriculture; CV = Cross-Validation; EMS = Emergency Management Service (Copernicus); ICAR = Indian Council of Agricultural Research; IFRC = International Federation of Red Cross and Red Crescent Societies; IMD = India Meteorological Department; ISPRS = International Society for Photogrammetry and Remote Sensing; NDMA = National Disaster Management Authority (India); OA = Overall Accuracy; USD = United States Dollar.</w:t>
      </w:r>
    </w:p>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20" Type="http://schemas.openxmlformats.org/officeDocument/2006/relationships/hyperlink" Target="https://osf.io/c4mp8/" TargetMode="External"/><Relationship Id="rId27" Type="http://schemas.openxmlformats.org/officeDocument/2006/relationships/hyperlink" Target="https://doi.org/10.1257/jep.31.2.3" TargetMode="External"/><Relationship Id="rId28" Type="http://schemas.openxmlformats.org/officeDocument/2006/relationships/hyperlink" Target="https://rsmcnewdelhi.imd.gov.in" TargetMode="External"/><Relationship Id="rId29" Type="http://schemas.openxmlformats.org/officeDocument/2006/relationships/hyperlink" Target="https://doi.org/10.1175/2009BAMS27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