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graphical-abstract-design-brief"/>
    <w:p>
      <w:pPr>
        <w:pStyle w:val="Heading1"/>
      </w:pPr>
      <w:r>
        <w:t xml:space="preserve">Graphical Abstract — Design Brief</w:t>
      </w:r>
    </w:p>
    <w:p>
      <w:pPr>
        <w:pStyle w:val="FirstParagraph"/>
      </w:pPr>
      <w:r>
        <w:t xml:space="preserve">RSE specifies the graphical abstract must be</w:t>
      </w:r>
      <w:r>
        <w:t xml:space="preserve"> </w:t>
      </w:r>
      <w:r>
        <w:rPr>
          <w:b/>
          <w:bCs/>
        </w:rPr>
        <w:t xml:space="preserve">531 × 1328 pixels (h × w)</w:t>
      </w:r>
      <w:r>
        <w:t xml:space="preserve"> </w:t>
      </w:r>
      <w:r>
        <w:t xml:space="preserve">and readable at 5 × 13 cm physical size. Preferred file types: TIFF, EPS, PDF, or MS Office.</w:t>
      </w:r>
    </w:p>
    <w:bookmarkStart w:id="23" w:name="concept"/>
    <w:p>
      <w:pPr>
        <w:pStyle w:val="Heading2"/>
      </w:pPr>
      <w:r>
        <w:t xml:space="preserve">Concept</w:t>
      </w:r>
    </w:p>
    <w:p>
      <w:pPr>
        <w:pStyle w:val="FirstParagraph"/>
      </w:pPr>
      <w:r>
        <w:t xml:space="preserve">A horizontal three-panel composition reading left-to-right, telling the story in one image:</w:t>
      </w:r>
    </w:p>
    <w:bookmarkStart w:id="20" w:name="panel-1-left-33-width-the-problem"/>
    <w:p>
      <w:pPr>
        <w:pStyle w:val="Heading3"/>
      </w:pPr>
      <w:r>
        <w:t xml:space="preserve">Panel 1 (left, ~33% width) —</w:t>
      </w:r>
      <w:r>
        <w:t xml:space="preserve"> </w:t>
      </w:r>
      <w:r>
        <w:rPr>
          <w:i/>
          <w:iCs/>
        </w:rPr>
        <w:t xml:space="preserve">The Problem</w:t>
      </w:r>
    </w:p>
    <w:p>
      <w:pPr>
        <w:pStyle w:val="Compact"/>
        <w:numPr>
          <w:ilvl w:val="0"/>
          <w:numId w:val="1001"/>
        </w:numPr>
      </w:pPr>
      <w:r>
        <w:t xml:space="preserve">Background: muted satellite-style backdrop showing a stylised coastline with a cyclone symbol (spiral)</w:t>
      </w:r>
    </w:p>
    <w:p>
      <w:pPr>
        <w:pStyle w:val="Compact"/>
        <w:numPr>
          <w:ilvl w:val="0"/>
          <w:numId w:val="1001"/>
        </w:numPr>
      </w:pPr>
      <w:r>
        <w:t xml:space="preserve">Foreground: two paired SAR backscatter time-series curves</w:t>
      </w:r>
    </w:p>
    <w:p>
      <w:pPr>
        <w:pStyle w:val="Compact"/>
        <w:numPr>
          <w:ilvl w:val="1"/>
          <w:numId w:val="1002"/>
        </w:numPr>
      </w:pPr>
      <w:r>
        <w:t xml:space="preserve">Top curve:</w:t>
      </w:r>
      <w:r>
        <w:t xml:space="preserve"> </w:t>
      </w:r>
      <w:r>
        <w:t xml:space="preserve">“</w:t>
      </w:r>
      <w:r>
        <w:t xml:space="preserve">Cyclone-induced flood</w:t>
      </w:r>
      <w:r>
        <w:t xml:space="preserve">”</w:t>
      </w:r>
      <w:r>
        <w:t xml:space="preserve"> </w:t>
      </w:r>
      <w:r>
        <w:t xml:space="preserve">— sharp drop in late May (Amphan landfall)</w:t>
      </w:r>
    </w:p>
    <w:p>
      <w:pPr>
        <w:pStyle w:val="Compact"/>
        <w:numPr>
          <w:ilvl w:val="1"/>
          <w:numId w:val="1002"/>
        </w:numPr>
      </w:pPr>
      <w:r>
        <w:t xml:space="preserve">Bottom curve:</w:t>
      </w:r>
      <w:r>
        <w:t xml:space="preserve"> </w:t>
      </w:r>
      <w:r>
        <w:t xml:space="preserve">“</w:t>
      </w:r>
      <w:r>
        <w:t xml:space="preserve">Agronomic transplanting</w:t>
      </w:r>
      <w:r>
        <w:t xml:space="preserve">”</w:t>
      </w:r>
      <w:r>
        <w:t xml:space="preserve"> </w:t>
      </w:r>
      <w:r>
        <w:t xml:space="preserve">— drop in late July</w:t>
      </w:r>
    </w:p>
    <w:p>
      <w:pPr>
        <w:pStyle w:val="Compact"/>
        <w:numPr>
          <w:ilvl w:val="0"/>
          <w:numId w:val="1001"/>
        </w:numPr>
      </w:pPr>
      <w:r>
        <w:t xml:space="preserve">Caption: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Two physically different flood events. One SAR signal.</w:t>
      </w:r>
      <w:r>
        <w:rPr>
          <w:i/>
          <w:iCs/>
        </w:rPr>
        <w:t xml:space="preserve">”</w:t>
      </w:r>
    </w:p>
    <w:bookmarkEnd w:id="20"/>
    <w:bookmarkStart w:id="21" w:name="panel-2-centre-33-width-the-solution"/>
    <w:p>
      <w:pPr>
        <w:pStyle w:val="Heading3"/>
      </w:pPr>
      <w:r>
        <w:t xml:space="preserve">Panel 2 (centre, ~33% width) —</w:t>
      </w:r>
      <w:r>
        <w:t xml:space="preserve"> </w:t>
      </w:r>
      <w:r>
        <w:rPr>
          <w:i/>
          <w:iCs/>
        </w:rPr>
        <w:t xml:space="preserve">The Solution</w:t>
      </w:r>
    </w:p>
    <w:p>
      <w:pPr>
        <w:pStyle w:val="Compact"/>
        <w:numPr>
          <w:ilvl w:val="0"/>
          <w:numId w:val="1003"/>
        </w:numPr>
      </w:pPr>
      <w:r>
        <w:t xml:space="preserve">Schematic flow showing the eight input features (icons for VH, VV, NDWI, LSWI, JRC water, ERA5 wind, distance-to-storm)</w:t>
      </w:r>
    </w:p>
    <w:p>
      <w:pPr>
        <w:pStyle w:val="Compact"/>
        <w:numPr>
          <w:ilvl w:val="0"/>
          <w:numId w:val="1003"/>
        </w:numPr>
      </w:pPr>
      <w:r>
        <w:t xml:space="preserve">Funnel into a</w:t>
      </w:r>
      <w:r>
        <w:t xml:space="preserve"> </w:t>
      </w:r>
      <w:r>
        <w:t xml:space="preserve">“</w:t>
      </w:r>
      <w:r>
        <w:t xml:space="preserve">Random Forest</w:t>
      </w:r>
      <w:r>
        <w:t xml:space="preserve">”</w:t>
      </w:r>
      <w:r>
        <w:t xml:space="preserve"> </w:t>
      </w:r>
      <w:r>
        <w:t xml:space="preserve">box</w:t>
      </w:r>
    </w:p>
    <w:p>
      <w:pPr>
        <w:pStyle w:val="Compact"/>
        <w:numPr>
          <w:ilvl w:val="0"/>
          <w:numId w:val="1003"/>
        </w:numPr>
      </w:pPr>
      <w:r>
        <w:t xml:space="preserve">Output: pixel labelled either</w:t>
      </w:r>
      <w:r>
        <w:t xml:space="preserve"> </w:t>
      </w:r>
      <w:r>
        <w:rPr>
          <w:i/>
          <w:iCs/>
        </w:rPr>
        <w:t xml:space="preserve">cyclone-flood</w:t>
      </w:r>
      <w:r>
        <w:t xml:space="preserve"> </w:t>
      </w:r>
      <w:r>
        <w:t xml:space="preserve">(red) or</w:t>
      </w:r>
      <w:r>
        <w:t xml:space="preserve"> </w:t>
      </w:r>
      <w:r>
        <w:rPr>
          <w:i/>
          <w:iCs/>
        </w:rPr>
        <w:t xml:space="preserve">agronomic-flood</w:t>
      </w:r>
      <w:r>
        <w:t xml:space="preserve"> </w:t>
      </w:r>
      <w:r>
        <w:t xml:space="preserve">(green)</w:t>
      </w:r>
    </w:p>
    <w:p>
      <w:pPr>
        <w:pStyle w:val="Compact"/>
        <w:numPr>
          <w:ilvl w:val="0"/>
          <w:numId w:val="1003"/>
        </w:numPr>
      </w:pPr>
      <w:r>
        <w:t xml:space="preserve">Caption: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An 8-feature classifier separates them.</w:t>
      </w:r>
      <w:r>
        <w:rPr>
          <w:i/>
          <w:iCs/>
        </w:rPr>
        <w:t xml:space="preserve">”</w:t>
      </w:r>
    </w:p>
    <w:bookmarkEnd w:id="21"/>
    <w:bookmarkStart w:id="22" w:name="panel-3-right-33-width-the-outcome"/>
    <w:p>
      <w:pPr>
        <w:pStyle w:val="Heading3"/>
      </w:pPr>
      <w:r>
        <w:t xml:space="preserve">Panel 3 (right, ~33% width) —</w:t>
      </w:r>
      <w:r>
        <w:t xml:space="preserve"> </w:t>
      </w:r>
      <w:r>
        <w:rPr>
          <w:i/>
          <w:iCs/>
        </w:rPr>
        <w:t xml:space="preserve">The Outcome</w:t>
      </w:r>
    </w:p>
    <w:p>
      <w:pPr>
        <w:pStyle w:val="Compact"/>
        <w:numPr>
          <w:ilvl w:val="0"/>
          <w:numId w:val="1004"/>
        </w:numPr>
      </w:pPr>
      <w:r>
        <w:t xml:space="preserve">Two miniature maps of coastal Odisha, side by side</w:t>
      </w:r>
    </w:p>
    <w:p>
      <w:pPr>
        <w:pStyle w:val="Compact"/>
        <w:numPr>
          <w:ilvl w:val="1"/>
          <w:numId w:val="1005"/>
        </w:numPr>
      </w:pPr>
      <w:r>
        <w:t xml:space="preserve">Left: SOS map with raw pipeline (showing biased early dates near coast)</w:t>
      </w:r>
    </w:p>
    <w:p>
      <w:pPr>
        <w:pStyle w:val="Compact"/>
        <w:numPr>
          <w:ilvl w:val="1"/>
          <w:numId w:val="1005"/>
        </w:numPr>
      </w:pPr>
      <w:r>
        <w:t xml:space="preserve">Right: SOS map with corrected pipeline (showing accurate dates)</w:t>
      </w:r>
    </w:p>
    <w:p>
      <w:pPr>
        <w:pStyle w:val="Compact"/>
        <w:numPr>
          <w:ilvl w:val="0"/>
          <w:numId w:val="1004"/>
        </w:numPr>
      </w:pPr>
      <w:r>
        <w:t xml:space="preserve">Below the maps: a small bar chart showing MAE reduction (raw vs. corrected) — labelled</w:t>
      </w:r>
      <w:r>
        <w:t xml:space="preserve"> </w:t>
      </w:r>
      <w:r>
        <w:rPr>
          <w:i/>
          <w:iCs/>
        </w:rPr>
        <w:t xml:space="preserve">[PLACEHOLDER: X days]</w:t>
      </w:r>
    </w:p>
    <w:p>
      <w:pPr>
        <w:pStyle w:val="Compact"/>
        <w:numPr>
          <w:ilvl w:val="0"/>
          <w:numId w:val="1004"/>
        </w:numPr>
      </w:pPr>
      <w:r>
        <w:t xml:space="preserve">Caption: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Corrected SOS/POS/EOS dates for cyclone-impacted years.</w:t>
      </w:r>
      <w:r>
        <w:rPr>
          <w:i/>
          <w:iCs/>
        </w:rPr>
        <w:t xml:space="preserve">”</w:t>
      </w:r>
    </w:p>
    <w:bookmarkEnd w:id="22"/>
    <w:bookmarkEnd w:id="23"/>
    <w:bookmarkStart w:id="24" w:name="title-strip"/>
    <w:p>
      <w:pPr>
        <w:pStyle w:val="Heading2"/>
      </w:pPr>
      <w:r>
        <w:t xml:space="preserve">Title strip</w:t>
      </w:r>
    </w:p>
    <w:p>
      <w:pPr>
        <w:pStyle w:val="FirstParagraph"/>
      </w:pPr>
      <w:r>
        <w:t xml:space="preserve">A thin horizontal title strip across the top:</w:t>
      </w:r>
    </w:p>
    <w:p>
      <w:pPr>
        <w:pStyle w:val="BlockText"/>
      </w:pPr>
      <w:r>
        <w:rPr>
          <w:i/>
          <w:iCs/>
        </w:rPr>
        <w:t xml:space="preserve">Decoupling cyclone storm-surge from agronomic flooding in Sentinel-1/2 rice phenology — coastal Odisha, 2017–2024.</w:t>
      </w:r>
    </w:p>
    <w:bookmarkEnd w:id="24"/>
    <w:bookmarkStart w:id="25" w:name="colour-palette"/>
    <w:p>
      <w:pPr>
        <w:pStyle w:val="Heading2"/>
      </w:pPr>
      <w:r>
        <w:t xml:space="preserve">Colour palette</w:t>
      </w:r>
    </w:p>
    <w:p>
      <w:pPr>
        <w:pStyle w:val="Compact"/>
        <w:numPr>
          <w:ilvl w:val="0"/>
          <w:numId w:val="1006"/>
        </w:numPr>
      </w:pPr>
      <w:r>
        <w:t xml:space="preserve">Primary: deep teal</w:t>
      </w:r>
      <w:r>
        <w:t xml:space="preserve"> </w:t>
      </w:r>
      <w:r>
        <w:rPr>
          <w:rStyle w:val="VerbatimChar"/>
        </w:rPr>
        <w:t xml:space="preserve">#01696F</w:t>
      </w:r>
      <w:r>
        <w:t xml:space="preserve"> </w:t>
      </w:r>
      <w:r>
        <w:t xml:space="preserve">(RSE-friendly, matches the strategy document)</w:t>
      </w:r>
    </w:p>
    <w:p>
      <w:pPr>
        <w:pStyle w:val="Compact"/>
        <w:numPr>
          <w:ilvl w:val="0"/>
          <w:numId w:val="1006"/>
        </w:numPr>
      </w:pPr>
      <w:r>
        <w:t xml:space="preserve">Secondary: warm orange</w:t>
      </w:r>
      <w:r>
        <w:t xml:space="preserve"> </w:t>
      </w:r>
      <w:r>
        <w:rPr>
          <w:rStyle w:val="VerbatimChar"/>
        </w:rPr>
        <w:t xml:space="preserve">#E07B00</w:t>
      </w:r>
      <w:r>
        <w:t xml:space="preserve"> </w:t>
      </w:r>
      <w:r>
        <w:t xml:space="preserve">(cyclone events)</w:t>
      </w:r>
    </w:p>
    <w:p>
      <w:pPr>
        <w:pStyle w:val="Compact"/>
        <w:numPr>
          <w:ilvl w:val="0"/>
          <w:numId w:val="1006"/>
        </w:numPr>
      </w:pPr>
      <w:r>
        <w:t xml:space="preserve">Neutral: charcoal</w:t>
      </w:r>
      <w:r>
        <w:t xml:space="preserve"> </w:t>
      </w:r>
      <w:r>
        <w:rPr>
          <w:rStyle w:val="VerbatimChar"/>
        </w:rPr>
        <w:t xml:space="preserve">#222222</w:t>
      </w:r>
      <w:r>
        <w:t xml:space="preserve"> </w:t>
      </w:r>
      <w:r>
        <w:t xml:space="preserve">text on near-white</w:t>
      </w:r>
      <w:r>
        <w:t xml:space="preserve"> </w:t>
      </w:r>
      <w:r>
        <w:rPr>
          <w:rStyle w:val="VerbatimChar"/>
        </w:rPr>
        <w:t xml:space="preserve">#FAFAFA</w:t>
      </w:r>
      <w:r>
        <w:t xml:space="preserve"> </w:t>
      </w:r>
      <w:r>
        <w:t xml:space="preserve">background</w:t>
      </w:r>
    </w:p>
    <w:p>
      <w:pPr>
        <w:pStyle w:val="Compact"/>
        <w:numPr>
          <w:ilvl w:val="0"/>
          <w:numId w:val="1006"/>
        </w:numPr>
      </w:pPr>
      <w:r>
        <w:t xml:space="preserve">Avoid pure red/green pairing for accessibility (use red-orange + teal for labels)</w:t>
      </w:r>
    </w:p>
    <w:bookmarkEnd w:id="25"/>
    <w:bookmarkStart w:id="26" w:name="how-to-produce-it"/>
    <w:p>
      <w:pPr>
        <w:pStyle w:val="Heading2"/>
      </w:pPr>
      <w:r>
        <w:t xml:space="preserve">How to produce it</w:t>
      </w:r>
    </w:p>
    <w:p>
      <w:pPr>
        <w:pStyle w:val="Compact"/>
        <w:numPr>
          <w:ilvl w:val="0"/>
          <w:numId w:val="1007"/>
        </w:numPr>
      </w:pPr>
      <w:r>
        <w:t xml:space="preserve">Use Inkscape (free, vector) or Adobe Illustrator</w:t>
      </w:r>
    </w:p>
    <w:p>
      <w:pPr>
        <w:pStyle w:val="Compact"/>
        <w:numPr>
          <w:ilvl w:val="0"/>
          <w:numId w:val="1007"/>
        </w:numPr>
      </w:pPr>
      <w:r>
        <w:t xml:space="preserve">Set canvas to 1328 × 531 px</w:t>
      </w:r>
    </w:p>
    <w:p>
      <w:pPr>
        <w:pStyle w:val="Compact"/>
        <w:numPr>
          <w:ilvl w:val="0"/>
          <w:numId w:val="1007"/>
        </w:numPr>
      </w:pPr>
      <w:r>
        <w:t xml:space="preserve">Build each panel as a group; align with a 16-px gutter between panels</w:t>
      </w:r>
    </w:p>
    <w:p>
      <w:pPr>
        <w:pStyle w:val="Compact"/>
        <w:numPr>
          <w:ilvl w:val="0"/>
          <w:numId w:val="1007"/>
        </w:numPr>
      </w:pPr>
      <w:r>
        <w:t xml:space="preserve">Export as TIFF at 300 DPI</w:t>
      </w:r>
    </w:p>
    <w:p>
      <w:pPr>
        <w:pStyle w:val="Compact"/>
        <w:numPr>
          <w:ilvl w:val="0"/>
          <w:numId w:val="1007"/>
        </w:numPr>
      </w:pPr>
      <w:r>
        <w:t xml:space="preserve">Final filename:</w:t>
      </w:r>
      <w:r>
        <w:t xml:space="preserve"> </w:t>
      </w:r>
      <w:r>
        <w:rPr>
          <w:rStyle w:val="VerbatimChar"/>
        </w:rPr>
        <w:t xml:space="preserve">Graphical_Abstract.tiff</w:t>
      </w:r>
    </w:p>
    <w:bookmarkEnd w:id="26"/>
    <w:bookmarkStart w:id="27" w:name="compliance-notes"/>
    <w:p>
      <w:pPr>
        <w:pStyle w:val="Heading2"/>
      </w:pPr>
      <w:r>
        <w:t xml:space="preserve">Compliance notes</w:t>
      </w:r>
    </w:p>
    <w:p>
      <w:pPr>
        <w:pStyle w:val="Compact"/>
        <w:numPr>
          <w:ilvl w:val="0"/>
          <w:numId w:val="1008"/>
        </w:numPr>
      </w:pPr>
      <w:r>
        <w:t xml:space="preserve">Per Elsevier policy, no generative-AI imagery is permitted in the graphical abstract</w:t>
      </w:r>
    </w:p>
    <w:p>
      <w:pPr>
        <w:pStyle w:val="Compact"/>
        <w:numPr>
          <w:ilvl w:val="0"/>
          <w:numId w:val="1008"/>
        </w:numPr>
      </w:pPr>
      <w:r>
        <w:t xml:space="preserve">All third-party material (e.g. cyclone basemap, map outline) must be rights-cleared — Natural Earth public-domain shapefiles satisfy this</w:t>
      </w:r>
    </w:p>
    <w:p>
      <w:pPr>
        <w:pStyle w:val="Compact"/>
        <w:numPr>
          <w:ilvl w:val="0"/>
          <w:numId w:val="1008"/>
        </w:numPr>
      </w:pPr>
      <w:r>
        <w:t xml:space="preserve">Avoid embedding the article title verbatim in the image; the title appears separately on ScienceDirect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2026-05-02T11:03:23Z</dcterms:created>
  <dcterms:modified xsi:type="dcterms:W3CDTF">2026-05-02T11:03:23Z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