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se-submission-checklist"/>
    <w:p>
      <w:pPr>
        <w:pStyle w:val="Heading1"/>
      </w:pPr>
      <w:r>
        <w:t xml:space="preserve">RSE Submission Checklist</w:t>
      </w:r>
    </w:p>
    <w:p>
      <w:pPr>
        <w:pStyle w:val="FirstParagraph"/>
      </w:pPr>
      <w:r>
        <w:t xml:space="preserve">A field-by-field walkthrough of the Elsevier Editorial Manager submission for</w:t>
      </w:r>
      <w:r>
        <w:t xml:space="preserve"> </w:t>
      </w:r>
      <w:r>
        <w:rPr>
          <w:i/>
          <w:iCs/>
        </w:rPr>
        <w:t xml:space="preserve">Remote Sensing of Environment</w:t>
      </w:r>
      <w:r>
        <w:t xml:space="preserve">.</w:t>
      </w:r>
      <w:r>
        <w:t xml:space="preserve"> </w:t>
      </w:r>
      <w:r>
        <w:t xml:space="preserve">URL:</w:t>
      </w:r>
      <w:r>
        <w:t xml:space="preserve"> </w:t>
      </w:r>
      <w:hyperlink r:id="rId20">
        <w:r>
          <w:rPr>
            <w:rStyle w:val="Hyperlink"/>
          </w:rPr>
          <w:t xml:space="preserve">https://www.editorialmanager.com/RSE/</w:t>
        </w:r>
      </w:hyperlink>
    </w:p>
    <w:p>
      <w:r>
        <w:pict>
          <v:rect style="width:0;height:1.5pt" o:hralign="center" o:hrstd="t" o:hr="t"/>
        </w:pict>
      </w:r>
    </w:p>
    <w:bookmarkStart w:id="21" w:name="pre-flight-do-these-before-you-log-in"/>
    <w:p>
      <w:pPr>
        <w:pStyle w:val="Heading2"/>
      </w:pPr>
      <w:r>
        <w:t xml:space="preserve">Pre-flight (do these BEFORE you log in)</w:t>
      </w:r>
    </w:p>
    <w:p>
      <w:pPr>
        <w:pStyle w:val="Compact"/>
        <w:numPr>
          <w:ilvl w:val="0"/>
          <w:numId w:val="1001"/>
        </w:numPr>
      </w:pPr>
      <w:r>
        <w:t xml:space="preserve">☐ All co-authors confirmed, with full names, ORCIDs, affiliations, and emails</w:t>
      </w:r>
    </w:p>
    <w:p>
      <w:pPr>
        <w:pStyle w:val="Compact"/>
        <w:numPr>
          <w:ilvl w:val="0"/>
          <w:numId w:val="1001"/>
        </w:numPr>
      </w:pPr>
      <w:r>
        <w:t xml:space="preserve">☐ Corresponding author identified and reachable</w:t>
      </w:r>
    </w:p>
    <w:p>
      <w:pPr>
        <w:pStyle w:val="Compact"/>
        <w:numPr>
          <w:ilvl w:val="0"/>
          <w:numId w:val="1001"/>
        </w:numPr>
      </w:pPr>
      <w:r>
        <w:t xml:space="preserve">☐ Cover letter PDF ready (</w:t>
      </w:r>
      <w:r>
        <w:rPr>
          <w:rStyle w:val="VerbatimChar"/>
        </w:rPr>
        <w:t xml:space="preserve">00_cover_letter.md</w:t>
      </w:r>
      <w:r>
        <w:t xml:space="preserve"> </w:t>
      </w:r>
      <w:r>
        <w:t xml:space="preserve">rendered to PDF)</w:t>
      </w:r>
    </w:p>
    <w:p>
      <w:pPr>
        <w:pStyle w:val="Compact"/>
        <w:numPr>
          <w:ilvl w:val="0"/>
          <w:numId w:val="1001"/>
        </w:numPr>
      </w:pPr>
      <w:r>
        <w:t xml:space="preserve">☐ Manuscript Word file finalised in single-column layout</w:t>
      </w:r>
    </w:p>
    <w:p>
      <w:pPr>
        <w:pStyle w:val="Compact"/>
        <w:numPr>
          <w:ilvl w:val="0"/>
          <w:numId w:val="1001"/>
        </w:numPr>
      </w:pPr>
      <w:r>
        <w:t xml:space="preserve">☐ All figures saved as separate files at ≥ 300 DPI, named</w:t>
      </w:r>
      <w:r>
        <w:t xml:space="preserve"> </w:t>
      </w:r>
      <w:r>
        <w:rPr>
          <w:rStyle w:val="VerbatimChar"/>
        </w:rPr>
        <w:t xml:space="preserve">Figure_1.tiff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Figure_2.tiff</w:t>
      </w:r>
      <w:r>
        <w:t xml:space="preserve">, …</w:t>
      </w:r>
    </w:p>
    <w:p>
      <w:pPr>
        <w:pStyle w:val="Compact"/>
        <w:numPr>
          <w:ilvl w:val="0"/>
          <w:numId w:val="1001"/>
        </w:numPr>
      </w:pPr>
      <w:r>
        <w:t xml:space="preserve">☐ Highlights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ready (file name must contain</w:t>
      </w:r>
      <w:r>
        <w:t xml:space="preserve"> </w:t>
      </w:r>
      <w:r>
        <w:t xml:space="preserve">“</w:t>
      </w:r>
      <w:r>
        <w:t xml:space="preserve">highlights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☐ Graphical abstract image at 531 × 1328 px (or proportionally larger), readable at 5 × 13 cm</w:t>
      </w:r>
    </w:p>
    <w:p>
      <w:pPr>
        <w:pStyle w:val="Compact"/>
        <w:numPr>
          <w:ilvl w:val="0"/>
          <w:numId w:val="1001"/>
        </w:numPr>
      </w:pPr>
      <w:r>
        <w:t xml:space="preserve">☐ Tables included in the manuscript text as editable text (not images)</w:t>
      </w:r>
    </w:p>
    <w:p>
      <w:pPr>
        <w:pStyle w:val="Compact"/>
        <w:numPr>
          <w:ilvl w:val="0"/>
          <w:numId w:val="1001"/>
        </w:numPr>
      </w:pPr>
      <w:r>
        <w:t xml:space="preserve">☐ All references have DOI URLs and are formatted in Elsevier (Harvard) style</w:t>
      </w:r>
    </w:p>
    <w:p>
      <w:pPr>
        <w:pStyle w:val="Compact"/>
        <w:numPr>
          <w:ilvl w:val="0"/>
          <w:numId w:val="1001"/>
        </w:numPr>
      </w:pPr>
      <w:r>
        <w:t xml:space="preserve">☐ CRediT author statement in the manuscript</w:t>
      </w:r>
    </w:p>
    <w:p>
      <w:pPr>
        <w:pStyle w:val="Compact"/>
        <w:numPr>
          <w:ilvl w:val="0"/>
          <w:numId w:val="1001"/>
        </w:numPr>
      </w:pPr>
      <w:r>
        <w:t xml:space="preserve">☐ Declaration of Generative AI Use in the manuscript</w:t>
      </w:r>
    </w:p>
    <w:p>
      <w:pPr>
        <w:pStyle w:val="Compact"/>
        <w:numPr>
          <w:ilvl w:val="0"/>
          <w:numId w:val="1001"/>
        </w:numPr>
      </w:pPr>
      <w:r>
        <w:t xml:space="preserve">☐ Funding statement in the manuscript</w:t>
      </w:r>
    </w:p>
    <w:p>
      <w:pPr>
        <w:pStyle w:val="Compact"/>
        <w:numPr>
          <w:ilvl w:val="0"/>
          <w:numId w:val="1001"/>
        </w:numPr>
      </w:pPr>
      <w:r>
        <w:t xml:space="preserve">☐ Data Availability Statement in the manuscript</w:t>
      </w:r>
    </w:p>
    <w:p>
      <w:pPr>
        <w:pStyle w:val="Compact"/>
        <w:numPr>
          <w:ilvl w:val="0"/>
          <w:numId w:val="1001"/>
        </w:numPr>
      </w:pPr>
      <w:r>
        <w:t xml:space="preserve">☐ Acknowledgements section</w:t>
      </w:r>
    </w:p>
    <w:p>
      <w:pPr>
        <w:pStyle w:val="Compact"/>
        <w:numPr>
          <w:ilvl w:val="0"/>
          <w:numId w:val="1001"/>
        </w:numPr>
      </w:pPr>
      <w:r>
        <w:t xml:space="preserve">☐ Mendeley Data DOI minted (reserve a DOI before submission; deposit on acceptance)</w:t>
      </w:r>
    </w:p>
    <w:p>
      <w:pPr>
        <w:pStyle w:val="Compact"/>
        <w:numPr>
          <w:ilvl w:val="0"/>
          <w:numId w:val="1001"/>
        </w:numPr>
      </w:pPr>
      <w:r>
        <w:t xml:space="preserve">☐ OSF pre-registration URL confirmed live and public</w:t>
      </w:r>
    </w:p>
    <w:p>
      <w:pPr>
        <w:pStyle w:val="Compact"/>
        <w:numPr>
          <w:ilvl w:val="0"/>
          <w:numId w:val="1001"/>
        </w:numPr>
      </w:pPr>
      <w:r>
        <w:t xml:space="preserve">☐ GitHub repository public and citation-ready (</w:t>
      </w:r>
      <w:r>
        <w:rPr>
          <w:rStyle w:val="VerbatimChar"/>
        </w:rPr>
        <w:t xml:space="preserve">CITATION.cff</w:t>
      </w:r>
      <w:r>
        <w:t xml:space="preserve"> </w:t>
      </w:r>
      <w:r>
        <w:t xml:space="preserve">present)</w:t>
      </w:r>
    </w:p>
    <w:p>
      <w:pPr>
        <w:pStyle w:val="Compact"/>
        <w:numPr>
          <w:ilvl w:val="0"/>
          <w:numId w:val="1001"/>
        </w:numPr>
      </w:pPr>
      <w:r>
        <w:t xml:space="preserve">☐ Word count ≤ 15,000 (Original Research) including references and figure captions</w:t>
      </w:r>
    </w:p>
    <w:p>
      <w:pPr>
        <w:pStyle w:val="Compact"/>
        <w:numPr>
          <w:ilvl w:val="0"/>
          <w:numId w:val="1001"/>
        </w:numPr>
      </w:pPr>
      <w:r>
        <w:t xml:space="preserve">☐ Abstract ≤ 250 words</w:t>
      </w:r>
    </w:p>
    <w:p>
      <w:pPr>
        <w:pStyle w:val="Compact"/>
        <w:numPr>
          <w:ilvl w:val="0"/>
          <w:numId w:val="1001"/>
        </w:numPr>
      </w:pPr>
      <w:r>
        <w:t xml:space="preserve">☐ Highlights: exactly 3–5 bullets, each ≤ 85 characters</w:t>
      </w:r>
    </w:p>
    <w:p>
      <w:pPr>
        <w:pStyle w:val="Compact"/>
        <w:numPr>
          <w:ilvl w:val="0"/>
          <w:numId w:val="1001"/>
        </w:numPr>
      </w:pPr>
      <w:r>
        <w:t xml:space="preserve">☐ No line numbering in the manuscript</w:t>
      </w:r>
    </w:p>
    <w:p>
      <w:pPr>
        <w:pStyle w:val="Compact"/>
        <w:numPr>
          <w:ilvl w:val="0"/>
          <w:numId w:val="1001"/>
        </w:numPr>
      </w:pPr>
      <w:r>
        <w:t xml:space="preserve">☐ No PDF as the source file — submit Word</w:t>
      </w:r>
      <w:r>
        <w:t xml:space="preserve"> </w:t>
      </w:r>
      <w:r>
        <w:rPr>
          <w:rStyle w:val="VerbatimChar"/>
        </w:rPr>
        <w:t xml:space="preserve">.docx</w:t>
      </w:r>
    </w:p>
    <w:p>
      <w:r>
        <w:pict>
          <v:rect style="width:0;height:1.5pt" o:hralign="center" o:hrstd="t" o:hr="t"/>
        </w:pict>
      </w:r>
    </w:p>
    <w:bookmarkEnd w:id="21"/>
    <w:bookmarkStart w:id="30" w:name="editorial-manager-step-by-step"/>
    <w:p>
      <w:pPr>
        <w:pStyle w:val="Heading2"/>
      </w:pPr>
      <w:r>
        <w:t xml:space="preserve">Editorial Manager — step-by-step</w:t>
      </w:r>
    </w:p>
    <w:bookmarkStart w:id="22" w:name="step-1-article-type"/>
    <w:p>
      <w:pPr>
        <w:pStyle w:val="Heading3"/>
      </w:pPr>
      <w:r>
        <w:t xml:space="preserve">Step 1 — Article Type</w:t>
      </w:r>
    </w:p>
    <w:p>
      <w:pPr>
        <w:pStyle w:val="Compact"/>
        <w:numPr>
          <w:ilvl w:val="0"/>
          <w:numId w:val="1002"/>
        </w:numPr>
      </w:pPr>
      <w:r>
        <w:t xml:space="preserve">Select:</w:t>
      </w:r>
      <w:r>
        <w:t xml:space="preserve"> </w:t>
      </w:r>
      <w:r>
        <w:rPr>
          <w:b/>
          <w:bCs/>
        </w:rPr>
        <w:t xml:space="preserve">Original Research Article</w:t>
      </w:r>
    </w:p>
    <w:bookmarkEnd w:id="22"/>
    <w:bookmarkStart w:id="23" w:name="step-2-title-and-abstract"/>
    <w:p>
      <w:pPr>
        <w:pStyle w:val="Heading3"/>
      </w:pPr>
      <w:r>
        <w:t xml:space="preserve">Step 2 — Title and Abstract</w:t>
      </w:r>
    </w:p>
    <w:p>
      <w:pPr>
        <w:pStyle w:val="Compact"/>
        <w:numPr>
          <w:ilvl w:val="0"/>
          <w:numId w:val="1003"/>
        </w:numPr>
      </w:pPr>
      <w:r>
        <w:t xml:space="preserve">Title: Decoupling Cyclone-Induced Saline Inundation from Agronomic Flooding in Sentinel-1/2 Rice Phenology Retrieval: A Multi-Year Bay-of-Bengal Coastal Framework (2017–2024)</w:t>
      </w:r>
    </w:p>
    <w:p>
      <w:pPr>
        <w:pStyle w:val="Compact"/>
        <w:numPr>
          <w:ilvl w:val="0"/>
          <w:numId w:val="1003"/>
        </w:numPr>
      </w:pPr>
      <w:r>
        <w:t xml:space="preserve">Abstract: paste from manuscript (≤ 250 words)</w:t>
      </w:r>
    </w:p>
    <w:bookmarkEnd w:id="23"/>
    <w:bookmarkStart w:id="24" w:name="step-3-keywords"/>
    <w:p>
      <w:pPr>
        <w:pStyle w:val="Heading3"/>
      </w:pPr>
      <w:r>
        <w:t xml:space="preserve">Step 3 — Keywords</w:t>
      </w:r>
    </w:p>
    <w:p>
      <w:pPr>
        <w:pStyle w:val="Compact"/>
        <w:numPr>
          <w:ilvl w:val="0"/>
          <w:numId w:val="1004"/>
        </w:numPr>
      </w:pPr>
      <w:r>
        <w:t xml:space="preserve">6 keywords (no</w:t>
      </w:r>
      <w:r>
        <w:t xml:space="preserve"> </w:t>
      </w:r>
      <w:r>
        <w:t xml:space="preserve">“</w:t>
      </w:r>
      <w:r>
        <w:t xml:space="preserve">and</w:t>
      </w:r>
      <w:r>
        <w:t xml:space="preserve">”</w:t>
      </w:r>
      <w:r>
        <w:t xml:space="preserve">/</w:t>
      </w:r>
      <w:r>
        <w:t xml:space="preserve">“</w:t>
      </w:r>
      <w:r>
        <w:t xml:space="preserve">of</w:t>
      </w:r>
      <w:r>
        <w:t xml:space="preserve">”</w:t>
      </w:r>
      <w:r>
        <w:t xml:space="preserve">). Suggested:</w:t>
      </w:r>
    </w:p>
    <w:p>
      <w:pPr>
        <w:pStyle w:val="Compact"/>
        <w:numPr>
          <w:ilvl w:val="1"/>
          <w:numId w:val="1005"/>
        </w:numPr>
      </w:pPr>
      <w:r>
        <w:t xml:space="preserve">Sentinel-1</w:t>
      </w:r>
    </w:p>
    <w:p>
      <w:pPr>
        <w:pStyle w:val="Compact"/>
        <w:numPr>
          <w:ilvl w:val="1"/>
          <w:numId w:val="1005"/>
        </w:numPr>
      </w:pPr>
      <w:r>
        <w:t xml:space="preserve">Sentinel-2</w:t>
      </w:r>
    </w:p>
    <w:p>
      <w:pPr>
        <w:pStyle w:val="Compact"/>
        <w:numPr>
          <w:ilvl w:val="1"/>
          <w:numId w:val="1005"/>
        </w:numPr>
      </w:pPr>
      <w:r>
        <w:t xml:space="preserve">rice phenology</w:t>
      </w:r>
    </w:p>
    <w:p>
      <w:pPr>
        <w:pStyle w:val="Compact"/>
        <w:numPr>
          <w:ilvl w:val="1"/>
          <w:numId w:val="1005"/>
        </w:numPr>
      </w:pPr>
      <w:r>
        <w:t xml:space="preserve">tropical cyclone</w:t>
      </w:r>
    </w:p>
    <w:p>
      <w:pPr>
        <w:pStyle w:val="Compact"/>
        <w:numPr>
          <w:ilvl w:val="1"/>
          <w:numId w:val="1005"/>
        </w:numPr>
      </w:pPr>
      <w:r>
        <w:t xml:space="preserve">SAR-optical fusion</w:t>
      </w:r>
    </w:p>
    <w:p>
      <w:pPr>
        <w:pStyle w:val="Compact"/>
        <w:numPr>
          <w:ilvl w:val="1"/>
          <w:numId w:val="1005"/>
        </w:numPr>
      </w:pPr>
      <w:r>
        <w:t xml:space="preserve">BACI design</w:t>
      </w:r>
    </w:p>
    <w:bookmarkEnd w:id="24"/>
    <w:bookmarkStart w:id="25" w:name="step-4-authors"/>
    <w:p>
      <w:pPr>
        <w:pStyle w:val="Heading3"/>
      </w:pPr>
      <w:r>
        <w:t xml:space="preserve">Step 4 — Authors</w:t>
      </w:r>
    </w:p>
    <w:p>
      <w:pPr>
        <w:pStyle w:val="Compact"/>
        <w:numPr>
          <w:ilvl w:val="0"/>
          <w:numId w:val="1006"/>
        </w:numPr>
      </w:pPr>
      <w:r>
        <w:t xml:space="preserve">Add all authors in submission order</w:t>
      </w:r>
    </w:p>
    <w:p>
      <w:pPr>
        <w:pStyle w:val="Compact"/>
        <w:numPr>
          <w:ilvl w:val="0"/>
          <w:numId w:val="1006"/>
        </w:numPr>
      </w:pPr>
      <w:r>
        <w:t xml:space="preserve">Mark corresponding author</w:t>
      </w:r>
    </w:p>
    <w:p>
      <w:pPr>
        <w:pStyle w:val="Compact"/>
        <w:numPr>
          <w:ilvl w:val="0"/>
          <w:numId w:val="1006"/>
        </w:numPr>
      </w:pPr>
      <w:r>
        <w:t xml:space="preserve">Provide ORCID for each</w:t>
      </w:r>
    </w:p>
    <w:p>
      <w:pPr>
        <w:pStyle w:val="Compact"/>
        <w:numPr>
          <w:ilvl w:val="0"/>
          <w:numId w:val="1006"/>
        </w:numPr>
      </w:pPr>
      <w:r>
        <w:t xml:space="preserve">Affiliations with full postal address and country</w:t>
      </w:r>
    </w:p>
    <w:bookmarkEnd w:id="25"/>
    <w:bookmarkStart w:id="26" w:name="step-5-suggest-oppose-reviewers"/>
    <w:p>
      <w:pPr>
        <w:pStyle w:val="Heading3"/>
      </w:pPr>
      <w:r>
        <w:t xml:space="preserve">Step 5 — Suggest / Oppose Reviewers</w:t>
      </w:r>
    </w:p>
    <w:p>
      <w:pPr>
        <w:pStyle w:val="Compact"/>
        <w:numPr>
          <w:ilvl w:val="0"/>
          <w:numId w:val="1007"/>
        </w:numPr>
      </w:pPr>
      <w:r>
        <w:t xml:space="preserve">Suggest 3–5 reviewers (see cover letter)</w:t>
      </w:r>
    </w:p>
    <w:p>
      <w:pPr>
        <w:pStyle w:val="Compact"/>
        <w:numPr>
          <w:ilvl w:val="0"/>
          <w:numId w:val="1007"/>
        </w:numPr>
      </w:pPr>
      <w:r>
        <w:t xml:space="preserve">Optionally oppose specific individuals (use sparingly)</w:t>
      </w:r>
    </w:p>
    <w:bookmarkEnd w:id="26"/>
    <w:bookmarkStart w:id="27" w:name="step-6-additional-information"/>
    <w:p>
      <w:pPr>
        <w:pStyle w:val="Heading3"/>
      </w:pPr>
      <w:r>
        <w:t xml:space="preserve">Step 6 — Additional Information</w:t>
      </w:r>
    </w:p>
    <w:p>
      <w:pPr>
        <w:pStyle w:val="Compact"/>
        <w:numPr>
          <w:ilvl w:val="0"/>
          <w:numId w:val="1008"/>
        </w:numPr>
      </w:pPr>
      <w:r>
        <w:t xml:space="preserve">Funding source: see Funding Declaration</w:t>
      </w:r>
    </w:p>
    <w:p>
      <w:pPr>
        <w:pStyle w:val="Compact"/>
        <w:numPr>
          <w:ilvl w:val="0"/>
          <w:numId w:val="1008"/>
        </w:numPr>
      </w:pPr>
      <w:r>
        <w:t xml:space="preserve">Conflicts of interest: none</w:t>
      </w:r>
    </w:p>
    <w:p>
      <w:pPr>
        <w:pStyle w:val="Compact"/>
        <w:numPr>
          <w:ilvl w:val="0"/>
          <w:numId w:val="1008"/>
        </w:numPr>
      </w:pPr>
      <w:r>
        <w:t xml:space="preserve">Generative AI use: yes — see declaration in manuscript</w:t>
      </w:r>
    </w:p>
    <w:p>
      <w:pPr>
        <w:pStyle w:val="Compact"/>
        <w:numPr>
          <w:ilvl w:val="0"/>
          <w:numId w:val="1008"/>
        </w:numPr>
      </w:pPr>
      <w:r>
        <w:t xml:space="preserve">Preprint: optional. SSRN posting via the submission flow gets you a DOI immediately.</w:t>
      </w:r>
    </w:p>
    <w:p>
      <w:pPr>
        <w:pStyle w:val="Compact"/>
        <w:numPr>
          <w:ilvl w:val="0"/>
          <w:numId w:val="1008"/>
        </w:numPr>
      </w:pPr>
      <w:r>
        <w:t xml:space="preserve">Open access choice: the journal is hybrid; decide between subscription (no fee) and gold OA (~ USD 4,200).</w:t>
      </w:r>
    </w:p>
    <w:bookmarkEnd w:id="27"/>
    <w:bookmarkStart w:id="28" w:name="step-7-file-upload"/>
    <w:p>
      <w:pPr>
        <w:pStyle w:val="Heading3"/>
      </w:pPr>
      <w:r>
        <w:t xml:space="preserve">Step 7 — File Upload</w:t>
      </w:r>
    </w:p>
    <w:p>
      <w:pPr>
        <w:pStyle w:val="FirstParagraph"/>
      </w:pPr>
      <w:r>
        <w:t xml:space="preserve">Upload in this order, each as a separate file: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Cover_Letter.pdf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Manuscript.docx</w:t>
      </w:r>
      <w:r>
        <w:t xml:space="preserve"> </w:t>
      </w:r>
      <w:r>
        <w:t xml:space="preserve">— main file, single-column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Highlights.docx</w:t>
      </w:r>
      <w:r>
        <w:t xml:space="preserve"> </w:t>
      </w:r>
      <w:r>
        <w:t xml:space="preserve">— must include</w:t>
      </w:r>
      <w:r>
        <w:t xml:space="preserve"> </w:t>
      </w:r>
      <w:r>
        <w:t xml:space="preserve">“</w:t>
      </w:r>
      <w:r>
        <w:t xml:space="preserve">highlights</w:t>
      </w:r>
      <w:r>
        <w:t xml:space="preserve">”</w:t>
      </w:r>
      <w:r>
        <w:t xml:space="preserve"> </w:t>
      </w:r>
      <w:r>
        <w:t xml:space="preserve">in the filename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Graphical_Abstract.tiff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Figure_1.tiff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Figure_10.tiff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Table_1.docx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Table_3.docx</w:t>
      </w:r>
      <w:r>
        <w:t xml:space="preserve"> </w:t>
      </w:r>
      <w:r>
        <w:t xml:space="preserve">(or include in manuscript text)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Supplementary_Material.pdf</w:t>
      </w:r>
      <w:r>
        <w:t xml:space="preserve"> </w:t>
      </w:r>
      <w:r>
        <w:t xml:space="preserve">(if any)</w:t>
      </w:r>
    </w:p>
    <w:bookmarkEnd w:id="28"/>
    <w:bookmarkStart w:id="29" w:name="step-8-review-and-approve"/>
    <w:p>
      <w:pPr>
        <w:pStyle w:val="Heading3"/>
      </w:pPr>
      <w:r>
        <w:t xml:space="preserve">Step 8 — Review and Approve</w:t>
      </w:r>
    </w:p>
    <w:p>
      <w:pPr>
        <w:pStyle w:val="Compact"/>
        <w:numPr>
          <w:ilvl w:val="0"/>
          <w:numId w:val="1010"/>
        </w:numPr>
      </w:pPr>
      <w:r>
        <w:t xml:space="preserve">Generate the system PDF (combined for reviewers)</w:t>
      </w:r>
    </w:p>
    <w:p>
      <w:pPr>
        <w:pStyle w:val="Compact"/>
        <w:numPr>
          <w:ilvl w:val="0"/>
          <w:numId w:val="1010"/>
        </w:numPr>
      </w:pPr>
      <w:r>
        <w:t xml:space="preserve">Verify: figures render, tables format correctly, no broken DOI links</w:t>
      </w:r>
    </w:p>
    <w:p>
      <w:pPr>
        <w:pStyle w:val="Compact"/>
        <w:numPr>
          <w:ilvl w:val="0"/>
          <w:numId w:val="1010"/>
        </w:numPr>
      </w:pPr>
      <w:r>
        <w:t xml:space="preserve">Approve and submit</w:t>
      </w:r>
    </w:p>
    <w:p>
      <w:pPr>
        <w:pStyle w:val="Compact"/>
        <w:numPr>
          <w:ilvl w:val="0"/>
          <w:numId w:val="1010"/>
        </w:numPr>
      </w:pPr>
      <w:r>
        <w:t xml:space="preserve">Save the submission ID number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ost-submission"/>
    <w:p>
      <w:pPr>
        <w:pStyle w:val="Heading2"/>
      </w:pPr>
      <w:r>
        <w:t xml:space="preserve">Post-submission</w:t>
      </w:r>
    </w:p>
    <w:p>
      <w:pPr>
        <w:pStyle w:val="Compact"/>
        <w:numPr>
          <w:ilvl w:val="0"/>
          <w:numId w:val="1011"/>
        </w:numPr>
      </w:pPr>
      <w:r>
        <w:t xml:space="preserve">☐ Save the submission confirmation email</w:t>
      </w:r>
    </w:p>
    <w:p>
      <w:pPr>
        <w:pStyle w:val="Compact"/>
        <w:numPr>
          <w:ilvl w:val="0"/>
          <w:numId w:val="1011"/>
        </w:numPr>
      </w:pPr>
      <w:r>
        <w:t xml:space="preserve">☐ Mendeley Data deposit completed; DOI matches manuscript</w:t>
      </w:r>
    </w:p>
    <w:p>
      <w:pPr>
        <w:pStyle w:val="Compact"/>
        <w:numPr>
          <w:ilvl w:val="0"/>
          <w:numId w:val="1011"/>
        </w:numPr>
      </w:pPr>
      <w:r>
        <w:t xml:space="preserve">☐ Update OSF page with</w:t>
      </w:r>
      <w:r>
        <w:t xml:space="preserve"> </w:t>
      </w:r>
      <w:r>
        <w:t xml:space="preserve">“</w:t>
      </w:r>
      <w:r>
        <w:t xml:space="preserve">submitted to RSE on [date]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☐ Tag the GitHub release as</w:t>
      </w:r>
      <w:r>
        <w:t xml:space="preserve"> </w:t>
      </w:r>
      <w:r>
        <w:rPr>
          <w:rStyle w:val="VerbatimChar"/>
        </w:rPr>
        <w:t xml:space="preserve">v1.0-submission</w:t>
      </w:r>
    </w:p>
    <w:p>
      <w:pPr>
        <w:pStyle w:val="Compact"/>
        <w:numPr>
          <w:ilvl w:val="0"/>
          <w:numId w:val="1011"/>
        </w:numPr>
      </w:pPr>
      <w:r>
        <w:t xml:space="preserve">☐ If posting on SSRN: download the SSRN preprint DOI and add to your CV</w:t>
      </w:r>
    </w:p>
    <w:p>
      <w:pPr>
        <w:pStyle w:val="Compact"/>
        <w:numPr>
          <w:ilvl w:val="0"/>
          <w:numId w:val="1011"/>
        </w:numPr>
      </w:pPr>
      <w:r>
        <w:t xml:space="preserve">☐ Set a reminder for 6 weeks: if no decision, polite query to the editorial office</w:t>
      </w:r>
    </w:p>
    <w:p>
      <w:pPr>
        <w:pStyle w:val="Compact"/>
        <w:numPr>
          <w:ilvl w:val="0"/>
          <w:numId w:val="1011"/>
        </w:numPr>
      </w:pPr>
      <w:r>
        <w:t xml:space="preserve">☐ Set a reminder for 12 weeks: escalate if no decision</w:t>
      </w:r>
    </w:p>
    <w:p>
      <w:r>
        <w:pict>
          <v:rect style="width:0;height:1.5pt" o:hralign="center" o:hrstd="t" o:hr="t"/>
        </w:pict>
      </w:r>
    </w:p>
    <w:bookmarkEnd w:id="31"/>
    <w:bookmarkStart w:id="32" w:name="after-first-decision"/>
    <w:p>
      <w:pPr>
        <w:pStyle w:val="Heading2"/>
      </w:pPr>
      <w:r>
        <w:t xml:space="preserve">After first decision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(rare on first 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Celebrate, then complete proofs and copyright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4-week response window typical; address every reviewer point in a point-by-point response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8-week window typical; rerun analyses if requested; track changes in manuscript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 and resubmit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as a new submission; address concerns and resubmit with cover letter referencing the previous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 without resubmission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Article Transfer Service to</w:t>
            </w:r>
            <w:r>
              <w:t xml:space="preserve"> </w:t>
            </w:r>
            <w:r>
              <w:rPr>
                <w:b/>
                <w:bCs/>
              </w:rPr>
              <w:t xml:space="preserve">JAG</w:t>
            </w:r>
            <w:r>
              <w:t xml:space="preserve"> </w:t>
            </w:r>
            <w:r>
              <w:t xml:space="preserve">(Int’l J. Applied Earth Observation and Geoinformation), which keeps reviewer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Desk-reject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directly to JAG via Article Transfer; no time lost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editorialmanager.com/RS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editorialmanager.com/RS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2026-05-02T11:03:23Z</dcterms:created>
  <dcterms:modified xsi:type="dcterms:W3CDTF">2026-05-02T11:03:23Z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