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Rule="auto" w:line="480"/>
        <w:jc w:val="left"/>
      </w:pPr>
      <w:r>
        <w:rPr>
          <w:rFonts w:ascii="Arial" w:hAnsi="Arial"/>
          <w:b/>
          <w:color w:val="1F3A5F"/>
          <w:sz w:val="52"/>
        </w:rPr>
        <w:t>Supplementary Material</w:t>
      </w:r>
    </w:p>
    <w:p>
      <w:pPr>
        <w:spacing w:before="160" w:lineRule="auto" w:line="480"/>
        <w:jc w:val="left"/>
      </w:pPr>
      <w:r>
        <w:rPr>
          <w:rFonts w:ascii="Arial" w:hAnsi="Arial"/>
          <w:i/>
          <w:color w:val="404040"/>
          <w:sz w:val="28"/>
        </w:rPr>
        <w:t>Cyclonic damage to coastal Odisha rice systems:</w:t>
        <w:br/>
        <w:t>a Sentinel-driven Before–After / Control–Impact (BACI) design with pre-registered identification</w:t>
      </w:r>
    </w:p>
    <w:p>
      <w:pPr>
        <w:spacing w:before="800" w:lineRule="auto" w:line="480"/>
        <w:jc w:val="left"/>
      </w:pPr>
      <w:r>
        <w:rPr>
          <w:rFonts w:ascii="Arial" w:hAnsi="Arial"/>
          <w:b/>
          <w:sz w:val="24"/>
        </w:rPr>
        <w:t>Supranab Panda</w:t>
      </w:r>
      <w:r>
        <w:rPr>
          <w:rFonts w:ascii="Arial" w:hAnsi="Arial"/>
          <w:sz w:val="20"/>
        </w:rPr>
        <w:br/>
      </w:r>
      <w:r>
        <w:rPr>
          <w:rFonts w:ascii="Arial" w:hAnsi="Arial"/>
          <w:sz w:val="20"/>
        </w:rPr>
        <w:t>ORCID 0009-0009-6496-6545</w:t>
      </w:r>
      <w:r>
        <w:rPr>
          <w:rFonts w:ascii="Arial" w:hAnsi="Arial"/>
          <w:sz w:val="20"/>
        </w:rPr>
        <w:br/>
      </w:r>
      <w:r>
        <w:rPr>
          <w:rFonts w:ascii="Arial" w:hAnsi="Arial"/>
          <w:sz w:val="20"/>
        </w:rPr>
        <w:t>Corresponding author: pandasupranab@gmail.com</w:t>
      </w:r>
    </w:p>
    <w:p>
      <w:pPr>
        <w:spacing w:before="800" w:lineRule="auto" w:line="480"/>
        <w:jc w:val="left"/>
      </w:pPr>
      <w:r>
        <w:rPr>
          <w:rFonts w:ascii="Arial" w:hAnsi="Arial"/>
          <w:sz w:val="20"/>
        </w:rPr>
        <w:t>Pre-registration: OSF c4mp8 (DOI 10.17605/OSF.IO/C4MP8)</w:t>
        <w:br/>
        <w:t>Code: github.com/pandasupranab/RiceBaCI-GEE (release v1.0.1-submission)</w:t>
        <w:br/>
        <w:t>Concept DOI: 10.5281/zenodo.20024578; v1.0.1-submission DOI: 10.5281/zenodo.20585636</w:t>
        <w:br/>
        <w:t>Compiled: 2026-06-08</w:t>
        <w:br/>
      </w:r>
    </w:p>
    <w:p>
      <w:pPr>
        <w:spacing w:lineRule="auto" w:line="480"/>
        <w:jc w:val="left"/>
      </w:pPr>
      <w:r>
        <w:rPr>
          <w:rFonts w:ascii="Arial" w:hAnsi="Arial"/>
          <w:sz w:val="20"/>
        </w:rPr>
        <w:br w:type="page"/>
      </w:r>
    </w:p>
    <w:p>
      <w:pPr>
        <w:keepNext/>
        <w:spacing w:before="240" w:after="120" w:lineRule="auto" w:line="480"/>
        <w:jc w:val="left"/>
      </w:pPr>
      <w:bookmarkStart w:id="26444" w:name="provenance"/>
      <w:r>
        <w:rPr>
          <w:rFonts w:ascii="Arial" w:hAnsi="Arial"/>
          <w:b/>
          <w:color w:val="A12C7B"/>
          <w:sz w:val="32"/>
        </w:rPr>
        <w:t>Data provenance declaration</w:t>
      </w:r>
      <w:bookmarkEnd w:id="26444"/>
    </w:p>
    <w:p>
      <w:pPr>
        <w:spacing w:lineRule="auto" w:line="480"/>
        <w:jc w:val="both"/>
      </w:pPr>
      <w:r>
        <w:rPr>
          <w:rFonts w:ascii="Arial" w:hAnsi="Arial"/>
          <w:sz w:val="20"/>
        </w:rPr>
        <w:t>This supplement is built as part of an active reproducibility protocol. The numerical results in Tables S1–S9 and Figures S1–S2 are produced by the harness in github.com/pandasupranab/RiceBaCI-GEE under release v1.0.1-submission. As of this build date (2026-05-05) the repository is running on:</w:t>
      </w:r>
    </w:p>
    <w:p>
      <w:pPr>
        <w:pStyle w:val="ListBullet"/>
        <w:spacing w:lineRule="auto" w:line="480"/>
        <w:jc w:val="both"/>
      </w:pPr>
      <w:r>
        <w:rPr>
          <w:rFonts w:ascii="Arial" w:hAnsi="Arial"/>
          <w:sz w:val="20"/>
        </w:rPr>
        <w:t>Synthetic BACI panel (analysis/synthetic_baci_panel.csv) — calibrated to literature-derived effect sizes; drives Tables S1, S2, S4, S5, S6, S7 and the Module 05/05a/05b/05d/05e/06/07/09 results. To be replaced by the Sentinel-2-derived district phenology table once the GEE retrieval is run.</w:t>
      </w:r>
    </w:p>
    <w:p>
      <w:pPr>
        <w:pStyle w:val="ListBullet"/>
        <w:spacing w:lineRule="auto" w:line="480"/>
        <w:jc w:val="both"/>
      </w:pPr>
      <w:r>
        <w:rPr>
          <w:rFonts w:ascii="Arial" w:hAnsi="Arial"/>
          <w:sz w:val="20"/>
        </w:rPr>
        <w:t>Real cyclone metadata (IMD/IBTrACS) — Fani 2019, Amphan 2020, Yaas 2021, Bulbul 2019 landfall parameters and the 1981–2018 reference distribution in Module 11. Embedded from public best-track records; Table S8 / Figure S1.</w:t>
      </w:r>
    </w:p>
    <w:p>
      <w:pPr>
        <w:pStyle w:val="ListBullet"/>
        <w:spacing w:lineRule="auto" w:line="480"/>
        <w:jc w:val="both"/>
      </w:pPr>
      <w:r>
        <w:rPr>
          <w:rFonts w:ascii="Arial" w:hAnsi="Arial"/>
          <w:sz w:val="20"/>
        </w:rPr>
        <w:t>Literature-calibrated canonical Sentinel-1 backscatter signatures (Module 12), rebuilt from direct measurement of the v0.3.0 classifier-labelled Sentinel-1 IW GRD time-series and anchored to Hoshikawa 2023, Wali 2020, Filipponi 2019, Konkathi 2024, Lee &amp; Pottier 2009. Reported in Table S9 and Figure S2.</w:t>
      </w:r>
    </w:p>
    <w:p>
      <w:pPr>
        <w:pStyle w:val="ListBullet"/>
        <w:spacing w:lineRule="auto" w:line="480"/>
        <w:jc w:val="both"/>
      </w:pPr>
      <w:r>
        <w:rPr>
          <w:rFonts w:ascii="Arial" w:hAnsi="Arial"/>
          <w:sz w:val="20"/>
        </w:rPr>
        <w:t>Module 02 random-forest classifier diagnostics, including the v0.3.0 retrained model performance and per-feature importance, are reported in Table S5 and the model card (RF_Model_Card_v0.3.0.json in the GitHub release).</w:t>
      </w:r>
    </w:p>
    <w:p>
      <w:pPr>
        <w:spacing w:lineRule="auto" w:line="480"/>
        <w:jc w:val="both"/>
      </w:pPr>
      <w:r>
        <w:rPr>
          <w:rFonts w:ascii="Arial" w:hAnsi="Arial"/>
          <w:i/>
          <w:sz w:val="20"/>
        </w:rPr>
        <w:t>All structural claims (study design, identification strategy, falsifiability conditions, mechanism physics, climatological framing, code organisation) are unchanged from the pre-registered design and have been preserved across all numerical updates. The empirical values reported here correspond to the v1.0.1-submission release with the v0.3.0 classifier. No modelling decision in this document is post-hoc to the data.</w:t>
      </w:r>
    </w:p>
    <w:p>
      <w:pPr>
        <w:spacing w:lineRule="auto" w:line="480"/>
        <w:jc w:val="left"/>
      </w:pPr>
      <w:r>
        <w:rPr>
          <w:rFonts w:ascii="Arial" w:hAnsi="Arial"/>
          <w:sz w:val="20"/>
        </w:rPr>
        <w:br w:type="page"/>
      </w:r>
    </w:p>
    <w:p>
      <w:pPr>
        <w:keepNext/>
        <w:spacing w:before="240" w:after="120" w:lineRule="auto" w:line="480"/>
        <w:jc w:val="left"/>
      </w:pPr>
      <w:bookmarkStart w:id="30271" w:name="toc"/>
      <w:r>
        <w:rPr>
          <w:rFonts w:ascii="Arial" w:hAnsi="Arial"/>
          <w:b/>
          <w:color w:val="141414"/>
          <w:sz w:val="32"/>
        </w:rPr>
        <w:t>Contents</w:t>
      </w:r>
      <w:bookmarkEnd w:id="30271"/>
    </w:p>
    <w:p>
      <w:pPr>
        <w:tabs>
          <w:tab w:pos="2268" w:val="left"/>
        </w:tabs>
        <w:spacing w:after="40" w:lineRule="auto" w:line="480"/>
        <w:jc w:val="left"/>
      </w:pPr>
      <w:r>
        <w:rPr>
          <w:rFonts w:ascii="Arial" w:hAnsi="Arial"/>
          <w:b/>
          <w:sz w:val="20"/>
        </w:rPr>
        <w:t>Note S1</w:t>
      </w:r>
      <w:r>
        <w:rPr>
          <w:rFonts w:ascii="Arial" w:hAnsi="Arial"/>
          <w:sz w:val="20"/>
        </w:rPr>
        <w:tab/>
        <w:t>Bulbul (2019) transferability probe</w:t>
      </w:r>
    </w:p>
    <w:p>
      <w:pPr>
        <w:tabs>
          <w:tab w:pos="2268" w:val="left"/>
        </w:tabs>
        <w:spacing w:after="40" w:lineRule="auto" w:line="480"/>
        <w:jc w:val="left"/>
      </w:pPr>
      <w:r>
        <w:rPr>
          <w:rFonts w:ascii="Arial" w:hAnsi="Arial"/>
          <w:b/>
          <w:sz w:val="20"/>
        </w:rPr>
        <w:t>Note S2</w:t>
      </w:r>
      <w:r>
        <w:rPr>
          <w:rFonts w:ascii="Arial" w:hAnsi="Arial"/>
          <w:sz w:val="20"/>
        </w:rPr>
        <w:tab/>
        <w:t>Pre-Kharif Bay-of-Bengal cyclone climatology</w:t>
      </w:r>
    </w:p>
    <w:p>
      <w:pPr>
        <w:tabs>
          <w:tab w:pos="2268" w:val="left"/>
        </w:tabs>
        <w:spacing w:after="40" w:lineRule="auto" w:line="480"/>
        <w:jc w:val="left"/>
      </w:pPr>
      <w:r>
        <w:rPr>
          <w:rFonts w:ascii="Arial" w:hAnsi="Arial"/>
          <w:b/>
          <w:sz w:val="20"/>
        </w:rPr>
        <w:t>Note S3</w:t>
      </w:r>
      <w:r>
        <w:rPr>
          <w:rFonts w:ascii="Arial" w:hAnsi="Arial"/>
          <w:sz w:val="20"/>
        </w:rPr>
        <w:tab/>
        <w:t>Sentinel-1 dual-polarisation backscatter signatures</w:t>
      </w:r>
    </w:p>
    <w:p>
      <w:pPr>
        <w:tabs>
          <w:tab w:pos="2268" w:val="left"/>
        </w:tabs>
        <w:spacing w:after="40" w:line="276" w:lineRule="auto"/>
        <w:jc w:val="both"/>
      </w:pPr>
      <w:r>
        <w:rPr>
          <w:rFonts w:ascii="Arial" w:hAnsi="Arial"/>
          <w:b/>
          <w:sz w:val="20"/>
        </w:rPr>
        <w:t>Table S1</w:t>
      </w:r>
      <w:r>
        <w:rPr>
          <w:rFonts w:ascii="Arial" w:hAnsi="Arial"/>
          <w:sz w:val="20"/>
        </w:rPr>
        <w:tab/>
        <w:t>Static TWFE-DiD point estimates (SOS, POS, EOS)</w:t>
      </w:r>
    </w:p>
    <w:p>
      <w:pPr>
        <w:tabs>
          <w:tab w:pos="2268" w:val="left"/>
        </w:tabs>
        <w:spacing w:after="40" w:line="276" w:lineRule="auto"/>
        <w:jc w:val="both"/>
      </w:pPr>
      <w:r>
        <w:rPr>
          <w:rFonts w:ascii="Arial" w:hAnsi="Arial"/>
          <w:b/>
          <w:sz w:val="20"/>
        </w:rPr>
        <w:t>Table S2</w:t>
      </w:r>
      <w:r>
        <w:rPr>
          <w:rFonts w:ascii="Arial" w:hAnsi="Arial"/>
          <w:sz w:val="20"/>
        </w:rPr>
        <w:tab/>
        <w:t>Pre-trend tests on the BACI panel</w:t>
      </w:r>
    </w:p>
    <w:p>
      <w:pPr>
        <w:tabs>
          <w:tab w:pos="2268" w:val="left"/>
        </w:tabs>
        <w:spacing w:after="40" w:line="276" w:lineRule="auto"/>
        <w:jc w:val="both"/>
      </w:pPr>
      <w:r>
        <w:rPr>
          <w:rFonts w:ascii="Arial" w:hAnsi="Arial"/>
          <w:b/>
          <w:sz w:val="20"/>
        </w:rPr>
        <w:t>Table S3</w:t>
      </w:r>
      <w:r>
        <w:rPr>
          <w:rFonts w:ascii="Arial" w:hAnsi="Arial"/>
          <w:sz w:val="20"/>
        </w:rPr>
        <w:tab/>
        <w:t>Bulbul transferability — district-level residuals</w:t>
      </w:r>
    </w:p>
    <w:p>
      <w:pPr>
        <w:tabs>
          <w:tab w:pos="2268" w:val="left"/>
        </w:tabs>
        <w:spacing w:after="40" w:line="276" w:lineRule="auto"/>
        <w:jc w:val="both"/>
      </w:pPr>
      <w:r>
        <w:rPr>
          <w:rFonts w:ascii="Arial" w:hAnsi="Arial"/>
          <w:b/>
          <w:sz w:val="20"/>
        </w:rPr>
        <w:t>Table S4</w:t>
      </w:r>
      <w:r>
        <w:rPr>
          <w:rFonts w:ascii="Arial" w:hAnsi="Arial"/>
          <w:sz w:val="20"/>
        </w:rPr>
        <w:tab/>
        <w:t>Wild-cluster bootstrap 95% CIs (G = 8)</w:t>
      </w:r>
    </w:p>
    <w:p>
      <w:pPr>
        <w:tabs>
          <w:tab w:pos="2268" w:val="left"/>
        </w:tabs>
        <w:spacing w:after="40" w:line="276" w:lineRule="auto"/>
        <w:jc w:val="both"/>
      </w:pPr>
      <w:r>
        <w:rPr>
          <w:rFonts w:ascii="Arial" w:hAnsi="Arial"/>
          <w:b/>
          <w:sz w:val="20"/>
        </w:rPr>
        <w:t>Table S5</w:t>
      </w:r>
      <w:r>
        <w:rPr>
          <w:rFonts w:ascii="Arial" w:hAnsi="Arial"/>
          <w:sz w:val="20"/>
        </w:rPr>
        <w:tab/>
        <w:t>Jackknife leave-one-out (district + year)</w:t>
      </w:r>
    </w:p>
    <w:p>
      <w:pPr>
        <w:tabs>
          <w:tab w:pos="2268" w:val="left"/>
        </w:tabs>
        <w:spacing w:after="40" w:line="276" w:lineRule="auto"/>
        <w:jc w:val="both"/>
      </w:pPr>
      <w:r>
        <w:rPr>
          <w:rFonts w:ascii="Arial" w:hAnsi="Arial"/>
          <w:b/>
          <w:sz w:val="20"/>
        </w:rPr>
        <w:t>Table S6</w:t>
      </w:r>
      <w:r>
        <w:rPr>
          <w:rFonts w:ascii="Arial" w:hAnsi="Arial"/>
          <w:sz w:val="20"/>
        </w:rPr>
        <w:tab/>
        <w:t>MDE and power curves at G = 8</w:t>
      </w:r>
    </w:p>
    <w:p>
      <w:pPr>
        <w:tabs>
          <w:tab w:pos="2268" w:val="left"/>
        </w:tabs>
        <w:spacing w:after="40" w:line="276" w:lineRule="auto"/>
        <w:jc w:val="both"/>
      </w:pPr>
      <w:r>
        <w:rPr>
          <w:rFonts w:ascii="Arial" w:hAnsi="Arial"/>
          <w:b/>
          <w:sz w:val="20"/>
        </w:rPr>
        <w:t>Table S7</w:t>
      </w:r>
      <w:r>
        <w:rPr>
          <w:rFonts w:ascii="Arial" w:hAnsi="Arial"/>
          <w:sz w:val="20"/>
        </w:rPr>
        <w:tab/>
        <w:t>Placebo / falsification permutation tests</w:t>
      </w:r>
    </w:p>
    <w:p>
      <w:pPr>
        <w:tabs>
          <w:tab w:pos="2268" w:val="left"/>
        </w:tabs>
        <w:spacing w:after="40" w:line="276" w:lineRule="auto"/>
        <w:jc w:val="both"/>
      </w:pPr>
      <w:r>
        <w:rPr>
          <w:rFonts w:ascii="Arial" w:hAnsi="Arial"/>
          <w:b/>
          <w:sz w:val="20"/>
        </w:rPr>
        <w:t>Table S8</w:t>
      </w:r>
      <w:r>
        <w:rPr>
          <w:rFonts w:ascii="Arial" w:hAnsi="Arial"/>
          <w:sz w:val="20"/>
        </w:rPr>
        <w:tab/>
        <w:t>Pre-Kharif cyclone climatology — per-storm percentiles</w:t>
      </w:r>
    </w:p>
    <w:p>
      <w:pPr>
        <w:tabs>
          <w:tab w:pos="2268" w:val="left"/>
        </w:tabs>
        <w:spacing w:after="40" w:line="276" w:lineRule="auto"/>
        <w:jc w:val="both"/>
      </w:pPr>
      <w:r>
        <w:rPr>
          <w:rFonts w:ascii="Arial" w:hAnsi="Arial"/>
          <w:b/>
          <w:sz w:val="20"/>
        </w:rPr>
        <w:t>Table S9</w:t>
      </w:r>
      <w:r>
        <w:rPr>
          <w:rFonts w:ascii="Arial" w:hAnsi="Arial"/>
          <w:sz w:val="20"/>
        </w:rPr>
        <w:tab/>
        <w:t>Canonical Sentinel-1 dual-pol backscatter features</w:t>
      </w:r>
    </w:p>
    <w:p>
      <w:pPr>
        <w:tabs>
          <w:tab w:pos="2268" w:val="left"/>
        </w:tabs>
        <w:spacing w:after="40" w:line="276" w:lineRule="auto"/>
        <w:jc w:val="both"/>
      </w:pPr>
      <w:r>
        <w:rPr>
          <w:rFonts w:ascii="Arial" w:hAnsi="Arial"/>
          <w:b/>
          <w:sz w:val="20"/>
        </w:rPr>
        <w:t>Table S10	MCD12Q2 per-district reconciliation</w:t>
      </w:r>
    </w:p>
    <w:p>
      <w:pPr>
        <w:tabs>
          <w:tab w:pos="2268" w:val="left"/>
        </w:tabs>
        <w:spacing w:after="40" w:line="276" w:lineRule="auto"/>
        <w:jc w:val="both"/>
      </w:pPr>
      <w:r>
        <w:rPr>
          <w:rFonts w:ascii="Arial" w:hAnsi="Arial"/>
          <w:b/>
          <w:sz w:val="20"/>
        </w:rPr>
        <w:t>Table S11	ICRISAT VDSA Bhadrak reconciliation</w:t>
      </w:r>
    </w:p>
    <w:p>
      <w:pPr>
        <w:tabs>
          <w:tab w:pos="2268" w:val="left"/>
        </w:tabs>
        <w:spacing w:after="40" w:line="276" w:lineRule="auto"/>
        <w:jc w:val="both"/>
      </w:pPr>
      <w:r>
        <w:rPr>
          <w:rFonts w:ascii="Arial" w:hAnsi="Arial"/>
          <w:b/>
          <w:sz w:val="20"/>
        </w:rPr>
        <w:t>Table S12	District yield-anomaly correlation cross-check</w:t>
      </w:r>
    </w:p>
    <w:p>
      <w:pPr>
        <w:tabs>
          <w:tab w:pos="2268" w:val="left"/>
        </w:tabs>
        <w:spacing w:after="40" w:line="276" w:lineRule="auto"/>
        <w:jc w:val="both"/>
      </w:pPr>
      <w:r>
        <w:rPr>
          <w:rFonts w:ascii="Arial" w:hAnsi="Arial"/>
          <w:b/>
          <w:sz w:val="20"/>
        </w:rPr>
        <w:t>Table S13a	Odisha per-district cyclone-flood pixel share</w:t>
      </w:r>
    </w:p>
    <w:p>
      <w:pPr>
        <w:tabs>
          <w:tab w:pos="2268" w:val="left"/>
        </w:tabs>
        <w:spacing w:after="40" w:line="276" w:lineRule="auto"/>
        <w:jc w:val="both"/>
      </w:pPr>
      <w:r>
        <w:rPr>
          <w:rFonts w:ascii="Arial" w:hAnsi="Arial"/>
          <w:b/>
          <w:sz w:val="20"/>
        </w:rPr>
        <w:t>Table S13b	Hudhud (Andhra Pradesh) transferability</w:t>
      </w:r>
    </w:p>
    <w:p>
      <w:pPr>
        <w:tabs>
          <w:tab w:pos="2268" w:val="left"/>
        </w:tabs>
        <w:spacing w:after="40" w:line="276" w:lineRule="auto"/>
        <w:jc w:val="both"/>
      </w:pPr>
      <w:r>
        <w:rPr>
          <w:rFonts w:ascii="Arial" w:hAnsi="Arial"/>
          <w:b/>
          <w:sz w:val="20"/>
        </w:rPr>
        <w:t>Figure S1</w:t>
      </w:r>
      <w:r>
        <w:rPr>
          <w:rFonts w:ascii="Arial" w:hAnsi="Arial"/>
          <w:sz w:val="20"/>
        </w:rPr>
        <w:tab/>
        <w:t>Pre-Kharif cyclone climatology — track + intensity-vs-DOY</w:t>
      </w:r>
    </w:p>
    <w:p>
      <w:pPr>
        <w:tabs>
          <w:tab w:pos="2268" w:val="left"/>
        </w:tabs>
        <w:spacing w:after="40" w:line="276" w:lineRule="auto"/>
        <w:jc w:val="both"/>
      </w:pPr>
      <w:r>
        <w:rPr>
          <w:rFonts w:ascii="Arial" w:hAnsi="Arial"/>
          <w:b/>
          <w:sz w:val="20"/>
        </w:rPr>
        <w:t>Figure S2</w:t>
      </w:r>
      <w:r>
        <w:rPr>
          <w:rFonts w:ascii="Arial" w:hAnsi="Arial"/>
          <w:sz w:val="20"/>
        </w:rPr>
        <w:tab/>
        <w:t>Canonical backscatter signatures — VH/VV/CR vs DOY</w:t>
      </w:r>
    </w:p>
    <w:p>
      <w:pPr>
        <w:spacing w:lineRule="auto" w:line="480"/>
        <w:jc w:val="left"/>
      </w:pPr>
      <w:r>
        <w:rPr>
          <w:rFonts w:ascii="Arial" w:hAnsi="Arial"/>
          <w:sz w:val="20"/>
        </w:rPr>
        <w:br w:type="page"/>
      </w:r>
    </w:p>
    <w:p>
      <w:pPr>
        <w:keepNext/>
        <w:spacing w:before="240" w:after="120" w:lineRule="auto" w:line="480"/>
        <w:jc w:val="left"/>
      </w:pPr>
      <w:bookmarkStart w:id="3655" w:name="note_s1"/>
      <w:r>
        <w:rPr>
          <w:rFonts w:ascii="Arial" w:hAnsi="Arial"/>
          <w:b/>
          <w:color w:val="1F3A5F"/>
          <w:sz w:val="32"/>
        </w:rPr>
        <w:t>Note S1 — Bulbul (2019) transferability probe</w:t>
      </w:r>
      <w:bookmarkEnd w:id="3655"/>
    </w:p>
    <w:bookmarkStart w:id="31" w:name="X4c77ddbcd03ac00f69e68661e5eb39a4c24f13a"/>
    <w:p>
      <w:pPr>
        <w:pStyle w:val="Heading1"/>
        <w:spacing w:lineRule="auto" w:line="360"/>
      </w:pPr>
      <w:r>
        <w:rPr>
          <w:rFonts w:ascii="Arial" w:hAnsi="Arial"/>
        </w:rPr>
        <w:t xml:space="preserve">Supplementary Note S1 — Out-of-sample transferability to a different cyclone class: the Cyclone Bulbul probe</w:t>
      </w:r>
    </w:p>
    <w:p>
      <w:pPr>
        <w:pStyle w:val="FirstParagraph"/>
        <w:spacing w:lineRule="auto" w:line="480"/>
        <w:jc w:val="both"/>
      </w:pPr>
      <w:r>
        <w:rPr>
          <w:rFonts w:ascii="Arial" w:hAnsi="Arial"/>
          <w:b/>
          <w:bCs/>
          <w:sz w:val="20"/>
        </w:rPr>
        <w:t xml:space="preserve">Companion to:</w:t>
      </w:r>
      <w:r>
        <w:rPr>
          <w:rFonts w:ascii="Arial" w:hAnsi="Arial"/>
          <w:sz w:val="20"/>
        </w:rPr>
        <w:t xml:space="preserve"> </w:t>
      </w:r>
      <w:r>
        <w:rPr>
          <w:rFonts w:ascii="Arial" w:hAnsi="Arial"/>
          <w:sz w:val="20"/>
        </w:rPr>
        <w:t xml:space="preserve">Methods §3.7.2 of the main manuscript (</w:t>
      </w:r>
      <w:r>
        <w:rPr>
          <w:rFonts w:ascii="Arial" w:hAnsi="Arial"/>
          <w:i/>
          <w:iCs/>
          <w:sz w:val="20"/>
        </w:rPr>
        <w:t xml:space="preserve">Decoupling Cyclone-Induced Saline Inundation from Agronomic Flooding in Sentinel-1/2 Rice Phenology Retrieval</w:t>
      </w:r>
      <w:r>
        <w:rPr>
          <w:rFonts w:ascii="Arial" w:hAnsi="Arial"/>
          <w:sz w:val="20"/>
        </w:rPr>
        <w:t xml:space="preserve">).</w:t>
      </w:r>
    </w:p>
    <w:p>
      <w:pPr>
        <w:pStyle w:val="BodyText"/>
        <w:spacing w:lineRule="auto" w:line="480"/>
        <w:jc w:val="both"/>
      </w:pPr>
      <w:r>
        <w:rPr>
          <w:rFonts w:ascii="Arial" w:hAnsi="Arial"/>
          <w:b/>
          <w:bCs/>
          <w:sz w:val="20"/>
        </w:rPr>
        <w:t xml:space="preserve">Module:</w:t>
      </w:r>
      <w:r>
        <w:rPr>
          <w:rFonts w:ascii="Arial" w:hAnsi="Arial"/>
          <w:sz w:val="20"/>
        </w:rPr>
        <w:t xml:space="preserve"> </w:t>
      </w:r>
      <w:r>
        <w:rPr>
          <w:rStyle w:val="VerbatimChar"/>
          <w:rFonts w:ascii="Arial" w:hAnsi="Arial"/>
          <w:sz w:val="20"/>
        </w:rPr>
        <w:t xml:space="preserve">analysis/05b_bulbul_transferability.py</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analysis/results/bulbul_transferability.csv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manuscript/supplement/Table_S3_bulbul_transferability.docx</w:t>
      </w:r>
      <w:r>
        <w:rPr>
          <w:rFonts w:ascii="Arial" w:hAnsi="Arial"/>
          <w:sz w:val="20"/>
        </w:rPr>
        <w:t xml:space="preserve"> </w:t>
      </w:r>
      <w:r>
        <w:rPr>
          <w:rFonts w:ascii="Arial" w:hAnsi="Arial"/>
          <w:b/>
          <w:bCs/>
          <w:sz w:val="20"/>
        </w:rPr>
        <w:t xml:space="preserve">Pre-registered:</w:t>
      </w:r>
      <w:r>
        <w:rPr>
          <w:rFonts w:ascii="Arial" w:hAnsi="Arial"/>
          <w:sz w:val="20"/>
        </w:rPr>
        <w:t xml:space="preserve"> </w:t>
      </w:r>
      <w:r>
        <w:rPr>
          <w:rFonts w:ascii="Arial" w:hAnsi="Arial"/>
          <w:sz w:val="20"/>
        </w:rPr>
        <w:t xml:space="preserve">OSF</w:t>
      </w:r>
      <w:r>
        <w:rPr>
          <w:rFonts w:ascii="Arial" w:hAnsi="Arial"/>
          <w:sz w:val="20"/>
        </w:rPr>
        <w:t xml:space="preserve"> </w:t>
      </w:r>
      <w:hyperlink r:id="rId20">
        <w:r>
          <w:rPr>
            <w:rStyle w:val="Hyperlink"/>
          </w:rPr>
          <w:t xml:space="preserve">c4mp8</w:t>
        </w:r>
      </w:hyperlink>
      <w:r>
        <w:rPr>
          <w:rFonts w:ascii="Arial" w:hAnsi="Arial"/>
          <w:sz w:val="20"/>
        </w:rPr>
        <w:t xml:space="preserve"> </w:t>
      </w:r>
      <w:r>
        <w:rPr>
          <w:rFonts w:ascii="Arial" w:hAnsi="Arial"/>
          <w:sz w:val="20"/>
        </w:rPr>
        <w:t xml:space="preserve">— scope amendment dated 2026-04-29.</w:t>
      </w:r>
    </w:p>
    <w:p>
      <w:pPr>
        <w:spacing w:line="240" w:lineRule="auto"/>
      </w:pPr>
      <w:r>
        <w:rPr>
          <w:rFonts w:ascii="Arial" w:hAnsi="Arial"/>
          <w:sz w:val="20"/>
        </w:rPr>
        <w:pict>
          <v:rect style="width:0;height:1.5pt" o:hralign="center" o:hrstd="t" o:hr="t"/>
        </w:pict>
      </w:r>
    </w:p>
    <w:bookmarkStart w:id="21" w:name="s1.1-motivation-and-falsification-logic"/>
    <w:p>
      <w:pPr>
        <w:pStyle w:val="Heading2"/>
        <w:spacing w:lineRule="auto" w:line="360"/>
      </w:pPr>
      <w:r>
        <w:rPr>
          <w:rFonts w:ascii="Arial" w:hAnsi="Arial"/>
        </w:rPr>
        <w:t xml:space="preserve">S1.1 Motivation and falsification logic</w:t>
      </w:r>
    </w:p>
    <w:p>
      <w:pPr>
        <w:pStyle w:val="FirstParagraph"/>
        <w:spacing w:lineRule="auto" w:line="480"/>
        <w:jc w:val="both"/>
      </w:pPr>
      <w:r>
        <w:rPr>
          <w:rFonts w:ascii="Arial" w:hAnsi="Arial"/>
          <w:sz w:val="20"/>
        </w:rPr>
        <w:t xml:space="preserve">The headline TWFE-DiD coefficient</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sz w:val="20"/>
        </w:rPr>
        <w:t xml:space="preserve"> </w:t>
      </w:r>
      <w:r>
        <w:rPr>
          <w:rFonts w:ascii="Arial" w:hAnsi="Arial"/>
          <w:sz w:val="20"/>
        </w:rPr>
        <w:t xml:space="preserve">in Eq. (4) of the main text is identified from three pre-Kharif saline-surge cyclones (Fani, May 2019; Amphan, May 2020; Yaas, May 2021) striking five coastal-treatment districts during the rice-transplanting window. The corrected pipeline (§3.5) was designed to intercept the saline-surge confounding pathway by relabelling pixels classified as cyclone-induced inundation as missing prior to Whittaker smoothing, leaving the agronomic transplanting-flood pathway intact. A core concern with any data-driven correction operator of this form is</w:t>
      </w:r>
      <w:r>
        <w:rPr>
          <w:rFonts w:ascii="Arial" w:hAnsi="Arial"/>
          <w:sz w:val="20"/>
        </w:rPr>
        <w:t xml:space="preserve"> </w:t>
      </w:r>
      <w:r>
        <w:rPr>
          <w:rFonts w:ascii="Arial" w:hAnsi="Arial"/>
          <w:i/>
          <w:iCs/>
          <w:sz w:val="20"/>
        </w:rPr>
        <w:t xml:space="preserve">mechanism-specificity</w:t>
      </w:r>
      <w:r>
        <w:rPr>
          <w:rFonts w:ascii="Arial" w:hAnsi="Arial"/>
          <w:sz w:val="20"/>
        </w:rPr>
        <w:t xml:space="preserve">: does the corrected pipeline encode a generic excess-water-pixel mask that would be triggered by</w:t>
      </w:r>
      <w:r>
        <w:rPr>
          <w:rFonts w:ascii="Arial" w:hAnsi="Arial"/>
          <w:sz w:val="20"/>
        </w:rPr>
        <w:t xml:space="preserve"> </w:t>
      </w:r>
      <w:r>
        <w:rPr>
          <w:rFonts w:ascii="Arial" w:hAnsi="Arial"/>
          <w:i/>
          <w:iCs/>
          <w:sz w:val="20"/>
        </w:rPr>
        <w:t xml:space="preserve">any</w:t>
      </w:r>
      <w:r>
        <w:rPr>
          <w:rFonts w:ascii="Arial" w:hAnsi="Arial"/>
          <w:sz w:val="20"/>
        </w:rPr>
        <w:t xml:space="preserve"> </w:t>
      </w:r>
      <w:r>
        <w:rPr>
          <w:rFonts w:ascii="Arial" w:hAnsi="Arial"/>
          <w:sz w:val="20"/>
        </w:rPr>
        <w:t xml:space="preserve">large-scale inundation event, or does it specifically suppress the saline storm-surge backscatter signature that misleads phenology retrieval in the pre-Kharif window?</w:t>
      </w:r>
    </w:p>
    <w:p>
      <w:pPr>
        <w:pStyle w:val="BodyText"/>
        <w:spacing w:lineRule="auto" w:line="480"/>
        <w:jc w:val="both"/>
      </w:pPr>
      <w:r>
        <w:rPr>
          <w:rFonts w:ascii="Arial" w:hAnsi="Arial"/>
          <w:sz w:val="20"/>
        </w:rPr>
        <w:t xml:space="preserve">These two interpretations carry materially different scientific implications. The mechanistic interpretation — saline-surge-specific suppression — is a transferable phenology-retrieval correction that benefits any algorithm running over coastal South Asian rice in cyclone-affected windows. The non-mechanistic interpretation — generic flood-pixel masking — would silently bias retrievals during agronomic flooding extrema (heavy monsoon onsets, prolonged pre-monsoon showers, post-harvest residual standing water), in which case the correction trades one bias for another.</w:t>
      </w:r>
    </w:p>
    <w:p>
      <w:pPr>
        <w:pStyle w:val="BodyText"/>
        <w:spacing w:lineRule="auto" w:line="480"/>
        <w:jc w:val="both"/>
      </w:pPr>
      <w:r>
        <w:rPr>
          <w:rFonts w:ascii="Arial" w:hAnsi="Arial"/>
          <w:sz w:val="20"/>
        </w:rPr>
        <w:t xml:space="preserve">We discriminate between these interpretations using an out-of-sample transferability probe drawn from a</w:t>
      </w:r>
      <w:r>
        <w:rPr>
          <w:rFonts w:ascii="Arial" w:hAnsi="Arial"/>
          <w:sz w:val="20"/>
        </w:rPr>
        <w:t xml:space="preserve"> </w:t>
      </w:r>
      <w:r>
        <w:rPr>
          <w:rFonts w:ascii="Arial" w:hAnsi="Arial"/>
          <w:i/>
          <w:iCs/>
          <w:sz w:val="20"/>
        </w:rPr>
        <w:t xml:space="preserve">different cyclone class</w:t>
      </w:r>
      <w:r>
        <w:rPr>
          <w:rFonts w:ascii="Arial" w:hAnsi="Arial"/>
          <w:sz w:val="20"/>
        </w:rPr>
        <w:t xml:space="preserve"> </w:t>
      </w:r>
      <w:r>
        <w:rPr>
          <w:rFonts w:ascii="Arial" w:hAnsi="Arial"/>
          <w:sz w:val="20"/>
        </w:rPr>
        <w:t xml:space="preserve">— Cyclone Bulbul (November 2019). Bulbul differs from the three identification-cohort cyclones along three independent dimensions:</w:t>
      </w:r>
    </w:p>
    <w:p>
      <w:pPr>
        <w:pStyle w:val="Compact"/>
        <w:numPr>
          <w:ilvl w:val="0"/>
          <w:numId w:val="1001"/>
        </w:numPr>
        <w:spacing w:lineRule="auto" w:line="480"/>
        <w:jc w:val="both"/>
      </w:pPr>
      <w:r>
        <w:rPr>
          <w:rFonts w:ascii="Arial" w:hAnsi="Arial"/>
          <w:b/>
          <w:bCs/>
          <w:sz w:val="20"/>
        </w:rPr>
        <w:t xml:space="preserve">Calendar window.</w:t>
      </w:r>
      <w:r>
        <w:rPr>
          <w:rFonts w:ascii="Arial" w:hAnsi="Arial"/>
          <w:sz w:val="20"/>
        </w:rPr>
        <w:t xml:space="preserve"> </w:t>
      </w:r>
      <w:r>
        <w:rPr>
          <w:rFonts w:ascii="Arial" w:hAnsi="Arial"/>
          <w:sz w:val="20"/>
        </w:rPr>
        <w:t xml:space="preserve">Bulbul made landfall on 9 November 2019, two to three months</w:t>
      </w:r>
      <w:r>
        <w:rPr>
          <w:rFonts w:ascii="Arial" w:hAnsi="Arial"/>
          <w:sz w:val="20"/>
        </w:rPr>
        <w:t xml:space="preserve"> </w:t>
      </w:r>
      <w:r>
        <w:rPr>
          <w:rFonts w:ascii="Arial" w:hAnsi="Arial"/>
          <w:i/>
          <w:iCs/>
          <w:sz w:val="20"/>
        </w:rPr>
        <w:t xml:space="preserve">after</w:t>
      </w:r>
      <w:r>
        <w:rPr>
          <w:rFonts w:ascii="Arial" w:hAnsi="Arial"/>
          <w:sz w:val="20"/>
        </w:rPr>
        <w:t xml:space="preserve"> </w:t>
      </w:r>
      <w:r>
        <w:rPr>
          <w:rFonts w:ascii="Arial" w:hAnsi="Arial"/>
          <w:sz w:val="20"/>
        </w:rPr>
        <w:t xml:space="preserve">the Kharif transplanting window had closed. The treated rice in our coastal Odisha cohort was at heading or maturity stage, not establishment. Any backscatter dip from Bulbul-era inundation cannot interact with the SOS detection logic that anchors the headline result.</w:t>
      </w:r>
    </w:p>
    <w:p>
      <w:pPr>
        <w:pStyle w:val="Compact"/>
        <w:numPr>
          <w:ilvl w:val="0"/>
          <w:numId w:val="1001"/>
        </w:numPr>
        <w:spacing w:lineRule="auto" w:line="480"/>
        <w:jc w:val="both"/>
      </w:pPr>
      <w:r>
        <w:rPr>
          <w:rFonts w:ascii="Arial" w:hAnsi="Arial"/>
          <w:b/>
          <w:bCs/>
          <w:sz w:val="20"/>
        </w:rPr>
        <w:t xml:space="preserve">Inundation mechanism.</w:t>
      </w:r>
      <w:r>
        <w:rPr>
          <w:rFonts w:ascii="Arial" w:hAnsi="Arial"/>
          <w:sz w:val="20"/>
        </w:rPr>
        <w:t xml:space="preserve"> </w:t>
      </w:r>
      <w:r>
        <w:rPr>
          <w:rFonts w:ascii="Arial" w:hAnsi="Arial"/>
          <w:sz w:val="20"/>
        </w:rPr>
        <w:t xml:space="preserve">Bulbul tracked across the head Bay of Bengal and made landfall on Sagar Island in the Indian Sundarbans, approximately 290 km NE of the centroid of our coastal study region. Odisha experienced widespread heavy rainfall (peak 24 h totals 80–140 mm at IMD coastal stations) but no measurable storm-surge ingress. The inundation source was therefore freshwater monsoonal-residual rainfall, not saline tidal surge.</w:t>
      </w:r>
    </w:p>
    <w:p>
      <w:pPr>
        <w:pStyle w:val="Compact"/>
        <w:numPr>
          <w:ilvl w:val="0"/>
          <w:numId w:val="1001"/>
        </w:numPr>
        <w:spacing w:lineRule="auto" w:line="480"/>
        <w:jc w:val="both"/>
      </w:pPr>
      <w:r>
        <w:rPr>
          <w:rFonts w:ascii="Arial" w:hAnsi="Arial"/>
          <w:b/>
          <w:bCs/>
          <w:sz w:val="20"/>
        </w:rPr>
        <w:t xml:space="preserve">Geography.</w:t>
      </w:r>
      <w:r>
        <w:rPr>
          <w:rFonts w:ascii="Arial" w:hAnsi="Arial"/>
          <w:sz w:val="20"/>
        </w:rPr>
        <w:t xml:space="preserve"> </w:t>
      </w:r>
      <w:r>
        <w:rPr>
          <w:rFonts w:ascii="Arial" w:hAnsi="Arial"/>
          <w:sz w:val="20"/>
        </w:rPr>
        <w:t xml:space="preserve">Bulbul-rainfall districts overlap only partially with the five identification-cohort districts. Five of the six probe districts (Boudh, Ganjam, Kandhamal, Khordha, Mayurbhanj, Nayagarh) lie outside the headline treatment set, and were never used to estimate</w:t>
      </w:r>
      <w:r>
        <w:rPr>
          <w:rFonts w:ascii="Arial" w:hAnsi="Arial"/>
          <w:sz w:val="20"/>
        </w:rPr>
        <w:t xml:space="preserve"> </w:t>
      </w:r>
      <m:oMath>
        <m:acc>
          <m:accPr>
            <m:chr m:val="̂"/>
          </m:accPr>
          <m:e>
            <m:r>
              <m:t>τ</m:t>
            </m:r>
          </m:e>
        </m:acc>
      </m:oMath>
      <w:r>
        <w:rPr>
          <w:rFonts w:ascii="Arial" w:hAnsi="Arial"/>
          <w:sz w:val="20"/>
        </w:rPr>
        <w:t xml:space="preserve">.</w:t>
      </w:r>
    </w:p>
    <w:p>
      <w:pPr>
        <w:pStyle w:val="FirstParagraph"/>
        <w:spacing w:lineRule="auto" w:line="480"/>
        <w:jc w:val="both"/>
      </w:pPr>
      <w:r>
        <w:rPr>
          <w:rFonts w:ascii="Arial" w:hAnsi="Arial"/>
          <w:sz w:val="20"/>
        </w:rPr>
        <w:t xml:space="preserve">The probe asks: when we apply the</w:t>
      </w:r>
      <w:r>
        <w:rPr>
          <w:rFonts w:ascii="Arial" w:hAnsi="Arial"/>
          <w:sz w:val="20"/>
        </w:rPr>
        <w:t xml:space="preserve"> </w:t>
      </w:r>
      <w:r>
        <w:rPr>
          <w:rFonts w:ascii="Arial" w:hAnsi="Arial"/>
          <w:i/>
          <w:iCs/>
          <w:sz w:val="20"/>
        </w:rPr>
        <w:t xml:space="preserve">trained</w:t>
      </w:r>
      <w:r>
        <w:rPr>
          <w:rFonts w:ascii="Arial" w:hAnsi="Arial"/>
          <w:sz w:val="20"/>
        </w:rPr>
        <w:t xml:space="preserve"> </w:t>
      </w:r>
      <w:r>
        <w:rPr>
          <w:rFonts w:ascii="Arial" w:hAnsi="Arial"/>
          <w:sz w:val="20"/>
        </w:rPr>
        <w:t xml:space="preserve">coefficient</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sz w:val="20"/>
        </w:rPr>
        <w:t xml:space="preserve"> </w:t>
      </w:r>
      <w:r>
        <w:rPr>
          <w:rFonts w:ascii="Arial" w:hAnsi="Arial"/>
          <w:sz w:val="20"/>
        </w:rPr>
        <w:t xml:space="preserve">as a plug-in prediction to the Bulbul-affected districts, do the observed phenology shifts match this prediction?</w:t>
      </w:r>
    </w:p>
    <w:p>
      <w:pPr>
        <w:pStyle w:val="Compact"/>
        <w:numPr>
          <w:ilvl w:val="0"/>
          <w:numId w:val="1002"/>
        </w:numPr>
        <w:spacing w:lineRule="auto" w:line="480"/>
        <w:jc w:val="both"/>
      </w:pPr>
      <w:r>
        <w:rPr>
          <w:rFonts w:ascii="Arial" w:hAnsi="Arial"/>
          <w:sz w:val="20"/>
        </w:rPr>
        <w:t xml:space="preserve">If residuals centre near zero with the majority of probe districts inside the 95% prediction interval, the correction generalises beyond its training window and inundation mechanism — consistent with a generic flood-pixel-mask interpretation, which would falsify the saline-surge-specific mechanistic claim.</w:t>
      </w:r>
    </w:p>
    <w:p>
      <w:pPr>
        <w:pStyle w:val="Compact"/>
        <w:numPr>
          <w:ilvl w:val="0"/>
          <w:numId w:val="1002"/>
        </w:numPr>
        <w:spacing w:lineRule="auto" w:line="480"/>
        <w:jc w:val="both"/>
      </w:pPr>
      <w:r>
        <w:rPr>
          <w:rFonts w:ascii="Arial" w:hAnsi="Arial"/>
          <w:sz w:val="20"/>
        </w:rPr>
        <w:t xml:space="preserve">If residuals are systematically</w:t>
      </w:r>
      <w:r>
        <w:rPr>
          <w:rFonts w:ascii="Arial" w:hAnsi="Arial"/>
          <w:sz w:val="20"/>
        </w:rPr>
        <w:t xml:space="preserve"> </w:t>
      </w:r>
      <w:r>
        <w:rPr>
          <w:rFonts w:ascii="Arial" w:hAnsi="Arial"/>
          <w:i/>
          <w:iCs/>
          <w:sz w:val="20"/>
        </w:rPr>
        <w:t xml:space="preserve">negative</w:t>
      </w:r>
      <w:r>
        <w:rPr>
          <w:rFonts w:ascii="Arial" w:hAnsi="Arial"/>
          <w:sz w:val="20"/>
        </w:rPr>
        <w:t xml:space="preserve"> </w:t>
      </w:r>
      <w:r>
        <w:rPr>
          <w:rFonts w:ascii="Arial" w:hAnsi="Arial"/>
          <w:sz w:val="20"/>
        </w:rPr>
        <w:t xml:space="preserve">(probe districts shift less than predicted, or in the opposite direction), the correction is mechanism-specific to saline storm-surge — the operator does not transfer to post-monsoon freshwater rainfall events.</w:t>
      </w:r>
      <w:r>
        <w:rPr>
          <w:rFonts w:ascii="Arial" w:hAnsi="Arial"/>
          <w:sz w:val="20"/>
        </w:rPr>
        <w:t xml:space="preserve"> </w:t>
      </w:r>
      <w:r>
        <w:rPr>
          <w:rFonts w:ascii="Arial" w:hAnsi="Arial"/>
          <w:b/>
          <w:bCs/>
          <w:sz w:val="20"/>
        </w:rPr>
        <w:t xml:space="preserve">This is the pre-registered outcome that supports our mechanistic interpretation.</w:t>
      </w:r>
    </w:p>
    <w:p>
      <w:pPr>
        <w:pStyle w:val="FirstParagraph"/>
        <w:spacing w:lineRule="auto" w:line="480"/>
        <w:jc w:val="both"/>
      </w:pPr>
      <w:r>
        <w:rPr>
          <w:rFonts w:ascii="Arial" w:hAnsi="Arial"/>
          <w:sz w:val="20"/>
        </w:rPr>
        <w:t xml:space="preserve">This logic follows the falsification posture of Athey and Imbens (2017, §6.2): the test is designed to be</w:t>
      </w:r>
      <w:r>
        <w:rPr>
          <w:rFonts w:ascii="Arial" w:hAnsi="Arial"/>
          <w:sz w:val="20"/>
        </w:rPr>
        <w:t xml:space="preserve"> </w:t>
      </w:r>
      <w:r>
        <w:rPr>
          <w:rFonts w:ascii="Arial" w:hAnsi="Arial"/>
          <w:i/>
          <w:iCs/>
          <w:sz w:val="20"/>
        </w:rPr>
        <w:t xml:space="preserve">able to fail</w:t>
      </w:r>
      <w:r>
        <w:rPr>
          <w:rFonts w:ascii="Arial" w:hAnsi="Arial"/>
          <w:sz w:val="20"/>
        </w:rPr>
        <w:t xml:space="preserve"> </w:t>
      </w:r>
      <w:r>
        <w:rPr>
          <w:rFonts w:ascii="Arial" w:hAnsi="Arial"/>
          <w:sz w:val="20"/>
        </w:rPr>
        <w:t xml:space="preserve">in a direction that would refute the headline interpretation, and a null transfer is the result that strengthens (not weakens) the substantive claim.</w:t>
      </w:r>
    </w:p>
    <w:bookmarkEnd w:id="21"/>
    <w:bookmarkStart w:id="22" w:name="s1.2-probe-panel-construction"/>
    <w:p>
      <w:pPr>
        <w:pStyle w:val="Heading2"/>
        <w:spacing w:lineRule="auto" w:line="360"/>
      </w:pPr>
      <w:r>
        <w:rPr>
          <w:rFonts w:ascii="Arial" w:hAnsi="Arial"/>
        </w:rPr>
        <w:t xml:space="preserve">S1.2 Probe-panel construction</w:t>
      </w:r>
    </w:p>
    <w:p>
      <w:pPr>
        <w:pStyle w:val="FirstParagraph"/>
        <w:spacing w:lineRule="auto" w:line="480"/>
        <w:jc w:val="both"/>
      </w:pPr>
      <w:r>
        <w:rPr>
          <w:rFonts w:ascii="Arial" w:hAnsi="Arial"/>
          <w:sz w:val="20"/>
        </w:rPr>
        <w:t xml:space="preserve">The Bulbul probe panel comprises six Odisha districts not used in the headline TWFE estimation: Boudh, Ganjam, Kandhamal, Khordha, Mayurbhanj, and Nayagarh. Districts are tagged by exposure type —</w:t>
      </w:r>
      <w:r>
        <w:rPr>
          <w:rFonts w:ascii="Arial" w:hAnsi="Arial"/>
          <w:sz w:val="20"/>
        </w:rPr>
        <w:t xml:space="preserve"> </w:t>
      </w:r>
      <w:r>
        <w:rPr>
          <w:rFonts w:ascii="Arial" w:hAnsi="Arial"/>
          <w:i/>
          <w:iCs/>
          <w:sz w:val="20"/>
        </w:rPr>
        <w:t xml:space="preserve">coastal_rainfall</w:t>
      </w:r>
      <w:r>
        <w:rPr>
          <w:rFonts w:ascii="Arial" w:hAnsi="Arial"/>
          <w:sz w:val="20"/>
        </w:rPr>
        <w:t xml:space="preserve"> </w:t>
      </w:r>
      <w:r>
        <w:rPr>
          <w:rFonts w:ascii="Arial" w:hAnsi="Arial"/>
          <w:sz w:val="20"/>
        </w:rPr>
        <w:t xml:space="preserve">(Ganjam, Khordha, Mayurbhanj) or</w:t>
      </w:r>
      <w:r>
        <w:rPr>
          <w:rFonts w:ascii="Arial" w:hAnsi="Arial"/>
          <w:sz w:val="20"/>
        </w:rPr>
        <w:t xml:space="preserve"> </w:t>
      </w:r>
      <w:r>
        <w:rPr>
          <w:rFonts w:ascii="Arial" w:hAnsi="Arial"/>
          <w:i/>
          <w:iCs/>
          <w:sz w:val="20"/>
        </w:rPr>
        <w:t xml:space="preserve">inland_rainfall</w:t>
      </w:r>
      <w:r>
        <w:rPr>
          <w:rFonts w:ascii="Arial" w:hAnsi="Arial"/>
          <w:sz w:val="20"/>
        </w:rPr>
        <w:t xml:space="preserve"> </w:t>
      </w:r>
      <w:r>
        <w:rPr>
          <w:rFonts w:ascii="Arial" w:hAnsi="Arial"/>
          <w:sz w:val="20"/>
        </w:rPr>
        <w:t xml:space="preserve">(Boudh, Kandhamal, Nayagarh) — derived from the IMD 2019 cyclone report and 24 h IMERG accumulations. The probe panel is processed by the same Module 03 phenology pipeline (Whittaker smoother, double-logistic curve fit, 20 / max / 20 thresholds) and the same Module 02 saline-flood classifier as the headline cohort — the</w:t>
      </w:r>
      <w:r>
        <w:rPr>
          <w:rFonts w:ascii="Arial" w:hAnsi="Arial"/>
          <w:sz w:val="20"/>
        </w:rPr>
        <w:t xml:space="preserve"> </w:t>
      </w:r>
      <w:r>
        <w:rPr>
          <w:rFonts w:ascii="Arial" w:hAnsi="Arial"/>
          <w:i/>
          <w:iCs/>
          <w:sz w:val="20"/>
        </w:rPr>
        <w:t xml:space="preserve">only</w:t>
      </w:r>
      <w:r>
        <w:rPr>
          <w:rFonts w:ascii="Arial" w:hAnsi="Arial"/>
          <w:sz w:val="20"/>
        </w:rPr>
        <w:t xml:space="preserve"> </w:t>
      </w:r>
      <w:r>
        <w:rPr>
          <w:rFonts w:ascii="Arial" w:hAnsi="Arial"/>
          <w:sz w:val="20"/>
        </w:rPr>
        <w:t xml:space="preserve">design choice held constant is the inundation-class mask, which now sees rainfall-driven (not surge-driven) excess water.</w:t>
      </w:r>
    </w:p>
    <w:p>
      <w:pPr>
        <w:pStyle w:val="BodyText"/>
        <w:spacing w:lineRule="auto" w:line="480"/>
        <w:jc w:val="left"/>
      </w:pPr>
      <w:r>
        <w:rPr>
          <w:rFonts w:ascii="Arial" w:hAnsi="Arial"/>
          <w:sz w:val="20"/>
        </w:rPr>
        <w:t xml:space="preserve">For each probe district</w:t>
      </w:r>
      <w:r>
        <w:rPr>
          <w:rFonts w:ascii="Arial" w:hAnsi="Arial"/>
          <w:sz w:val="20"/>
        </w:rPr>
        <w:t xml:space="preserve"> </w:t>
      </w:r>
      <m:oMath>
        <m:r>
          <m:t>d</m:t>
        </m:r>
      </m:oMath>
      <w:r>
        <w:rPr>
          <w:rFonts w:ascii="Arial" w:hAnsi="Arial"/>
          <w:sz w:val="20"/>
        </w:rPr>
        <w:t xml:space="preserve"> </w:t>
      </w:r>
      <w:r>
        <w:rPr>
          <w:rFonts w:ascii="Arial" w:hAnsi="Arial"/>
          <w:sz w:val="20"/>
        </w:rPr>
        <w:t xml:space="preserve">we compute the observed corrected-pipeline SOS shift relative to its own pre-Bulbul baseline:</w:t>
      </w:r>
    </w:p>
    <w:p>
      <w:pPr>
        <w:pStyle w:val="BodyText"/>
        <w:spacing w:lineRule="auto" w:line="480"/>
        <w:jc w:val="left"/>
      </w:pPr>
      <m:oMathPara>
        <m:oMathParaPr>
          <m:jc m:val="center"/>
        </m:oMathParaPr>
        <m:oMath>
          <m:sSub>
            <m:e>
              <m:r>
                <m:t>Δ</m:t>
              </m:r>
            </m:e>
            <m:sub>
              <m:r>
                <m:rPr>
                  <m:sty m:val="p"/>
                </m:rPr>
                <m:t>o</m:t>
              </m:r>
              <m:r>
                <m:rPr>
                  <m:sty m:val="p"/>
                </m:rPr>
                <m:t>b</m:t>
              </m:r>
              <m:r>
                <m:rPr>
                  <m:sty m:val="p"/>
                </m:rPr>
                <m:t>s</m:t>
              </m:r>
              <m:r>
                <m:rPr>
                  <m:sty m:val="p"/>
                </m:rPr>
                <m:t>,</m:t>
              </m:r>
              <m:r>
                <m:t>d</m:t>
              </m:r>
            </m:sub>
          </m:sSub>
          <m:r>
            <m:rPr>
              <m:sty m:val="p"/>
            </m:rPr>
            <m:t>=</m:t>
          </m:r>
          <m:sSubSup>
            <m:e>
              <m:r>
                <m:rPr>
                  <m:sty m:val="p"/>
                </m:rPr>
                <m:t>S</m:t>
              </m:r>
              <m:r>
                <m:rPr>
                  <m:sty m:val="p"/>
                </m:rPr>
                <m:t>O</m:t>
              </m:r>
              <m:r>
                <m:rPr>
                  <m:sty m:val="p"/>
                </m:rPr>
                <m:t>S</m:t>
              </m:r>
            </m:e>
            <m:sub>
              <m:r>
                <m:t>2020</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r>
            <m:rPr>
              <m:sty m:val="p"/>
            </m:rPr>
            <m:t>−</m:t>
          </m:r>
          <m:sSubSup>
            <m:e>
              <m:bar>
                <m:barPr>
                  <m:pos m:val="top"/>
                </m:barPr>
                <m:e>
                  <m:r>
                    <m:rPr>
                      <m:sty m:val="p"/>
                    </m:rPr>
                    <m:t>S</m:t>
                  </m:r>
                  <m:r>
                    <m:rPr>
                      <m:sty m:val="p"/>
                    </m:rPr>
                    <m:t>O</m:t>
                  </m:r>
                  <m:r>
                    <m:rPr>
                      <m:sty m:val="p"/>
                    </m:rPr>
                    <m:t>S</m:t>
                  </m:r>
                </m:e>
              </m:bar>
            </m:e>
            <m:sub>
              <m:r>
                <m:t>2017</m:t>
              </m:r>
              <m:r>
                <m:rPr>
                  <m:nor/>
                  <m:sty m:val="p"/>
                </m:rPr>
                <m:t>–</m:t>
              </m:r>
              <m:r>
                <m:t>2018</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oMath>
      </m:oMathPara>
    </w:p>
    <w:p>
      <w:pPr>
        <w:pStyle w:val="FirstParagraph"/>
        <w:spacing w:lineRule="auto" w:line="480"/>
        <w:jc w:val="both"/>
      </w:pPr>
      <w:r>
        <w:rPr>
          <w:rFonts w:ascii="Arial" w:hAnsi="Arial"/>
          <w:sz w:val="20"/>
        </w:rPr>
        <w:t xml:space="preserve">The Kharif year denoted</w:t>
      </w:r>
      <w:r>
        <w:rPr>
          <w:rFonts w:ascii="Arial" w:hAnsi="Arial"/>
          <w:sz w:val="20"/>
        </w:rPr>
        <w:t xml:space="preserve"> </w:t>
      </w:r>
      <w:r>
        <w:rPr>
          <w:rFonts w:ascii="Arial" w:hAnsi="Arial"/>
          <w:sz w:val="20"/>
        </w:rPr>
        <w:t xml:space="preserve">“</w:t>
      </w:r>
      <w:r>
        <w:rPr>
          <w:rFonts w:ascii="Arial" w:hAnsi="Arial"/>
          <w:sz w:val="20"/>
        </w:rPr>
        <w:t xml:space="preserve">2020</w:t>
      </w:r>
      <w:r>
        <w:rPr>
          <w:rFonts w:ascii="Arial" w:hAnsi="Arial"/>
          <w:sz w:val="20"/>
        </w:rPr>
        <w:t xml:space="preserve">”</w:t>
      </w:r>
      <w:r>
        <w:rPr>
          <w:rFonts w:ascii="Arial" w:hAnsi="Arial"/>
          <w:sz w:val="20"/>
        </w:rPr>
        <w:t xml:space="preserve"> </w:t>
      </w:r>
      <w:r>
        <w:rPr>
          <w:rFonts w:ascii="Arial" w:hAnsi="Arial"/>
          <w:sz w:val="20"/>
        </w:rPr>
        <w:t xml:space="preserve">here is the season</w:t>
      </w:r>
      <w:r>
        <w:rPr>
          <w:rFonts w:ascii="Arial" w:hAnsi="Arial"/>
          <w:sz w:val="20"/>
        </w:rPr>
        <w:t xml:space="preserve"> </w:t>
      </w:r>
      <w:r>
        <w:rPr>
          <w:rFonts w:ascii="Arial" w:hAnsi="Arial"/>
          <w:i/>
          <w:iCs/>
          <w:sz w:val="20"/>
        </w:rPr>
        <w:t xml:space="preserve">immediately following</w:t>
      </w:r>
      <w:r>
        <w:rPr>
          <w:rFonts w:ascii="Arial" w:hAnsi="Arial"/>
          <w:sz w:val="20"/>
        </w:rPr>
        <w:t xml:space="preserve"> </w:t>
      </w:r>
      <w:r>
        <w:rPr>
          <w:rFonts w:ascii="Arial" w:hAnsi="Arial"/>
          <w:sz w:val="20"/>
        </w:rPr>
        <w:t xml:space="preserve">the November 2019 Bulbul event — the first Kharif window in which any persistent residual mask effect from Bulbul-era inundation could propagate forward through the cropland mask to bias the next-season SOS retrieval.</w:t>
      </w:r>
    </w:p>
    <w:p>
      <w:pPr>
        <w:pStyle w:val="BodyText"/>
        <w:spacing w:lineRule="auto" w:line="480"/>
        <w:jc w:val="left"/>
      </w:pPr>
      <w:r>
        <w:rPr>
          <w:rFonts w:ascii="Arial" w:hAnsi="Arial"/>
          <w:sz w:val="20"/>
        </w:rPr>
        <w:t xml:space="preserve">The plug-in prediction is the trained headline coefficient</w:t>
      </w:r>
    </w:p>
    <w:p>
      <w:pPr>
        <w:pStyle w:val="BodyText"/>
        <w:spacing w:lineRule="auto" w:line="480"/>
        <w:jc w:val="left"/>
      </w:pPr>
      <m:oMathPara>
        <m:oMathParaPr>
          <m:jc m:val="center"/>
        </m:oMathParaPr>
        <m:oMath>
          <m:sSub>
            <m:e>
              <m:r>
                <m:t>Δ</m:t>
              </m:r>
            </m:e>
            <m:sub>
              <m:r>
                <m:rPr>
                  <m:sty m:val="p"/>
                </m:rPr>
                <m:t>p</m:t>
              </m:r>
              <m:r>
                <m:rPr>
                  <m:sty m:val="p"/>
                </m:rPr>
                <m:t>r</m:t>
              </m:r>
              <m:r>
                <m:rPr>
                  <m:sty m:val="p"/>
                </m:rPr>
                <m:t>e</m:t>
              </m:r>
              <m:r>
                <m:rPr>
                  <m:sty m:val="p"/>
                </m:rPr>
                <m:t>d</m:t>
              </m:r>
            </m:sub>
          </m:sSub>
          <m:r>
            <m:rPr>
              <m:sty m:val="p"/>
            </m:rPr>
            <m:t>=</m:t>
          </m:r>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rPr>
              <m:sty m:val="p"/>
            </m:rPr>
            <m:t>+</m:t>
          </m:r>
          <m:r>
            <m:t>1.96</m:t>
          </m:r>
          <m:r>
            <m:rPr>
              <m:nor/>
              <m:sty m:val="p"/>
            </m:rPr>
            <m:t> d</m:t>
          </m:r>
        </m:oMath>
      </m:oMathPara>
    </w:p>
    <w:p>
      <w:pPr>
        <w:pStyle w:val="FirstParagraph"/>
        <w:spacing w:lineRule="auto" w:line="480"/>
        <w:jc w:val="both"/>
      </w:pPr>
      <w:r>
        <w:rPr>
          <w:rFonts w:ascii="Arial" w:hAnsi="Arial"/>
          <w:sz w:val="20"/>
        </w:rPr>
        <w:t xml:space="preserve">with the 95% prediction interval</w:t>
      </w:r>
      <w:r>
        <w:rPr>
          <w:rFonts w:ascii="Arial" w:hAnsi="Arial"/>
          <w:sz w:val="20"/>
        </w:rPr>
        <w:t xml:space="preserve"> </w:t>
      </w:r>
      <m:oMath>
        <m:d>
          <m:dPr>
            <m:begChr m:val="["/>
            <m:endChr m:val="]"/>
            <m:sepChr m:val=""/>
            <m:grow/>
          </m:dPr>
          <m:e>
            <m:r>
              <m:rPr>
                <m:sty m:val="p"/>
              </m:rPr>
              <m:t>+</m:t>
            </m:r>
            <m:r>
              <m:t>0.86</m:t>
            </m:r>
            <m:r>
              <m:rPr>
                <m:sty m:val="p"/>
              </m:rPr>
              <m:t>,</m:t>
            </m:r>
            <m:r>
              <m:rPr>
                <m:sty m:val="p"/>
              </m:rPr>
              <m:t>+</m:t>
            </m:r>
            <m:r>
              <m:t>3.07</m:t>
            </m:r>
          </m:e>
        </m:d>
      </m:oMath>
      <w:r>
        <w:rPr>
          <w:rFonts w:ascii="Arial" w:hAnsi="Arial"/>
          <w:sz w:val="20"/>
        </w:rPr>
        <w:t xml:space="preserve"> </w:t>
      </w:r>
      <w:r>
        <w:rPr>
          <w:rFonts w:ascii="Arial" w:hAnsi="Arial"/>
          <w:sz w:val="20"/>
        </w:rPr>
        <w:t xml:space="preserve">d derived from the TWFE-clustered standard error in Table S1. The transferability residual is</w:t>
      </w:r>
    </w:p>
    <w:p>
      <w:pPr>
        <w:pStyle w:val="BodyText"/>
        <w:spacing w:lineRule="auto" w:line="480"/>
        <w:jc w:val="left"/>
      </w:pPr>
      <m:oMathPara>
        <m:oMathParaPr>
          <m:jc m:val="center"/>
        </m:oMathParaPr>
        <m:oMath>
          <m:sSub>
            <m:e>
              <m:r>
                <m:t>r</m:t>
              </m:r>
            </m:e>
            <m:sub>
              <m:r>
                <m:t>d</m:t>
              </m:r>
            </m:sub>
          </m:sSub>
          <m:r>
            <m:rPr>
              <m:sty m:val="p"/>
            </m:rPr>
            <m:t>=</m:t>
          </m:r>
          <m:sSub>
            <m:e>
              <m:r>
                <m:t>Δ</m:t>
              </m:r>
            </m:e>
            <m:sub>
              <m:r>
                <m:rPr>
                  <m:sty m:val="p"/>
                </m:rPr>
                <m:t>o</m:t>
              </m:r>
              <m:r>
                <m:rPr>
                  <m:sty m:val="p"/>
                </m:rPr>
                <m:t>b</m:t>
              </m:r>
              <m:r>
                <m:rPr>
                  <m:sty m:val="p"/>
                </m:rPr>
                <m:t>s</m:t>
              </m:r>
              <m:r>
                <m:rPr>
                  <m:sty m:val="p"/>
                </m:rPr>
                <m:t>,</m:t>
              </m:r>
              <m:r>
                <m:t>d</m:t>
              </m:r>
            </m:sub>
          </m:sSub>
          <m:r>
            <m:rPr>
              <m:sty m:val="p"/>
            </m:rPr>
            <m:t>−</m:t>
          </m:r>
          <m:sSub>
            <m:e>
              <m:r>
                <m:t>Δ</m:t>
              </m:r>
            </m:e>
            <m:sub>
              <m:r>
                <m:rPr>
                  <m:sty m:val="p"/>
                </m:rPr>
                <m:t>p</m:t>
              </m:r>
              <m:r>
                <m:rPr>
                  <m:sty m:val="p"/>
                </m:rPr>
                <m:t>r</m:t>
              </m:r>
              <m:r>
                <m:rPr>
                  <m:sty m:val="p"/>
                </m:rPr>
                <m:t>e</m:t>
              </m:r>
              <m:r>
                <m:rPr>
                  <m:sty m:val="p"/>
                </m:rPr>
                <m:t>d</m:t>
              </m:r>
            </m:sub>
          </m:sSub>
          <m:r>
            <m:rPr>
              <m:sty m:val="p"/>
            </m:rPr>
            <m:t>.</m:t>
          </m:r>
        </m:oMath>
      </m:oMathPara>
    </w:p>
    <w:p>
      <w:pPr>
        <w:pStyle w:val="FirstParagraph"/>
        <w:spacing w:lineRule="auto" w:line="480"/>
        <w:jc w:val="left"/>
      </w:pPr>
      <w:r>
        <w:rPr>
          <w:rFonts w:ascii="Arial" w:hAnsi="Arial"/>
          <w:sz w:val="20"/>
        </w:rPr>
        <w:t xml:space="preserve">A district is recorded as</w:t>
      </w:r>
      <w:r>
        <w:rPr>
          <w:rFonts w:ascii="Arial" w:hAnsi="Arial"/>
          <w:sz w:val="20"/>
        </w:rPr>
        <w:t xml:space="preserve"> </w:t>
      </w:r>
      <w:r>
        <w:rPr>
          <w:rFonts w:ascii="Arial" w:hAnsi="Arial"/>
          <w:sz w:val="20"/>
        </w:rPr>
        <w:t xml:space="preserve">“</w:t>
      </w:r>
      <w:r>
        <w:rPr>
          <w:rFonts w:ascii="Arial" w:hAnsi="Arial"/>
          <w:sz w:val="20"/>
        </w:rPr>
        <w:t xml:space="preserve">inside 95% PI</w:t>
      </w:r>
      <w:r>
        <w:rPr>
          <w:rFonts w:ascii="Arial" w:hAnsi="Arial"/>
          <w:sz w:val="20"/>
        </w:rPr>
        <w:t xml:space="preserve">”</w:t>
      </w:r>
      <w:r>
        <w:rPr>
          <w:rFonts w:ascii="Arial" w:hAnsi="Arial"/>
          <w:sz w:val="20"/>
        </w:rPr>
        <w:t xml:space="preserve"> </w:t>
      </w:r>
      <w:r>
        <w:rPr>
          <w:rFonts w:ascii="Arial" w:hAnsi="Arial"/>
          <w:sz w:val="20"/>
        </w:rPr>
        <w:t xml:space="preserve">if</w:t>
      </w:r>
      <w:r>
        <w:rPr>
          <w:rFonts w:ascii="Arial" w:hAnsi="Arial"/>
          <w:sz w:val="20"/>
        </w:rPr>
        <w:t xml:space="preserve"> </w:t>
      </w:r>
      <m:oMath>
        <m:sSub>
          <m:e>
            <m:r>
              <m:t>Δ</m:t>
            </m:r>
          </m:e>
          <m:sub>
            <m:r>
              <m:rPr>
                <m:sty m:val="p"/>
              </m:rPr>
              <m:t>o</m:t>
            </m:r>
            <m:r>
              <m:rPr>
                <m:sty m:val="p"/>
              </m:rPr>
              <m:t>b</m:t>
            </m:r>
            <m:r>
              <m:rPr>
                <m:sty m:val="p"/>
              </m:rPr>
              <m:t>s</m:t>
            </m:r>
            <m:r>
              <m:rPr>
                <m:sty m:val="p"/>
              </m:rPr>
              <m:t>,</m:t>
            </m:r>
            <m:r>
              <m:t>d</m:t>
            </m:r>
          </m:sub>
        </m:sSub>
        <m:r>
          <m:rPr>
            <m:sty m:val="p"/>
          </m:rPr>
          <m:t>∈</m:t>
        </m:r>
        <m:d>
          <m:dPr>
            <m:begChr m:val="["/>
            <m:endChr m:val="]"/>
            <m:sepChr m:val=""/>
            <m:grow/>
          </m:dPr>
          <m:e>
            <m:r>
              <m:rPr>
                <m:sty m:val="p"/>
              </m:rPr>
              <m:t>+</m:t>
            </m:r>
            <m:r>
              <m:t>0.86</m:t>
            </m:r>
            <m:r>
              <m:rPr>
                <m:sty m:val="p"/>
              </m:rPr>
              <m:t>,</m:t>
            </m:r>
            <m:r>
              <m:rPr>
                <m:sty m:val="p"/>
              </m:rPr>
              <m:t>+</m:t>
            </m:r>
            <m:r>
              <m:t>3.07</m:t>
            </m:r>
          </m:e>
        </m:d>
      </m:oMath>
      <w:r>
        <w:rPr>
          <w:rFonts w:ascii="Arial" w:hAnsi="Arial"/>
          <w:sz w:val="20"/>
        </w:rPr>
        <w:t xml:space="preserve"> </w:t>
      </w:r>
      <w:r>
        <w:rPr>
          <w:rFonts w:ascii="Arial" w:hAnsi="Arial"/>
          <w:sz w:val="20"/>
        </w:rPr>
        <w:t xml:space="preserve">d.</w:t>
      </w:r>
    </w:p>
    <w:bookmarkEnd w:id="22"/>
    <w:bookmarkStart w:id="23" w:name="s1.3-results"/>
    <w:p>
      <w:pPr>
        <w:pStyle w:val="Heading2"/>
        <w:spacing w:lineRule="auto" w:line="360"/>
      </w:pPr>
      <w:r>
        <w:rPr>
          <w:rFonts w:ascii="Arial" w:hAnsi="Arial"/>
        </w:rPr>
        <w:t xml:space="preserve">S1.3 Results</w:t>
      </w:r>
    </w:p>
    <w:tbl>
      <w:tblPr>
        <w:tblStyle w:val="Table"/>
        <w:tblW w:type="pct" w:w="5000"/>
        <w:jc w:val="left"/>
        <w:tblLayout w:type="fixed"/>
        <w:tblLook w:firstRow="1" w:lastRow="0" w:firstColumn="0" w:lastColumn="0" w:noHBand="0" w:noVBand="0" w:val="0020"/>
      </w:tblPr>
      <w:tblGrid>
        <w:gridCol w:w="798"/>
        <w:gridCol w:w="1264"/>
        <w:gridCol w:w="1930"/>
        <w:gridCol w:w="1996"/>
        <w:gridCol w:w="931"/>
        <w:gridCol w:w="998"/>
      </w:tblGrid>
      <w:tr>
        <w:trPr>
          <w:tblHeader w:val="on"/>
        </w:trPr>
        <w:tc>
          <w:tcPr/>
          <w:p>
            <w:pPr>
              <w:pStyle w:val="Compact"/>
              <w:spacing w:lineRule="auto" w:line="360"/>
              <w:jc w:val="left"/>
            </w:pPr>
            <w:r>
              <w:rPr>
                <w:rFonts w:ascii="Arial" w:hAnsi="Arial"/>
                <w:sz w:val="18"/>
              </w:rPr>
              <w:t xml:space="preserve">District</w:t>
            </w:r>
          </w:p>
        </w:tc>
        <w:tc>
          <w:tcPr/>
          <w:p>
            <w:pPr>
              <w:pStyle w:val="Compact"/>
              <w:spacing w:lineRule="auto" w:line="360"/>
              <w:jc w:val="left"/>
            </w:pPr>
            <w:r>
              <w:rPr>
                <w:rFonts w:ascii="Arial" w:hAnsi="Arial"/>
                <w:sz w:val="18"/>
              </w:rPr>
              <w:t xml:space="preserve">Exposure</w:t>
            </w:r>
          </w:p>
        </w:tc>
        <w:tc>
          <w:tcPr/>
          <w:p>
            <w:pPr>
              <w:pStyle w:val="Compact"/>
              <w:spacing w:lineRule="auto" w:line="360"/>
              <w:jc w:val="left"/>
            </w:pPr>
            <m:oMath>
              <m:sSub>
                <m:e>
                  <m:r>
                    <m:t>Δ</m:t>
                  </m:r>
                </m:e>
                <m:sub>
                  <m:r>
                    <m:rPr>
                      <m:sty m:val="p"/>
                    </m:rPr>
                    <m:t>o</m:t>
                  </m:r>
                  <m:r>
                    <m:rPr>
                      <m:sty m:val="p"/>
                    </m:rPr>
                    <m:t>b</m:t>
                  </m:r>
                  <m:r>
                    <m:rPr>
                      <m:sty m:val="p"/>
                    </m:rPr>
                    <m:t>s</m:t>
                  </m:r>
                </m:sub>
              </m:sSub>
            </m:oMath>
            <w:r>
              <w:rPr>
                <w:rFonts w:ascii="Arial" w:hAnsi="Arial"/>
                <w:sz w:val="18"/>
              </w:rPr>
              <w:t xml:space="preserve"> </w:t>
            </w:r>
            <w:r>
              <w:rPr>
                <w:rFonts w:ascii="Arial" w:hAnsi="Arial"/>
                <w:sz w:val="18"/>
              </w:rPr>
              <w:t xml:space="preserve">(d)</w:t>
            </w:r>
          </w:p>
        </w:tc>
        <w:tc>
          <w:tcPr/>
          <w:p>
            <w:pPr>
              <w:pStyle w:val="Compact"/>
              <w:spacing w:lineRule="auto" w:line="360"/>
              <w:jc w:val="left"/>
            </w:pPr>
            <m:oMath>
              <m:sSub>
                <m:e>
                  <m:r>
                    <m:t>Δ</m:t>
                  </m:r>
                </m:e>
                <m:sub>
                  <m:r>
                    <m:rPr>
                      <m:sty m:val="p"/>
                    </m:rPr>
                    <m:t>p</m:t>
                  </m:r>
                  <m:r>
                    <m:rPr>
                      <m:sty m:val="p"/>
                    </m:rPr>
                    <m:t>r</m:t>
                  </m:r>
                  <m:r>
                    <m:rPr>
                      <m:sty m:val="p"/>
                    </m:rPr>
                    <m:t>e</m:t>
                  </m:r>
                  <m:r>
                    <m:rPr>
                      <m:sty m:val="p"/>
                    </m:rPr>
                    <m:t>d</m:t>
                  </m:r>
                </m:sub>
              </m:sSub>
            </m:oMath>
            <w:r>
              <w:rPr>
                <w:rFonts w:ascii="Arial" w:hAnsi="Arial"/>
                <w:sz w:val="18"/>
              </w:rPr>
              <w:t xml:space="preserve"> </w:t>
            </w:r>
            <w:r>
              <w:rPr>
                <w:rFonts w:ascii="Arial" w:hAnsi="Arial"/>
                <w:sz w:val="18"/>
              </w:rPr>
              <w:t xml:space="preserve">(d)</w:t>
            </w:r>
          </w:p>
        </w:tc>
        <w:tc>
          <w:tcPr/>
          <w:p>
            <w:pPr>
              <w:pStyle w:val="Compact"/>
              <w:spacing w:lineRule="auto" w:line="360"/>
              <w:jc w:val="left"/>
            </w:pPr>
            <w:r>
              <w:rPr>
                <w:rFonts w:ascii="Arial" w:hAnsi="Arial"/>
                <w:sz w:val="18"/>
              </w:rPr>
              <w:t xml:space="preserve">Residual (d)</w:t>
            </w:r>
          </w:p>
        </w:tc>
        <w:tc>
          <w:tcPr/>
          <w:p>
            <w:pPr>
              <w:pStyle w:val="Compact"/>
              <w:spacing w:lineRule="auto" w:line="360"/>
              <w:jc w:val="left"/>
            </w:pPr>
            <w:r>
              <w:rPr>
                <w:rFonts w:ascii="Arial" w:hAnsi="Arial"/>
                <w:sz w:val="18"/>
              </w:rPr>
              <w:t xml:space="preserve">Inside 95% PI</w:t>
            </w:r>
          </w:p>
        </w:tc>
      </w:tr>
      <w:tr>
        <w:tc>
          <w:tcPr/>
          <w:p>
            <w:pPr>
              <w:pStyle w:val="Compact"/>
              <w:spacing w:lineRule="auto" w:line="360"/>
              <w:jc w:val="left"/>
            </w:pPr>
            <w:r>
              <w:rPr>
                <w:rFonts w:ascii="Arial" w:hAnsi="Arial"/>
                <w:sz w:val="18"/>
              </w:rPr>
              <w:t xml:space="preserve">Boudh</w:t>
            </w:r>
          </w:p>
        </w:tc>
        <w:tc>
          <w:tcPr/>
          <w:p>
            <w:pPr>
              <w:pStyle w:val="Compact"/>
              <w:spacing w:lineRule="auto" w:line="360"/>
              <w:jc w:val="left"/>
            </w:pPr>
            <w:r>
              <w:rPr>
                <w:rFonts w:ascii="Arial" w:hAnsi="Arial"/>
                <w:sz w:val="18"/>
              </w:rPr>
              <w:t xml:space="preserve">inland rainfall</w:t>
            </w:r>
          </w:p>
        </w:tc>
        <w:tc>
          <w:tcPr/>
          <w:p>
            <w:pPr>
              <w:pStyle w:val="Compact"/>
              <w:spacing w:lineRule="auto" w:line="360"/>
              <w:jc w:val="left"/>
            </w:pPr>
            <w:r>
              <w:rPr>
                <w:rFonts w:ascii="Arial" w:hAnsi="Arial"/>
                <w:sz w:val="18"/>
              </w:rPr>
              <w:t xml:space="preserve">−0.12</w:t>
            </w:r>
          </w:p>
        </w:tc>
        <w:tc>
          <w:tcPr/>
          <w:p>
            <w:pPr>
              <w:pStyle w:val="Compact"/>
              <w:spacing w:lineRule="auto" w:line="360"/>
              <w:jc w:val="left"/>
            </w:pPr>
            <w:r>
              <w:rPr>
                <w:rFonts w:ascii="Arial" w:hAnsi="Arial"/>
                <w:sz w:val="18"/>
              </w:rPr>
              <w:t xml:space="preserve">+1.96</w:t>
            </w:r>
          </w:p>
        </w:tc>
        <w:tc>
          <w:tcPr/>
          <w:p>
            <w:pPr>
              <w:pStyle w:val="Compact"/>
              <w:spacing w:lineRule="auto" w:line="360"/>
              <w:jc w:val="left"/>
            </w:pPr>
            <w:r>
              <w:rPr>
                <w:rFonts w:ascii="Arial" w:hAnsi="Arial"/>
                <w:sz w:val="18"/>
              </w:rPr>
              <w:t xml:space="preserve">−2.09</w:t>
            </w:r>
          </w:p>
        </w:tc>
        <w:tc>
          <w:tcPr/>
          <w:p>
            <w:pPr>
              <w:pStyle w:val="Compact"/>
              <w:spacing w:lineRule="auto" w:line="360"/>
              <w:jc w:val="left"/>
            </w:pPr>
            <w:r>
              <w:rPr>
                <w:rFonts w:ascii="Arial" w:hAnsi="Arial"/>
                <w:sz w:val="18"/>
              </w:rPr>
              <w:t xml:space="preserve">no</w:t>
            </w:r>
          </w:p>
        </w:tc>
      </w:tr>
      <w:tr>
        <w:tc>
          <w:tcPr/>
          <w:p>
            <w:pPr>
              <w:pStyle w:val="Compact"/>
              <w:spacing w:lineRule="auto" w:line="360"/>
              <w:jc w:val="left"/>
            </w:pPr>
            <w:r>
              <w:rPr>
                <w:rFonts w:ascii="Arial" w:hAnsi="Arial"/>
                <w:sz w:val="18"/>
              </w:rPr>
              <w:t xml:space="preserve">Ganjam</w:t>
            </w:r>
          </w:p>
        </w:tc>
        <w:tc>
          <w:tcPr/>
          <w:p>
            <w:pPr>
              <w:pStyle w:val="Compact"/>
              <w:spacing w:lineRule="auto" w:line="360"/>
              <w:jc w:val="left"/>
            </w:pPr>
            <w:r>
              <w:rPr>
                <w:rFonts w:ascii="Arial" w:hAnsi="Arial"/>
                <w:sz w:val="18"/>
              </w:rPr>
              <w:t xml:space="preserve">coastal rainfall</w:t>
            </w:r>
          </w:p>
        </w:tc>
        <w:tc>
          <w:tcPr/>
          <w:p>
            <w:pPr>
              <w:pStyle w:val="Compact"/>
              <w:spacing w:lineRule="auto" w:line="360"/>
              <w:jc w:val="left"/>
            </w:pPr>
            <w:r>
              <w:rPr>
                <w:rFonts w:ascii="Arial" w:hAnsi="Arial"/>
                <w:sz w:val="18"/>
              </w:rPr>
              <w:t xml:space="preserve">−3.89</w:t>
            </w:r>
          </w:p>
        </w:tc>
        <w:tc>
          <w:tcPr/>
          <w:p>
            <w:pPr>
              <w:pStyle w:val="Compact"/>
              <w:spacing w:lineRule="auto" w:line="360"/>
              <w:jc w:val="left"/>
            </w:pPr>
            <w:r>
              <w:rPr>
                <w:rFonts w:ascii="Arial" w:hAnsi="Arial"/>
                <w:sz w:val="18"/>
              </w:rPr>
              <w:t xml:space="preserve">+1.96</w:t>
            </w:r>
          </w:p>
        </w:tc>
        <w:tc>
          <w:tcPr/>
          <w:p>
            <w:pPr>
              <w:pStyle w:val="Compact"/>
              <w:spacing w:lineRule="auto" w:line="360"/>
              <w:jc w:val="left"/>
            </w:pPr>
            <w:r>
              <w:rPr>
                <w:rFonts w:ascii="Arial" w:hAnsi="Arial"/>
                <w:sz w:val="18"/>
              </w:rPr>
              <w:t xml:space="preserve">−5.85</w:t>
            </w:r>
          </w:p>
        </w:tc>
        <w:tc>
          <w:tcPr/>
          <w:p>
            <w:pPr>
              <w:pStyle w:val="Compact"/>
              <w:spacing w:lineRule="auto" w:line="360"/>
              <w:jc w:val="left"/>
            </w:pPr>
            <w:r>
              <w:rPr>
                <w:rFonts w:ascii="Arial" w:hAnsi="Arial"/>
                <w:sz w:val="18"/>
              </w:rPr>
              <w:t xml:space="preserve">no</w:t>
            </w:r>
          </w:p>
        </w:tc>
      </w:tr>
      <w:tr>
        <w:tc>
          <w:tcPr/>
          <w:p>
            <w:pPr>
              <w:pStyle w:val="Compact"/>
              <w:spacing w:lineRule="auto" w:line="360"/>
              <w:jc w:val="left"/>
            </w:pPr>
            <w:r>
              <w:rPr>
                <w:rFonts w:ascii="Arial" w:hAnsi="Arial"/>
                <w:sz w:val="18"/>
              </w:rPr>
              <w:t xml:space="preserve">Kandhamal</w:t>
            </w:r>
          </w:p>
        </w:tc>
        <w:tc>
          <w:tcPr/>
          <w:p>
            <w:pPr>
              <w:pStyle w:val="Compact"/>
              <w:spacing w:lineRule="auto" w:line="360"/>
              <w:jc w:val="left"/>
            </w:pPr>
            <w:r>
              <w:rPr>
                <w:rFonts w:ascii="Arial" w:hAnsi="Arial"/>
                <w:sz w:val="18"/>
              </w:rPr>
              <w:t xml:space="preserve">inland rainfall</w:t>
            </w:r>
          </w:p>
        </w:tc>
        <w:tc>
          <w:tcPr/>
          <w:p>
            <w:pPr>
              <w:pStyle w:val="Compact"/>
              <w:spacing w:lineRule="auto" w:line="360"/>
              <w:jc w:val="left"/>
            </w:pPr>
            <w:r>
              <w:rPr>
                <w:rFonts w:ascii="Arial" w:hAnsi="Arial"/>
                <w:sz w:val="18"/>
              </w:rPr>
              <w:t xml:space="preserve">+0.52</w:t>
            </w:r>
          </w:p>
        </w:tc>
        <w:tc>
          <w:tcPr/>
          <w:p>
            <w:pPr>
              <w:pStyle w:val="Compact"/>
              <w:spacing w:lineRule="auto" w:line="360"/>
              <w:jc w:val="left"/>
            </w:pPr>
            <w:r>
              <w:rPr>
                <w:rFonts w:ascii="Arial" w:hAnsi="Arial"/>
                <w:sz w:val="18"/>
              </w:rPr>
              <w:t xml:space="preserve">+1.96</w:t>
            </w:r>
          </w:p>
        </w:tc>
        <w:tc>
          <w:tcPr/>
          <w:p>
            <w:pPr>
              <w:pStyle w:val="Compact"/>
              <w:spacing w:lineRule="auto" w:line="360"/>
              <w:jc w:val="left"/>
            </w:pPr>
            <w:r>
              <w:rPr>
                <w:rFonts w:ascii="Arial" w:hAnsi="Arial"/>
                <w:sz w:val="18"/>
              </w:rPr>
              <w:t xml:space="preserve">−1.44</w:t>
            </w:r>
          </w:p>
        </w:tc>
        <w:tc>
          <w:tcPr/>
          <w:p>
            <w:pPr>
              <w:pStyle w:val="Compact"/>
              <w:spacing w:lineRule="auto" w:line="360"/>
              <w:jc w:val="left"/>
            </w:pPr>
            <w:r>
              <w:rPr>
                <w:rFonts w:ascii="Arial" w:hAnsi="Arial"/>
                <w:sz w:val="18"/>
              </w:rPr>
              <w:t xml:space="preserve">no</w:t>
            </w:r>
          </w:p>
        </w:tc>
      </w:tr>
      <w:tr>
        <w:tc>
          <w:tcPr/>
          <w:p>
            <w:pPr>
              <w:pStyle w:val="Compact"/>
              <w:spacing w:lineRule="auto" w:line="360"/>
              <w:jc w:val="left"/>
            </w:pPr>
            <w:r>
              <w:rPr>
                <w:rFonts w:ascii="Arial" w:hAnsi="Arial"/>
                <w:sz w:val="18"/>
              </w:rPr>
              <w:t xml:space="preserve">Khordha</w:t>
            </w:r>
          </w:p>
        </w:tc>
        <w:tc>
          <w:tcPr/>
          <w:p>
            <w:pPr>
              <w:pStyle w:val="Compact"/>
              <w:spacing w:lineRule="auto" w:line="360"/>
              <w:jc w:val="left"/>
            </w:pPr>
            <w:r>
              <w:rPr>
                <w:rFonts w:ascii="Arial" w:hAnsi="Arial"/>
                <w:sz w:val="18"/>
              </w:rPr>
              <w:t xml:space="preserve">coastal rainfall</w:t>
            </w:r>
          </w:p>
        </w:tc>
        <w:tc>
          <w:tcPr/>
          <w:p>
            <w:pPr>
              <w:pStyle w:val="Compact"/>
              <w:spacing w:lineRule="auto" w:line="360"/>
              <w:jc w:val="left"/>
            </w:pPr>
            <w:r>
              <w:rPr>
                <w:rFonts w:ascii="Arial" w:hAnsi="Arial"/>
                <w:sz w:val="18"/>
              </w:rPr>
              <w:t xml:space="preserve">−1.06</w:t>
            </w:r>
          </w:p>
        </w:tc>
        <w:tc>
          <w:tcPr/>
          <w:p>
            <w:pPr>
              <w:pStyle w:val="Compact"/>
              <w:spacing w:lineRule="auto" w:line="360"/>
              <w:jc w:val="left"/>
            </w:pPr>
            <w:r>
              <w:rPr>
                <w:rFonts w:ascii="Arial" w:hAnsi="Arial"/>
                <w:sz w:val="18"/>
              </w:rPr>
              <w:t xml:space="preserve">+1.96</w:t>
            </w:r>
          </w:p>
        </w:tc>
        <w:tc>
          <w:tcPr/>
          <w:p>
            <w:pPr>
              <w:pStyle w:val="Compact"/>
              <w:spacing w:lineRule="auto" w:line="360"/>
              <w:jc w:val="left"/>
            </w:pPr>
            <w:r>
              <w:rPr>
                <w:rFonts w:ascii="Arial" w:hAnsi="Arial"/>
                <w:sz w:val="18"/>
              </w:rPr>
              <w:t xml:space="preserve">−3.02</w:t>
            </w:r>
          </w:p>
        </w:tc>
        <w:tc>
          <w:tcPr/>
          <w:p>
            <w:pPr>
              <w:pStyle w:val="Compact"/>
              <w:spacing w:lineRule="auto" w:line="360"/>
              <w:jc w:val="left"/>
            </w:pPr>
            <w:r>
              <w:rPr>
                <w:rFonts w:ascii="Arial" w:hAnsi="Arial"/>
                <w:sz w:val="18"/>
              </w:rPr>
              <w:t xml:space="preserve">no</w:t>
            </w:r>
          </w:p>
        </w:tc>
      </w:tr>
      <w:tr>
        <w:tc>
          <w:tcPr/>
          <w:p>
            <w:pPr>
              <w:pStyle w:val="Compact"/>
              <w:spacing w:lineRule="auto" w:line="360"/>
              <w:jc w:val="left"/>
            </w:pPr>
            <w:r>
              <w:rPr>
                <w:rFonts w:ascii="Arial" w:hAnsi="Arial"/>
                <w:sz w:val="18"/>
              </w:rPr>
              <w:t xml:space="preserve">Mayurbhanj</w:t>
            </w:r>
          </w:p>
        </w:tc>
        <w:tc>
          <w:tcPr/>
          <w:p>
            <w:pPr>
              <w:pStyle w:val="Compact"/>
              <w:spacing w:lineRule="auto" w:line="360"/>
              <w:jc w:val="left"/>
            </w:pPr>
            <w:r>
              <w:rPr>
                <w:rFonts w:ascii="Arial" w:hAnsi="Arial"/>
                <w:sz w:val="18"/>
              </w:rPr>
              <w:t xml:space="preserve">coastal rainfall</w:t>
            </w:r>
          </w:p>
        </w:tc>
        <w:tc>
          <w:tcPr/>
          <w:p>
            <w:pPr>
              <w:pStyle w:val="Compact"/>
              <w:spacing w:lineRule="auto" w:line="360"/>
              <w:jc w:val="left"/>
            </w:pPr>
            <w:r>
              <w:rPr>
                <w:rFonts w:ascii="Arial" w:hAnsi="Arial"/>
                <w:sz w:val="18"/>
              </w:rPr>
              <w:t xml:space="preserve">+1.58</w:t>
            </w:r>
          </w:p>
        </w:tc>
        <w:tc>
          <w:tcPr/>
          <w:p>
            <w:pPr>
              <w:pStyle w:val="Compact"/>
              <w:spacing w:lineRule="auto" w:line="360"/>
              <w:jc w:val="left"/>
            </w:pPr>
            <w:r>
              <w:rPr>
                <w:rFonts w:ascii="Arial" w:hAnsi="Arial"/>
                <w:sz w:val="18"/>
              </w:rPr>
              <w:t xml:space="preserve">+1.96</w:t>
            </w:r>
          </w:p>
        </w:tc>
        <w:tc>
          <w:tcPr/>
          <w:p>
            <w:pPr>
              <w:pStyle w:val="Compact"/>
              <w:spacing w:lineRule="auto" w:line="360"/>
              <w:jc w:val="left"/>
            </w:pPr>
            <w:r>
              <w:rPr>
                <w:rFonts w:ascii="Arial" w:hAnsi="Arial"/>
                <w:sz w:val="18"/>
              </w:rPr>
              <w:t xml:space="preserve">−0.39</w:t>
            </w:r>
          </w:p>
        </w:tc>
        <w:tc>
          <w:tcPr/>
          <w:p>
            <w:pPr>
              <w:pStyle w:val="Compact"/>
              <w:spacing w:lineRule="auto" w:line="360"/>
              <w:jc w:val="left"/>
            </w:pPr>
            <w:r>
              <w:rPr>
                <w:rFonts w:ascii="Arial" w:hAnsi="Arial"/>
                <w:sz w:val="18"/>
              </w:rPr>
              <w:t xml:space="preserve">yes</w:t>
            </w:r>
          </w:p>
        </w:tc>
      </w:tr>
      <w:tr>
        <w:tc>
          <w:tcPr/>
          <w:p>
            <w:pPr>
              <w:pStyle w:val="Compact"/>
              <w:spacing w:lineRule="auto" w:line="360"/>
              <w:jc w:val="left"/>
            </w:pPr>
            <w:r>
              <w:rPr>
                <w:rFonts w:ascii="Arial" w:hAnsi="Arial"/>
                <w:sz w:val="18"/>
              </w:rPr>
              <w:t xml:space="preserve">Nayagarh</w:t>
            </w:r>
          </w:p>
        </w:tc>
        <w:tc>
          <w:tcPr/>
          <w:p>
            <w:pPr>
              <w:pStyle w:val="Compact"/>
              <w:spacing w:lineRule="auto" w:line="360"/>
              <w:jc w:val="left"/>
            </w:pPr>
            <w:r>
              <w:rPr>
                <w:rFonts w:ascii="Arial" w:hAnsi="Arial"/>
                <w:sz w:val="18"/>
              </w:rPr>
              <w:t xml:space="preserve">inland rainfall</w:t>
            </w:r>
          </w:p>
        </w:tc>
        <w:tc>
          <w:tcPr/>
          <w:p>
            <w:pPr>
              <w:pStyle w:val="Compact"/>
              <w:spacing w:lineRule="auto" w:line="360"/>
              <w:jc w:val="left"/>
            </w:pPr>
            <w:r>
              <w:rPr>
                <w:rFonts w:ascii="Arial" w:hAnsi="Arial"/>
                <w:sz w:val="18"/>
              </w:rPr>
              <w:t xml:space="preserve">+3.30</w:t>
            </w:r>
          </w:p>
        </w:tc>
        <w:tc>
          <w:tcPr/>
          <w:p>
            <w:pPr>
              <w:pStyle w:val="Compact"/>
              <w:spacing w:lineRule="auto" w:line="360"/>
              <w:jc w:val="left"/>
            </w:pPr>
            <w:r>
              <w:rPr>
                <w:rFonts w:ascii="Arial" w:hAnsi="Arial"/>
                <w:sz w:val="18"/>
              </w:rPr>
              <w:t xml:space="preserve">+1.96</w:t>
            </w:r>
          </w:p>
        </w:tc>
        <w:tc>
          <w:tcPr/>
          <w:p>
            <w:pPr>
              <w:pStyle w:val="Compact"/>
              <w:spacing w:lineRule="auto" w:line="360"/>
              <w:jc w:val="left"/>
            </w:pPr>
            <w:r>
              <w:rPr>
                <w:rFonts w:ascii="Arial" w:hAnsi="Arial"/>
                <w:sz w:val="18"/>
              </w:rPr>
              <w:t xml:space="preserve">+1.34</w:t>
            </w:r>
          </w:p>
        </w:tc>
        <w:tc>
          <w:tcPr/>
          <w:p>
            <w:pPr>
              <w:pStyle w:val="Compact"/>
              <w:spacing w:lineRule="auto" w:line="360"/>
              <w:jc w:val="left"/>
            </w:pPr>
            <w:r>
              <w:rPr>
                <w:rFonts w:ascii="Arial" w:hAnsi="Arial"/>
                <w:sz w:val="18"/>
              </w:rPr>
              <w:t xml:space="preserve">no</w:t>
            </w:r>
          </w:p>
        </w:tc>
      </w:tr>
    </w:tbl>
    <w:p>
      <w:pPr>
        <w:spacing w:before="0" w:after="120" w:line="276" w:lineRule="auto"/>
      </w:pPr>
      <w:r>
        <w:rPr>
          <w:rFonts w:ascii="Arial" w:hAnsi="Arial"/>
          <w:i/>
          <w:sz w:val="19"/>
          <w:szCs w:val="19"/>
          <w:color w:val="595959"/>
        </w:rPr>
        <w:t xml:space="preserve">Abbreviations: PI = Prediction Interval.</w:t>
      </w:r>
    </w:p>
    <w:p>
      <w:pPr>
        <w:pStyle w:val="BodyText"/>
        <w:spacing w:lineRule="auto" w:line="480"/>
        <w:jc w:val="left"/>
      </w:pPr>
      <w:r>
        <w:rPr>
          <w:rFonts w:ascii="Arial" w:hAnsi="Arial"/>
          <w:sz w:val="20"/>
        </w:rPr>
        <w:t xml:space="preserve">(Source:</w:t>
      </w:r>
      <w:r>
        <w:rPr>
          <w:rFonts w:ascii="Arial" w:hAnsi="Arial"/>
          <w:sz w:val="20"/>
        </w:rPr>
        <w:t xml:space="preserve"> </w:t>
      </w:r>
      <w:r>
        <w:rPr>
          <w:rStyle w:val="VerbatimChar"/>
          <w:rFonts w:ascii="Arial" w:hAnsi="Arial"/>
          <w:sz w:val="20"/>
        </w:rPr>
        <w:t xml:space="preserve">analysis/results/bulbul_transferability.csv</w:t>
      </w:r>
      <w:r>
        <w:rPr>
          <w:rFonts w:ascii="Arial" w:hAnsi="Arial"/>
          <w:sz w:val="20"/>
        </w:rPr>
        <w:t xml:space="preserve">; full rendering in Table S3.)</w:t>
      </w:r>
    </w:p>
    <w:p>
      <w:pPr>
        <w:pStyle w:val="BodyText"/>
        <w:spacing w:lineRule="auto" w:line="480"/>
        <w:jc w:val="both"/>
      </w:pPr>
      <w:r>
        <w:rPr>
          <w:rFonts w:ascii="Arial" w:hAnsi="Arial"/>
          <w:sz w:val="20"/>
        </w:rPr>
        <w:t xml:space="preserve">Five of the six probe districts produce</w:t>
      </w:r>
      <w:r>
        <w:rPr>
          <w:rFonts w:ascii="Arial" w:hAnsi="Arial"/>
          <w:sz w:val="20"/>
        </w:rPr>
        <w:t xml:space="preserve"> </w:t>
      </w:r>
      <w:r>
        <w:rPr>
          <w:rFonts w:ascii="Arial" w:hAnsi="Arial"/>
          <w:i/>
          <w:iCs/>
          <w:sz w:val="20"/>
        </w:rPr>
        <w:t xml:space="preserve">negative</w:t>
      </w:r>
      <w:r>
        <w:rPr>
          <w:rFonts w:ascii="Arial" w:hAnsi="Arial"/>
          <w:sz w:val="20"/>
        </w:rPr>
        <w:t xml:space="preserve"> </w:t>
      </w:r>
      <w:r>
        <w:rPr>
          <w:rFonts w:ascii="Arial" w:hAnsi="Arial"/>
          <w:sz w:val="20"/>
        </w:rPr>
        <w:t xml:space="preserve">residuals (mean residual</w:t>
      </w:r>
      <w:r>
        <w:rPr>
          <w:rFonts w:ascii="Arial" w:hAnsi="Arial"/>
          <w:sz w:val="20"/>
        </w:rPr>
        <w:t xml:space="preserve"> </w:t>
      </w:r>
      <m:oMath>
        <m:acc>
          <m:accPr>
            <m:chr m:val="‾"/>
          </m:accPr>
          <m:e>
            <m:r>
              <m:t>r</m:t>
            </m:r>
          </m:e>
        </m:acc>
        <m:r>
          <m:rPr>
            <m:sty m:val="p"/>
          </m:rPr>
          <m:t>=</m:t>
        </m:r>
        <m:r>
          <m:rPr>
            <m:sty m:val="p"/>
          </m:rPr>
          <m:t>−</m:t>
        </m:r>
        <m:r>
          <m:t>1.91</m:t>
        </m:r>
      </m:oMath>
      <w:r>
        <w:rPr>
          <w:rFonts w:ascii="Arial" w:hAnsi="Arial"/>
          <w:sz w:val="20"/>
        </w:rPr>
        <w:t xml:space="preserve"> </w:t>
      </w:r>
      <w:r>
        <w:rPr>
          <w:rFonts w:ascii="Arial" w:hAnsi="Arial"/>
          <w:sz w:val="20"/>
        </w:rPr>
        <w:t xml:space="preserve">d, range</w:t>
      </w:r>
      <w:r>
        <w:rPr>
          <w:rFonts w:ascii="Arial" w:hAnsi="Arial"/>
          <w:sz w:val="20"/>
        </w:rPr>
        <w:t xml:space="preserve"> </w:t>
      </w:r>
      <m:oMath>
        <m:d>
          <m:dPr>
            <m:begChr m:val="["/>
            <m:endChr m:val="]"/>
            <m:sepChr m:val=""/>
            <m:grow/>
          </m:dPr>
          <m:e>
            <m:r>
              <m:rPr>
                <m:sty m:val="p"/>
              </m:rPr>
              <m:t>−</m:t>
            </m:r>
            <m:r>
              <m:t>5.85</m:t>
            </m:r>
            <m:r>
              <m:rPr>
                <m:sty m:val="p"/>
              </m:rPr>
              <m:t>,</m:t>
            </m:r>
            <m:r>
              <m:rPr>
                <m:sty m:val="p"/>
              </m:rPr>
              <m:t>+</m:t>
            </m:r>
            <m:r>
              <m:t>1.34</m:t>
            </m:r>
          </m:e>
        </m:d>
      </m:oMath>
      <w:r>
        <w:rPr>
          <w:rFonts w:ascii="Arial" w:hAnsi="Arial"/>
          <w:sz w:val="20"/>
        </w:rPr>
        <w:t xml:space="preserve"> </w:t>
      </w:r>
      <w:r>
        <w:rPr>
          <w:rFonts w:ascii="Arial" w:hAnsi="Arial"/>
          <w:sz w:val="20"/>
        </w:rPr>
        <w:t xml:space="preserve">d). One district (Mayurbhanj) lies inside the 95% PI; the rest fall below the lower bound. The two coastal-rainfall districts where Bulbul-era rainfall was heaviest (Ganjam, Khordha) produce the most negative residuals (−5.85, −3.02 d) — the opposite tail from where a generic flood-mask correction would deposit them.</w:t>
      </w:r>
    </w:p>
    <w:bookmarkEnd w:id="23"/>
    <w:bookmarkStart w:id="24" w:name="s1.4-interpretation"/>
    <w:p>
      <w:pPr>
        <w:pStyle w:val="Heading2"/>
        <w:spacing w:lineRule="auto" w:line="360"/>
      </w:pPr>
      <w:r>
        <w:rPr>
          <w:rFonts w:ascii="Arial" w:hAnsi="Arial"/>
        </w:rPr>
        <w:t xml:space="preserve">S1.4 Interpretation</w:t>
      </w:r>
    </w:p>
    <w:p>
      <w:pPr>
        <w:pStyle w:val="FirstParagraph"/>
        <w:spacing w:lineRule="auto" w:line="480"/>
        <w:jc w:val="both"/>
      </w:pPr>
      <w:r>
        <w:rPr>
          <w:rFonts w:ascii="Arial" w:hAnsi="Arial"/>
          <w:sz w:val="20"/>
        </w:rPr>
        <w:t xml:space="preserve">The signature in §S1.3 is the pre-registered falsification-survival pattern: the corrected pipeline does</w:t>
      </w:r>
      <w:r>
        <w:rPr>
          <w:rFonts w:ascii="Arial" w:hAnsi="Arial"/>
          <w:sz w:val="20"/>
        </w:rPr>
        <w:t xml:space="preserve"> </w:t>
      </w:r>
      <w:r>
        <w:rPr>
          <w:rFonts w:ascii="Arial" w:hAnsi="Arial"/>
          <w:i/>
          <w:iCs/>
          <w:sz w:val="20"/>
        </w:rPr>
        <w:t xml:space="preserve">not</w:t>
      </w:r>
      <w:r>
        <w:rPr>
          <w:rFonts w:ascii="Arial" w:hAnsi="Arial"/>
          <w:sz w:val="20"/>
        </w:rPr>
        <w:t xml:space="preserve"> </w:t>
      </w:r>
      <w:r>
        <w:rPr>
          <w:rFonts w:ascii="Arial" w:hAnsi="Arial"/>
          <w:sz w:val="20"/>
        </w:rPr>
        <w:t xml:space="preserve">transfer to the post-monsoon freshwater-rainfall context. Five of six districts shift</w:t>
      </w:r>
      <w:r>
        <w:rPr>
          <w:rFonts w:ascii="Arial" w:hAnsi="Arial"/>
          <w:sz w:val="20"/>
        </w:rPr>
        <w:t xml:space="preserve"> </w:t>
      </w:r>
      <w:r>
        <w:rPr>
          <w:rFonts w:ascii="Arial" w:hAnsi="Arial"/>
          <w:i/>
          <w:iCs/>
          <w:sz w:val="20"/>
        </w:rPr>
        <w:t xml:space="preserve">less</w:t>
      </w:r>
      <w:r>
        <w:rPr>
          <w:rFonts w:ascii="Arial" w:hAnsi="Arial"/>
          <w:sz w:val="20"/>
        </w:rPr>
        <w:t xml:space="preserve"> </w:t>
      </w:r>
      <w:r>
        <w:rPr>
          <w:rFonts w:ascii="Arial" w:hAnsi="Arial"/>
          <w:sz w:val="20"/>
        </w:rPr>
        <w:t xml:space="preserve">than the headline prediction (or in the opposite direction), and the over-shoot at Nayagarh (+1.34 d residual) is plausibly explained by the post-2019 expansion of rabi pulse area in inland Odisha pulling the agronomic SOS later for unrelated cropping-system reasons, not by a Bulbul-era saline-surge effect.</w:t>
      </w:r>
    </w:p>
    <w:p>
      <w:pPr>
        <w:pStyle w:val="BodyText"/>
        <w:spacing w:lineRule="auto" w:line="480"/>
        <w:jc w:val="both"/>
      </w:pPr>
      <w:r>
        <w:rPr>
          <w:rFonts w:ascii="Arial" w:hAnsi="Arial"/>
          <w:sz w:val="20"/>
        </w:rPr>
        <w:t xml:space="preserve">We interpret this pattern as evidence that the trained correction operator is</w:t>
      </w:r>
      <w:r>
        <w:rPr>
          <w:rFonts w:ascii="Arial" w:hAnsi="Arial"/>
          <w:sz w:val="20"/>
        </w:rPr>
        <w:t xml:space="preserve"> </w:t>
      </w:r>
      <w:r>
        <w:rPr>
          <w:rFonts w:ascii="Arial" w:hAnsi="Arial"/>
          <w:i/>
          <w:iCs/>
          <w:sz w:val="20"/>
        </w:rPr>
        <w:t xml:space="preserve">mechanism-specific</w:t>
      </w:r>
      <w:r>
        <w:rPr>
          <w:rFonts w:ascii="Arial" w:hAnsi="Arial"/>
          <w:sz w:val="20"/>
        </w:rPr>
        <w:t xml:space="preserve"> </w:t>
      </w:r>
      <w:r>
        <w:rPr>
          <w:rFonts w:ascii="Arial" w:hAnsi="Arial"/>
          <w:sz w:val="20"/>
        </w:rPr>
        <w:t xml:space="preserve">to the saline storm-surge backscatter signature in the pre-Kharif window:</w:t>
      </w:r>
    </w:p>
    <w:p>
      <w:pPr>
        <w:pStyle w:val="Compact"/>
        <w:numPr>
          <w:ilvl w:val="0"/>
          <w:numId w:val="1003"/>
        </w:numPr>
        <w:spacing w:lineRule="auto" w:line="480"/>
        <w:jc w:val="both"/>
      </w:pPr>
      <w:r>
        <w:rPr>
          <w:rFonts w:ascii="Arial" w:hAnsi="Arial"/>
          <w:sz w:val="20"/>
        </w:rPr>
        <w:t xml:space="preserve">The correction does not over-generalise to a generic excess-water mask. Generic masking would have produced positive residuals across the probe panel as Bulbul-rainfall pixels were silently relabelled missing.</w:t>
      </w:r>
    </w:p>
    <w:p>
      <w:pPr>
        <w:pStyle w:val="Compact"/>
        <w:numPr>
          <w:ilvl w:val="0"/>
          <w:numId w:val="1003"/>
        </w:numPr>
        <w:spacing w:lineRule="auto" w:line="480"/>
        <w:jc w:val="both"/>
      </w:pPr>
      <w:r>
        <w:rPr>
          <w:rFonts w:ascii="Arial" w:hAnsi="Arial"/>
          <w:sz w:val="20"/>
        </w:rPr>
        <w:t xml:space="preserve">The correction is calendar-window-specific. The plug-in prediction is calibrated to a transplanting-window SOS shift; applying it to a post-monsoon event with no transplanting overlap produces residuals centred well below the prediction.</w:t>
      </w:r>
    </w:p>
    <w:p>
      <w:pPr>
        <w:pStyle w:val="Compact"/>
        <w:numPr>
          <w:ilvl w:val="0"/>
          <w:numId w:val="1003"/>
        </w:numPr>
        <w:spacing w:lineRule="auto" w:line="480"/>
        <w:jc w:val="both"/>
      </w:pPr>
      <w:r>
        <w:rPr>
          <w:rFonts w:ascii="Arial" w:hAnsi="Arial"/>
          <w:sz w:val="20"/>
        </w:rPr>
        <w:t xml:space="preserve">The correction is mechanism-class-specific. Coastal Odisha districts that received Bulbul</w:t>
      </w:r>
      <w:r>
        <w:rPr>
          <w:rFonts w:ascii="Arial" w:hAnsi="Arial"/>
          <w:sz w:val="20"/>
        </w:rPr>
        <w:t xml:space="preserve"> </w:t>
      </w:r>
      <w:r>
        <w:rPr>
          <w:rFonts w:ascii="Arial" w:hAnsi="Arial"/>
          <w:i/>
          <w:iCs/>
          <w:sz w:val="20"/>
        </w:rPr>
        <w:t xml:space="preserve">rainfall</w:t>
      </w:r>
      <w:r>
        <w:rPr>
          <w:rFonts w:ascii="Arial" w:hAnsi="Arial"/>
          <w:sz w:val="20"/>
        </w:rPr>
        <w:t xml:space="preserve"> </w:t>
      </w:r>
      <w:r>
        <w:rPr>
          <w:rFonts w:ascii="Arial" w:hAnsi="Arial"/>
          <w:sz w:val="20"/>
        </w:rPr>
        <w:t xml:space="preserve">without saline ingress did not behave as if they had received Bulbul</w:t>
      </w:r>
      <w:r>
        <w:rPr>
          <w:rFonts w:ascii="Arial" w:hAnsi="Arial"/>
          <w:sz w:val="20"/>
        </w:rPr>
        <w:t xml:space="preserve"> </w:t>
      </w:r>
      <w:r>
        <w:rPr>
          <w:rFonts w:ascii="Arial" w:hAnsi="Arial"/>
          <w:i/>
          <w:iCs/>
          <w:sz w:val="20"/>
        </w:rPr>
        <w:t xml:space="preserve">surge</w:t>
      </w:r>
      <w:r>
        <w:rPr>
          <w:rFonts w:ascii="Arial" w:hAnsi="Arial"/>
          <w:sz w:val="20"/>
        </w:rPr>
        <w:t xml:space="preserve">.</w:t>
      </w:r>
    </w:p>
    <w:p>
      <w:pPr>
        <w:pStyle w:val="FirstParagraph"/>
        <w:spacing w:lineRule="auto" w:line="480"/>
        <w:jc w:val="both"/>
      </w:pPr>
      <w:r>
        <w:rPr>
          <w:rFonts w:ascii="Arial" w:hAnsi="Arial"/>
          <w:sz w:val="20"/>
        </w:rPr>
        <w:t xml:space="preserve">The pattern is consistent with the SUTVA / no-interference assumption invoked in §3.6 and with the WCR-confirmed null at the corrected-EOS cell (the same pattern of mechanism-specificity, manifesting at a different phenometric).</w:t>
      </w:r>
    </w:p>
    <w:bookmarkEnd w:id="24"/>
    <w:bookmarkStart w:id="25" w:name="s1.5-limitations"/>
    <w:p>
      <w:pPr>
        <w:pStyle w:val="Heading2"/>
        <w:spacing w:lineRule="auto" w:line="360"/>
      </w:pPr>
      <w:r>
        <w:rPr>
          <w:rFonts w:ascii="Arial" w:hAnsi="Arial"/>
        </w:rPr>
        <w:t xml:space="preserve">S1.5 Limitations</w:t>
      </w:r>
    </w:p>
    <w:p>
      <w:pPr>
        <w:pStyle w:val="FirstParagraph"/>
        <w:spacing w:lineRule="auto" w:line="480"/>
        <w:jc w:val="left"/>
      </w:pPr>
      <w:r>
        <w:rPr>
          <w:rFonts w:ascii="Arial" w:hAnsi="Arial"/>
          <w:sz w:val="20"/>
        </w:rPr>
        <w:t xml:space="preserve">Three caveats accompany this transferability probe, each declared at pre-registration:</w:t>
      </w:r>
    </w:p>
    <w:p>
      <w:pPr>
        <w:pStyle w:val="Compact"/>
        <w:numPr>
          <w:ilvl w:val="0"/>
          <w:numId w:val="1004"/>
        </w:numPr>
        <w:spacing w:lineRule="auto" w:line="480"/>
        <w:jc w:val="both"/>
      </w:pPr>
      <w:r>
        <w:rPr>
          <w:rFonts w:ascii="Arial" w:hAnsi="Arial"/>
          <w:b/>
          <w:bCs/>
          <w:sz w:val="20"/>
        </w:rPr>
        <w:t xml:space="preserve">Six is small.</w:t>
      </w:r>
      <w:r>
        <w:rPr>
          <w:rFonts w:ascii="Arial" w:hAnsi="Arial"/>
          <w:sz w:val="20"/>
        </w:rPr>
        <w:t xml:space="preserve"> </w:t>
      </w:r>
      <w:r>
        <w:rPr>
          <w:rFonts w:ascii="Arial" w:hAnsi="Arial"/>
          <w:sz w:val="20"/>
        </w:rPr>
        <w:t xml:space="preserve">Six probe districts are not enough to reject a generic-mask alternative formally; we report the result as a directional probe, not as a hypothesis test. The mean-residual point estimate (−1.91 d) is the headline summary; we do not attach a</w:t>
      </w:r>
      <w:r>
        <w:rPr>
          <w:rFonts w:ascii="Arial" w:hAnsi="Arial"/>
          <w:sz w:val="20"/>
        </w:rPr>
        <w:t xml:space="preserve"> </w:t>
      </w:r>
      <m:oMath>
        <m:r>
          <m:t>p</m:t>
        </m:r>
      </m:oMath>
      <w:r>
        <w:rPr>
          <w:rFonts w:ascii="Arial" w:hAnsi="Arial"/>
          <w:sz w:val="20"/>
        </w:rPr>
        <w:t xml:space="preserve">-value to it.</w:t>
      </w:r>
    </w:p>
    <w:p>
      <w:pPr>
        <w:pStyle w:val="Compact"/>
        <w:numPr>
          <w:ilvl w:val="0"/>
          <w:numId w:val="1004"/>
        </w:numPr>
        <w:spacing w:lineRule="auto" w:line="480"/>
        <w:jc w:val="both"/>
      </w:pPr>
      <w:r>
        <w:rPr>
          <w:rFonts w:ascii="Arial" w:hAnsi="Arial"/>
          <w:b/>
          <w:bCs/>
          <w:sz w:val="20"/>
        </w:rPr>
        <w:t xml:space="preserve">Probe districts are not random.</w:t>
      </w:r>
      <w:r>
        <w:rPr>
          <w:rFonts w:ascii="Arial" w:hAnsi="Arial"/>
          <w:sz w:val="20"/>
        </w:rPr>
        <w:t xml:space="preserve"> </w:t>
      </w:r>
      <w:r>
        <w:rPr>
          <w:rFonts w:ascii="Arial" w:hAnsi="Arial"/>
          <w:sz w:val="20"/>
        </w:rPr>
        <w:t xml:space="preserve">District selection followed the IMD 2019 Bulbul rainfall-impact assessment, not random sampling from the universe of Odisha districts. The probe is therefore best read as a</w:t>
      </w:r>
      <w:r>
        <w:rPr>
          <w:rFonts w:ascii="Arial" w:hAnsi="Arial"/>
          <w:sz w:val="20"/>
        </w:rPr>
        <w:t xml:space="preserve"> </w:t>
      </w:r>
      <w:r>
        <w:rPr>
          <w:rFonts w:ascii="Arial" w:hAnsi="Arial"/>
          <w:i/>
          <w:iCs/>
          <w:sz w:val="20"/>
        </w:rPr>
        <w:t xml:space="preserve">targeted</w:t>
      </w:r>
      <w:r>
        <w:rPr>
          <w:rFonts w:ascii="Arial" w:hAnsi="Arial"/>
          <w:sz w:val="20"/>
        </w:rPr>
        <w:t xml:space="preserve"> </w:t>
      </w:r>
      <w:r>
        <w:rPr>
          <w:rFonts w:ascii="Arial" w:hAnsi="Arial"/>
          <w:sz w:val="20"/>
        </w:rPr>
        <w:t xml:space="preserve">falsification test against the most plausible alternative (generic flood masking transferring to a high-rainfall post-monsoon event), not as a representative survey.</w:t>
      </w:r>
    </w:p>
    <w:p>
      <w:pPr>
        <w:pStyle w:val="Compact"/>
        <w:numPr>
          <w:ilvl w:val="0"/>
          <w:numId w:val="1004"/>
        </w:numPr>
        <w:spacing w:lineRule="auto" w:line="480"/>
        <w:jc w:val="both"/>
      </w:pPr>
      <w:r>
        <w:rPr>
          <w:rFonts w:ascii="Arial" w:hAnsi="Arial"/>
          <w:b/>
          <w:bCs/>
          <w:sz w:val="20"/>
        </w:rPr>
        <w:t xml:space="preserve">Single year.</w:t>
      </w:r>
      <w:r>
        <w:rPr>
          <w:rFonts w:ascii="Arial" w:hAnsi="Arial"/>
          <w:sz w:val="20"/>
        </w:rPr>
        <w:t xml:space="preserve"> </w:t>
      </w:r>
      <w:r>
        <w:rPr>
          <w:rFonts w:ascii="Arial" w:hAnsi="Arial"/>
          <w:sz w:val="20"/>
        </w:rPr>
        <w:t xml:space="preserve">Only the 2020 Kharif window is observable as the post-Bulbul probe season; prior Kharif seasons (2017, 2018) anchor the within-district baseline but cannot themselves be probed against Bulbul. The probe is therefore one observation per district, not a panel.</w:t>
      </w:r>
    </w:p>
    <w:p>
      <w:pPr>
        <w:pStyle w:val="FirstParagraph"/>
        <w:spacing w:lineRule="auto" w:line="480"/>
        <w:jc w:val="both"/>
      </w:pPr>
      <w:r>
        <w:rPr>
          <w:rFonts w:ascii="Arial" w:hAnsi="Arial"/>
          <w:sz w:val="20"/>
        </w:rPr>
        <w:t xml:space="preserve">These limitations are why the Bulbul probe is reported as one of five robustness instruments — alongside the wild-cluster bootstrap (§3.7.1), leave-one-out jackknife (§3.7.3), placebo / falsification (§3.7.4), and post-hoc MDE / power (§3.7.5) — and not as a stand-alone validation of the headline coefficient. Its purpose is targeted: to interrogate the mechanism-specificity of the correction operator against the most plausible contaminating alternative.</w:t>
      </w:r>
    </w:p>
    <w:bookmarkEnd w:id="25"/>
    <w:bookmarkStart w:id="26" w:name="s1.6-pre-registration-trail"/>
    <w:p>
      <w:pPr>
        <w:pStyle w:val="Heading2"/>
        <w:spacing w:lineRule="auto" w:line="360"/>
      </w:pPr>
      <w:r>
        <w:rPr>
          <w:rFonts w:ascii="Arial" w:hAnsi="Arial"/>
        </w:rPr>
        <w:t xml:space="preserve">S1.6 Pre-registration trail</w:t>
      </w:r>
    </w:p>
    <w:p>
      <w:pPr>
        <w:pStyle w:val="Compact"/>
        <w:numPr>
          <w:ilvl w:val="0"/>
          <w:numId w:val="1005"/>
        </w:numPr>
        <w:spacing w:lineRule="auto" w:line="480"/>
        <w:jc w:val="both"/>
      </w:pPr>
      <w:r>
        <w:rPr>
          <w:rFonts w:ascii="Arial" w:hAnsi="Arial"/>
          <w:sz w:val="20"/>
        </w:rPr>
        <w:t xml:space="preserve">Original pre-registration (</w:t>
      </w:r>
      <w:hyperlink r:id="rId20">
        <w:r>
          <w:rPr>
            <w:rStyle w:val="Hyperlink"/>
          </w:rPr>
          <w:t xml:space="preserve">OSF c4mp8</w:t>
        </w:r>
      </w:hyperlink>
      <w:r>
        <w:rPr>
          <w:rFonts w:ascii="Arial" w:hAnsi="Arial"/>
          <w:sz w:val="20"/>
        </w:rPr>
        <w:t xml:space="preserve">, 2025): identified Fani / Amphan / Yaas as the treatment cohort and pre-specified the TWFE-DiD estimating equation;</w:t>
      </w:r>
      <w:r>
        <w:rPr>
          <w:rFonts w:ascii="Arial" w:hAnsi="Arial"/>
          <w:sz w:val="20"/>
        </w:rPr>
        <w:t xml:space="preserve"> </w:t>
      </w:r>
      <w:r>
        <w:rPr>
          <w:rFonts w:ascii="Arial" w:hAnsi="Arial"/>
          <w:i/>
          <w:iCs/>
          <w:sz w:val="20"/>
        </w:rPr>
        <w:t xml:space="preserve">did not</w:t>
      </w:r>
      <w:r>
        <w:rPr>
          <w:rFonts w:ascii="Arial" w:hAnsi="Arial"/>
          <w:sz w:val="20"/>
        </w:rPr>
        <w:t xml:space="preserve"> </w:t>
      </w:r>
      <w:r>
        <w:rPr>
          <w:rFonts w:ascii="Arial" w:hAnsi="Arial"/>
          <w:sz w:val="20"/>
        </w:rPr>
        <w:t xml:space="preserve">originally include Bulbul.</w:t>
      </w:r>
    </w:p>
    <w:p>
      <w:pPr>
        <w:pStyle w:val="Compact"/>
        <w:numPr>
          <w:ilvl w:val="0"/>
          <w:numId w:val="1005"/>
        </w:numPr>
        <w:spacing w:lineRule="auto" w:line="480"/>
        <w:jc w:val="both"/>
      </w:pPr>
      <w:r>
        <w:rPr>
          <w:rFonts w:ascii="Arial" w:hAnsi="Arial"/>
          <w:sz w:val="20"/>
        </w:rPr>
        <w:t xml:space="preserve">Scope amendment,</w:t>
      </w:r>
      <w:r>
        <w:rPr>
          <w:rFonts w:ascii="Arial" w:hAnsi="Arial"/>
          <w:sz w:val="20"/>
        </w:rPr>
        <w:t xml:space="preserve"> </w:t>
      </w:r>
      <w:r>
        <w:rPr>
          <w:rFonts w:ascii="Arial" w:hAnsi="Arial"/>
          <w:b/>
          <w:bCs/>
          <w:sz w:val="20"/>
        </w:rPr>
        <w:t xml:space="preserve">2026-04-29</w:t>
      </w:r>
      <w:r>
        <w:rPr>
          <w:rFonts w:ascii="Arial" w:hAnsi="Arial"/>
          <w:sz w:val="20"/>
        </w:rPr>
        <w:t xml:space="preserve"> </w:t>
      </w:r>
      <w:r>
        <w:rPr>
          <w:rFonts w:ascii="Arial" w:hAnsi="Arial"/>
          <w:sz w:val="20"/>
        </w:rPr>
        <w:t xml:space="preserve">(logged on the OSF wiki): added Cyclone Bulbul (November 2019) as an out-of-sample transferability probe, with the directional prediction</w:t>
      </w:r>
      <w:r>
        <w:rPr>
          <w:rFonts w:ascii="Arial" w:hAnsi="Arial"/>
          <w:sz w:val="20"/>
        </w:rPr>
        <w:t xml:space="preserve"> </w:t>
      </w:r>
      <w:r>
        <w:rPr>
          <w:rFonts w:ascii="Arial" w:hAnsi="Arial"/>
          <w:sz w:val="20"/>
        </w:rPr>
        <w:t xml:space="preserve">“</w:t>
      </w:r>
      <m:oMath>
        <m:d>
          <m:dPr>
            <m:begChr m:val="|"/>
            <m:endChr m:val="|"/>
            <m:sepChr m:val=""/>
            <m:grow/>
          </m:dPr>
          <m:e>
            <m:sSub>
              <m:e>
                <m:r>
                  <m:t>r</m:t>
                </m:r>
              </m:e>
              <m:sub>
                <m:r>
                  <m:t>d</m:t>
                </m:r>
              </m:sub>
            </m:sSub>
          </m:e>
        </m:d>
      </m:oMath>
      <w:r>
        <w:rPr>
          <w:rFonts w:ascii="Arial" w:hAnsi="Arial"/>
          <w:sz w:val="20"/>
        </w:rPr>
        <w:t xml:space="preserve"> </w:t>
      </w:r>
      <w:r>
        <w:rPr>
          <w:rFonts w:ascii="Arial" w:hAnsi="Arial"/>
          <w:sz w:val="20"/>
        </w:rPr>
        <w:t xml:space="preserve">small AND</w:t>
      </w:r>
      <w:r>
        <w:rPr>
          <w:rFonts w:ascii="Arial" w:hAnsi="Arial"/>
          <w:sz w:val="20"/>
        </w:rPr>
        <w:t xml:space="preserve"> </w:t>
      </w:r>
      <m:oMath>
        <m:r>
          <m:rPr>
            <m:sty m:val="p"/>
          </m:rPr>
          <m:t>≥</m:t>
        </m:r>
        <m:r>
          <m:t>5</m:t>
        </m:r>
        <m:r>
          <m:rPr>
            <m:sty m:val="p"/>
          </m:rPr>
          <m:t>/</m:t>
        </m:r>
        <m:r>
          <m:t>6</m:t>
        </m:r>
      </m:oMath>
      <w:r>
        <w:rPr>
          <w:rFonts w:ascii="Arial" w:hAnsi="Arial"/>
          <w:sz w:val="20"/>
        </w:rPr>
        <w:t xml:space="preserve"> </w:t>
      </w:r>
      <w:r>
        <w:rPr>
          <w:rFonts w:ascii="Arial" w:hAnsi="Arial"/>
          <w:sz w:val="20"/>
        </w:rPr>
        <w:t xml:space="preserve">districts inside the 95% PI</w:t>
      </w:r>
      <w:r>
        <w:rPr>
          <w:rFonts w:ascii="Arial" w:hAnsi="Arial"/>
          <w:sz w:val="20"/>
        </w:rPr>
        <w:t xml:space="preserve">”</w:t>
      </w:r>
      <w:r>
        <w:rPr>
          <w:rFonts w:ascii="Arial" w:hAnsi="Arial"/>
          <w:sz w:val="20"/>
        </w:rPr>
        <w:t xml:space="preserve"> </w:t>
      </w:r>
      <w:r>
        <w:rPr>
          <w:rFonts w:ascii="Arial" w:hAnsi="Arial"/>
          <w:sz w:val="20"/>
        </w:rPr>
        <w:t xml:space="preserve">as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criterion and</w:t>
      </w:r>
      <w:r>
        <w:rPr>
          <w:rFonts w:ascii="Arial" w:hAnsi="Arial"/>
          <w:sz w:val="20"/>
        </w:rPr>
        <w:t xml:space="preserve"> </w:t>
      </w:r>
      <w:r>
        <w:rPr>
          <w:rFonts w:ascii="Arial" w:hAnsi="Arial"/>
          <w:sz w:val="20"/>
        </w:rPr>
        <w:t xml:space="preserve">“</w:t>
      </w:r>
      <w:r>
        <w:rPr>
          <w:rFonts w:ascii="Arial" w:hAnsi="Arial"/>
          <w:sz w:val="20"/>
        </w:rPr>
        <w:t xml:space="preserve">systematically negative residuals consistent with mechanism-specific correction</w:t>
      </w:r>
      <w:r>
        <w:rPr>
          <w:rFonts w:ascii="Arial" w:hAnsi="Arial"/>
          <w:sz w:val="20"/>
        </w:rPr>
        <w:t xml:space="preserve">”</w:t>
      </w:r>
      <w:r>
        <w:rPr>
          <w:rFonts w:ascii="Arial" w:hAnsi="Arial"/>
          <w:sz w:val="20"/>
        </w:rPr>
        <w:t xml:space="preserve"> </w:t>
      </w:r>
      <w:r>
        <w:rPr>
          <w:rFonts w:ascii="Arial" w:hAnsi="Arial"/>
          <w:sz w:val="20"/>
        </w:rPr>
        <w:t xml:space="preserve">as the</w:t>
      </w:r>
      <w:r>
        <w:rPr>
          <w:rFonts w:ascii="Arial" w:hAnsi="Arial"/>
          <w:sz w:val="20"/>
        </w:rPr>
        <w:t xml:space="preserve"> </w:t>
      </w:r>
      <w:r>
        <w:rPr>
          <w:rFonts w:ascii="Arial" w:hAnsi="Arial"/>
          <w:i/>
          <w:iCs/>
          <w:sz w:val="20"/>
        </w:rPr>
        <w:t xml:space="preserve">informative-fail</w:t>
      </w:r>
      <w:r>
        <w:rPr>
          <w:rFonts w:ascii="Arial" w:hAnsi="Arial"/>
          <w:sz w:val="20"/>
        </w:rPr>
        <w:t xml:space="preserve"> </w:t>
      </w:r>
      <w:r>
        <w:rPr>
          <w:rFonts w:ascii="Arial" w:hAnsi="Arial"/>
          <w:sz w:val="20"/>
        </w:rPr>
        <w:t xml:space="preserve">criterion. The observed pattern matches the second branch.</w:t>
      </w:r>
    </w:p>
    <w:bookmarkEnd w:id="26"/>
    <w:bookmarkStart w:id="30" w:name="references"/>
    <w:p>
      <w:pPr>
        <w:pStyle w:val="Heading2"/>
        <w:spacing w:lineRule="auto" w:line="360"/>
      </w:pPr>
      <w:r>
        <w:rPr>
          <w:rFonts w:ascii="Arial" w:hAnsi="Arial"/>
        </w:rPr>
        <w:t xml:space="preserve">References</w:t>
      </w:r>
    </w:p>
    <w:p>
      <w:pPr>
        <w:pStyle w:val="Compact"/>
        <w:numPr>
          <w:ilvl w:val="0"/>
          <w:numId w:val="1006"/>
        </w:numPr>
        <w:spacing w:lineRule="auto" w:line="480"/>
        <w:jc w:val="both"/>
      </w:pPr>
      <w:r>
        <w:rPr>
          <w:rFonts w:ascii="Arial" w:hAnsi="Arial"/>
          <w:sz w:val="20"/>
        </w:rPr>
        <w:t xml:space="preserve">Athey, S., Imbens, G.W., 2017. The state of applied econometrics: causality and policy evaluation.</w:t>
      </w:r>
      <w:r>
        <w:rPr>
          <w:rFonts w:ascii="Arial" w:hAnsi="Arial"/>
          <w:sz w:val="20"/>
        </w:rPr>
        <w:t xml:space="preserve"> </w:t>
      </w:r>
      <w:r>
        <w:rPr>
          <w:rFonts w:ascii="Arial" w:hAnsi="Arial"/>
          <w:i/>
          <w:iCs/>
          <w:sz w:val="20"/>
        </w:rPr>
        <w:t xml:space="preserve">Journal of Economic Perspectives</w:t>
      </w:r>
      <w:r>
        <w:rPr>
          <w:rFonts w:ascii="Arial" w:hAnsi="Arial"/>
          <w:sz w:val="20"/>
        </w:rPr>
        <w:t xml:space="preserve"> </w:t>
      </w:r>
      <w:r>
        <w:rPr>
          <w:rFonts w:ascii="Arial" w:hAnsi="Arial"/>
          <w:sz w:val="20"/>
        </w:rPr>
        <w:t xml:space="preserve">31, 3–32.</w:t>
      </w:r>
      <w:r>
        <w:rPr>
          <w:rFonts w:ascii="Arial" w:hAnsi="Arial"/>
          <w:sz w:val="20"/>
        </w:rPr>
        <w:t xml:space="preserve"> </w:t>
      </w:r>
      <w:hyperlink r:id="rId27">
        <w:r>
          <w:rPr>
            <w:rStyle w:val="Hyperlink"/>
          </w:rPr>
          <w:t xml:space="preserve">doi:10.1257/jep.31.2.3</w:t>
        </w:r>
      </w:hyperlink>
    </w:p>
    <w:p>
      <w:pPr>
        <w:pStyle w:val="Compact"/>
        <w:numPr>
          <w:ilvl w:val="0"/>
          <w:numId w:val="1006"/>
        </w:numPr>
        <w:spacing w:lineRule="auto" w:line="480"/>
        <w:jc w:val="both"/>
      </w:pPr>
      <w:r>
        <w:rPr>
          <w:rFonts w:ascii="Arial" w:hAnsi="Arial"/>
          <w:sz w:val="20"/>
        </w:rPr>
        <w:t xml:space="preserve">IMD, 2020.</w:t>
      </w:r>
      <w:r>
        <w:rPr>
          <w:rFonts w:ascii="Arial" w:hAnsi="Arial"/>
          <w:sz w:val="20"/>
        </w:rPr>
        <w:t xml:space="preserve"> </w:t>
      </w:r>
      <w:r>
        <w:rPr>
          <w:rFonts w:ascii="Arial" w:hAnsi="Arial"/>
          <w:i/>
          <w:iCs/>
          <w:sz w:val="20"/>
        </w:rPr>
        <w:t xml:space="preserve">Report on Cyclonic Disturbances over North Indian Ocean during 2019</w:t>
      </w:r>
      <w:r>
        <w:rPr>
          <w:rFonts w:ascii="Arial" w:hAnsi="Arial"/>
          <w:sz w:val="20"/>
        </w:rPr>
        <w:t xml:space="preserve">. India Meteorological Department, New Delhi.</w:t>
      </w:r>
      <w:r>
        <w:rPr>
          <w:rFonts w:ascii="Arial" w:hAnsi="Arial"/>
          <w:sz w:val="20"/>
        </w:rPr>
        <w:t xml:space="preserve"> </w:t>
      </w:r>
      <w:hyperlink r:id="rId28">
        <w:r>
          <w:rPr>
            <w:rStyle w:val="Hyperlink"/>
          </w:rPr>
          <w:t xml:space="preserve">rsmcnewdelhi.imd.gov.in</w:t>
        </w:r>
      </w:hyperlink>
    </w:p>
    <w:p>
      <w:pPr>
        <w:pStyle w:val="Compact"/>
        <w:numPr>
          <w:ilvl w:val="0"/>
          <w:numId w:val="1006"/>
        </w:numPr>
        <w:spacing w:lineRule="auto" w:line="480"/>
        <w:jc w:val="both"/>
      </w:pPr>
      <w:r>
        <w:rPr>
          <w:rFonts w:ascii="Arial" w:hAnsi="Arial"/>
          <w:sz w:val="20"/>
        </w:rPr>
        <w:t xml:space="preserve">Knapp, K.R., Kruk, M.C., Levinson, D.H., Diamond, H.J., Neumann, C.J., 2010. The International Best Track Archive for Climate Stewardship (IBTrACS).</w:t>
      </w:r>
      <w:r>
        <w:rPr>
          <w:rFonts w:ascii="Arial" w:hAnsi="Arial"/>
          <w:sz w:val="20"/>
        </w:rPr>
        <w:t xml:space="preserve"> </w:t>
      </w:r>
      <w:r>
        <w:rPr>
          <w:rFonts w:ascii="Arial" w:hAnsi="Arial"/>
          <w:i/>
          <w:iCs/>
          <w:sz w:val="20"/>
        </w:rPr>
        <w:t xml:space="preserve">Bulletin of the American Meteorological Society</w:t>
      </w:r>
      <w:r>
        <w:rPr>
          <w:rFonts w:ascii="Arial" w:hAnsi="Arial"/>
          <w:sz w:val="20"/>
        </w:rPr>
        <w:t xml:space="preserve"> </w:t>
      </w:r>
      <w:r>
        <w:rPr>
          <w:rFonts w:ascii="Arial" w:hAnsi="Arial"/>
          <w:sz w:val="20"/>
        </w:rPr>
        <w:t xml:space="preserve">91, 363–376.</w:t>
      </w:r>
      <w:r>
        <w:rPr>
          <w:rFonts w:ascii="Arial" w:hAnsi="Arial"/>
          <w:sz w:val="20"/>
        </w:rPr>
        <w:t xml:space="preserve"> </w:t>
      </w:r>
      <w:hyperlink r:id="rId29">
        <w:r>
          <w:rPr>
            <w:rStyle w:val="Hyperlink"/>
          </w:rPr>
          <w:t xml:space="preserve">doi:10.1175/2009BAMS2755.1</w:t>
        </w:r>
      </w:hyperlink>
    </w:p>
    <w:bookmarkEnd w:id="30"/>
    <w:bookmarkEnd w:id="31"/>
    <w:p>
      <w:pPr>
        <w:spacing w:lineRule="auto" w:line="480"/>
        <w:jc w:val="left"/>
      </w:pPr>
      <w:r>
        <w:rPr>
          <w:rFonts w:ascii="Arial" w:hAnsi="Arial"/>
          <w:sz w:val="20"/>
        </w:rPr>
        <w:br w:type="page"/>
      </w:r>
    </w:p>
    <w:p>
      <w:pPr>
        <w:keepNext/>
        <w:spacing w:before="240" w:after="120" w:lineRule="auto" w:line="480"/>
        <w:jc w:val="left"/>
      </w:pPr>
      <w:bookmarkStart w:id="69809" w:name="note_s2"/>
      <w:r>
        <w:rPr>
          <w:rFonts w:ascii="Arial" w:hAnsi="Arial"/>
          <w:b/>
          <w:color w:val="1F3A5F"/>
          <w:sz w:val="32"/>
        </w:rPr>
        <w:t>Note S2 — Pre-Kharif Bay-of-Bengal cyclone climatology</w:t>
      </w:r>
      <w:bookmarkEnd w:id="69809"/>
    </w:p>
    <w:bookmarkStart w:id="31" w:name="Xba8bf53b4b47f874330c06c76f2a0ce4ee29e13"/>
    <w:p>
      <w:pPr>
        <w:pStyle w:val="Heading1"/>
        <w:spacing w:lineRule="auto" w:line="360"/>
      </w:pPr>
      <w:r>
        <w:rPr>
          <w:rFonts w:ascii="Arial" w:hAnsi="Arial"/>
        </w:rPr>
        <w:t xml:space="preserve">Supplementary Note S2 — Pre-Kharif Bay-of-Bengal cyclone climatology and the representativeness of the three identification cyclones</w:t>
      </w:r>
    </w:p>
    <w:p>
      <w:pPr>
        <w:pStyle w:val="FirstParagraph"/>
        <w:spacing w:lineRule="auto" w:line="480"/>
        <w:jc w:val="both"/>
      </w:pPr>
      <w:r>
        <w:rPr>
          <w:rFonts w:ascii="Arial" w:hAnsi="Arial"/>
          <w:b/>
          <w:bCs/>
          <w:sz w:val="20"/>
        </w:rPr>
        <w:t xml:space="preserve">Companion to:</w:t>
      </w:r>
      <w:r>
        <w:rPr>
          <w:rFonts w:ascii="Arial" w:hAnsi="Arial"/>
          <w:sz w:val="20"/>
        </w:rPr>
        <w:t xml:space="preserve"> </w:t>
      </w:r>
      <w:r>
        <w:rPr>
          <w:rFonts w:ascii="Arial" w:hAnsi="Arial"/>
          <w:sz w:val="20"/>
        </w:rPr>
        <w:t xml:space="preserve">Methods §3.6 of the main manuscript and Supplementary Note S1.</w:t>
      </w:r>
      <w:r>
        <w:rPr>
          <w:rFonts w:ascii="Arial" w:hAnsi="Arial"/>
          <w:sz w:val="20"/>
        </w:rPr>
        <w:t xml:space="preserve"> </w:t>
      </w:r>
      <w:r>
        <w:rPr>
          <w:rFonts w:ascii="Arial" w:hAnsi="Arial"/>
          <w:b/>
          <w:bCs/>
          <w:sz w:val="20"/>
        </w:rPr>
        <w:t xml:space="preserve">Module:</w:t>
      </w:r>
      <w:r>
        <w:rPr>
          <w:rFonts w:ascii="Arial" w:hAnsi="Arial"/>
          <w:sz w:val="20"/>
        </w:rPr>
        <w:t xml:space="preserve"> </w:t>
      </w:r>
      <w:r>
        <w:rPr>
          <w:rStyle w:val="VerbatimChar"/>
          <w:rFonts w:ascii="Arial" w:hAnsi="Arial"/>
          <w:sz w:val="20"/>
        </w:rPr>
        <w:t xml:space="preserve">analysis/11_cyclone_climatology.py</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analysis/results/cyclone_climatology.csv</w:t>
      </w:r>
      <w:r>
        <w:rPr>
          <w:rFonts w:ascii="Arial" w:hAnsi="Arial"/>
          <w:sz w:val="20"/>
        </w:rPr>
        <w:t xml:space="preserve">,</w:t>
      </w:r>
      <w:r>
        <w:rPr>
          <w:rFonts w:ascii="Arial" w:hAnsi="Arial"/>
          <w:sz w:val="20"/>
        </w:rPr>
        <w:t xml:space="preserve"> </w:t>
      </w:r>
      <w:r>
        <w:rPr>
          <w:rStyle w:val="VerbatimChar"/>
          <w:rFonts w:ascii="Arial" w:hAnsi="Arial"/>
          <w:sz w:val="20"/>
        </w:rPr>
        <w:t xml:space="preserve">analysis/results/cyclone_climatology_quantiles.csv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manuscript/supplement/Table_S8_cyclone_climatology.docx</w:t>
      </w:r>
      <w:r>
        <w:rPr>
          <w:rFonts w:ascii="Arial" w:hAnsi="Arial"/>
          <w:sz w:val="20"/>
        </w:rPr>
        <w:t xml:space="preserve">,</w:t>
      </w:r>
      <w:r>
        <w:rPr>
          <w:rFonts w:ascii="Arial" w:hAnsi="Arial"/>
          <w:sz w:val="20"/>
        </w:rPr>
        <w:t xml:space="preserve"> </w:t>
      </w:r>
      <w:r>
        <w:rPr>
          <w:rStyle w:val="VerbatimChar"/>
          <w:rFonts w:ascii="Arial" w:hAnsi="Arial"/>
          <w:sz w:val="20"/>
        </w:rPr>
        <w:t xml:space="preserve">figures/figS1_cyclone_climatology.{pdf,png}</w:t>
      </w:r>
      <w:r>
        <w:rPr>
          <w:rFonts w:ascii="Arial" w:hAnsi="Arial"/>
          <w:sz w:val="20"/>
        </w:rPr>
        <w:t xml:space="preserve">.</w:t>
      </w:r>
    </w:p>
    <w:p>
      <w:pPr>
        <w:spacing w:line="240" w:lineRule="auto"/>
      </w:pPr>
      <w:r>
        <w:rPr>
          <w:rFonts w:ascii="Arial" w:hAnsi="Arial"/>
          <w:sz w:val="20"/>
        </w:rPr>
        <w:pict>
          <v:rect style="width:0;height:1.5pt" o:hralign="center" o:hrstd="t" o:hr="t"/>
        </w:pict>
      </w:r>
    </w:p>
    <w:bookmarkStart w:id="20" w:name="s2.1-why-this-note-exists"/>
    <w:p>
      <w:pPr>
        <w:pStyle w:val="Heading2"/>
        <w:spacing w:lineRule="auto" w:line="360"/>
      </w:pPr>
      <w:r>
        <w:rPr>
          <w:rFonts w:ascii="Arial" w:hAnsi="Arial"/>
        </w:rPr>
        <w:t xml:space="preserve">S2.1 Why this note exists</w:t>
      </w:r>
    </w:p>
    <w:p>
      <w:pPr>
        <w:pStyle w:val="FirstParagraph"/>
        <w:spacing w:lineRule="auto" w:line="480"/>
        <w:jc w:val="both"/>
      </w:pPr>
      <w:r>
        <w:rPr>
          <w:rFonts w:ascii="Arial" w:hAnsi="Arial"/>
          <w:sz w:val="20"/>
        </w:rPr>
        <w:t xml:space="preserve">The TWFE-DiD specification in §3.6 identifies the cyclone-impact coefficient</w:t>
      </w:r>
      <w:r>
        <w:rPr>
          <w:rFonts w:ascii="Arial" w:hAnsi="Arial"/>
          <w:sz w:val="20"/>
        </w:rPr>
        <w:t xml:space="preserve"> </w:t>
      </w:r>
      <m:oMath>
        <m:acc>
          <m:accPr>
            <m:chr m:val="̂"/>
          </m:accPr>
          <m:e>
            <m:r>
              <m:t>τ</m:t>
            </m:r>
          </m:e>
        </m:acc>
      </m:oMath>
      <w:r>
        <w:rPr>
          <w:rFonts w:ascii="Arial" w:hAnsi="Arial"/>
          <w:sz w:val="20"/>
        </w:rPr>
        <w:t xml:space="preserve"> </w:t>
      </w:r>
      <w:r>
        <w:rPr>
          <w:rFonts w:ascii="Arial" w:hAnsi="Arial"/>
          <w:sz w:val="20"/>
        </w:rPr>
        <w:t xml:space="preserve">from three pre-Kharif tropical cyclones that struck coastal Odisha during the rice-transplanting window: Cyclone Fani (3 May 2019), Cyclone Amphan (20 May 2020), and Cyclone Yaas (26 May 2021). Reviewers of any Bay-of-Bengal cyclone-impact study reasonably ask three questions about such an identification cohort:</w:t>
      </w:r>
    </w:p>
    <w:p>
      <w:pPr>
        <w:pStyle w:val="Compact"/>
        <w:numPr>
          <w:ilvl w:val="0"/>
          <w:numId w:val="1001"/>
        </w:numPr>
        <w:spacing w:lineRule="auto" w:line="480"/>
        <w:jc w:val="both"/>
      </w:pPr>
      <w:r>
        <w:rPr>
          <w:rFonts w:ascii="Arial" w:hAnsi="Arial"/>
          <w:b/>
          <w:bCs/>
          <w:sz w:val="20"/>
        </w:rPr>
        <w:t xml:space="preserve">Climatological representativeness.</w:t>
      </w:r>
      <w:r>
        <w:rPr>
          <w:rFonts w:ascii="Arial" w:hAnsi="Arial"/>
          <w:sz w:val="20"/>
        </w:rPr>
        <w:t xml:space="preserve"> </w:t>
      </w:r>
      <w:r>
        <w:rPr>
          <w:rFonts w:ascii="Arial" w:hAnsi="Arial"/>
          <w:sz w:val="20"/>
        </w:rPr>
        <w:t xml:space="preserve">Are the three storms sampled from the routine pre-Kharif distribution of Bay-of-Bengal landfalls, or are they tail outliers whose causal effect would not transfer to a typical year?</w:t>
      </w:r>
    </w:p>
    <w:p>
      <w:pPr>
        <w:pStyle w:val="Compact"/>
        <w:numPr>
          <w:ilvl w:val="0"/>
          <w:numId w:val="1001"/>
        </w:numPr>
        <w:spacing w:lineRule="auto" w:line="480"/>
        <w:jc w:val="both"/>
      </w:pPr>
      <w:r>
        <w:rPr>
          <w:rFonts w:ascii="Arial" w:hAnsi="Arial"/>
          <w:b/>
          <w:bCs/>
          <w:sz w:val="20"/>
        </w:rPr>
        <w:t xml:space="preserve">Temporal independence.</w:t>
      </w:r>
      <w:r>
        <w:rPr>
          <w:rFonts w:ascii="Arial" w:hAnsi="Arial"/>
          <w:sz w:val="20"/>
        </w:rPr>
        <w:t xml:space="preserve"> </w:t>
      </w:r>
      <w:r>
        <w:rPr>
          <w:rFonts w:ascii="Arial" w:hAnsi="Arial"/>
          <w:sz w:val="20"/>
        </w:rPr>
        <w:t xml:space="preserve">Do the three landfalls share a common synoptic driver — for example, a single multi-year mode of monsoon-onset variability — that would induce treatment-year correlation in the eight-year panel and inflate the effective degrees of freedom?</w:t>
      </w:r>
    </w:p>
    <w:p>
      <w:pPr>
        <w:pStyle w:val="Compact"/>
        <w:numPr>
          <w:ilvl w:val="0"/>
          <w:numId w:val="1001"/>
        </w:numPr>
        <w:spacing w:lineRule="auto" w:line="480"/>
        <w:jc w:val="both"/>
      </w:pPr>
      <w:r>
        <w:rPr>
          <w:rFonts w:ascii="Arial" w:hAnsi="Arial"/>
          <w:b/>
          <w:bCs/>
          <w:sz w:val="20"/>
        </w:rPr>
        <w:t xml:space="preserve">Mechanism homogeneity.</w:t>
      </w:r>
      <w:r>
        <w:rPr>
          <w:rFonts w:ascii="Arial" w:hAnsi="Arial"/>
          <w:sz w:val="20"/>
        </w:rPr>
        <w:t xml:space="preserve"> </w:t>
      </w:r>
      <w:r>
        <w:rPr>
          <w:rFonts w:ascii="Arial" w:hAnsi="Arial"/>
          <w:sz w:val="20"/>
        </w:rPr>
        <w:t xml:space="preserve">Are the three storms similar enough in landfall window and inundation mechanism that pooling them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indicator is defensible?</w:t>
      </w:r>
    </w:p>
    <w:p>
      <w:pPr>
        <w:pStyle w:val="FirstParagraph"/>
        <w:spacing w:lineRule="auto" w:line="480"/>
        <w:jc w:val="both"/>
      </w:pPr>
      <w:r>
        <w:rPr>
          <w:rFonts w:ascii="Arial" w:hAnsi="Arial"/>
          <w:sz w:val="20"/>
        </w:rPr>
        <w:t xml:space="preserve">This note consolidates the climatological and synoptic evidence on each of the three questions. The full per-storm summary, including 1981–2018 percentile placement, is in</w:t>
      </w:r>
      <w:r>
        <w:rPr>
          <w:rFonts w:ascii="Arial" w:hAnsi="Arial"/>
          <w:sz w:val="20"/>
        </w:rPr>
        <w:t xml:space="preserve"> </w:t>
      </w:r>
      <w:r>
        <w:rPr>
          <w:rFonts w:ascii="Arial" w:hAnsi="Arial"/>
          <w:b/>
          <w:bCs/>
          <w:sz w:val="20"/>
        </w:rPr>
        <w:t xml:space="preserve">Table S8</w:t>
      </w:r>
      <w:r>
        <w:rPr>
          <w:rFonts w:ascii="Arial" w:hAnsi="Arial"/>
          <w:sz w:val="20"/>
        </w:rPr>
        <w:t xml:space="preserve">; the climatological cloud and the three identification cyclones are visualised in</w:t>
      </w:r>
      <w:r>
        <w:rPr>
          <w:rFonts w:ascii="Arial" w:hAnsi="Arial"/>
          <w:sz w:val="20"/>
        </w:rPr>
        <w:t xml:space="preserve"> </w:t>
      </w:r>
      <w:r>
        <w:rPr>
          <w:rFonts w:ascii="Arial" w:hAnsi="Arial"/>
          <w:b/>
          <w:bCs/>
          <w:sz w:val="20"/>
        </w:rPr>
        <w:t xml:space="preserve">Figure S1</w:t>
      </w:r>
      <w:r>
        <w:rPr>
          <w:rFonts w:ascii="Arial" w:hAnsi="Arial"/>
          <w:sz w:val="20"/>
        </w:rPr>
        <w:t xml:space="preserve">.</w:t>
      </w:r>
    </w:p>
    <w:bookmarkEnd w:id="20"/>
    <w:bookmarkStart w:id="21" w:name="X8e4e56d41b2fe3e2bda8c9c33991c1f8d08f28a"/>
    <w:p>
      <w:pPr>
        <w:pStyle w:val="Heading2"/>
        <w:spacing w:lineRule="auto" w:line="360"/>
      </w:pPr>
      <w:r>
        <w:rPr>
          <w:rFonts w:ascii="Arial" w:hAnsi="Arial"/>
        </w:rPr>
        <w:t xml:space="preserve">S2.2 Reference distribution: 1981–2018 pre-Kharif Bay-of-Bengal cyclones at the Odisha coast</w:t>
      </w:r>
    </w:p>
    <w:p>
      <w:pPr>
        <w:pStyle w:val="FirstParagraph"/>
        <w:spacing w:lineRule="auto" w:line="480"/>
        <w:jc w:val="left"/>
      </w:pPr>
      <w:r>
        <w:rPr>
          <w:rFonts w:ascii="Arial" w:hAnsi="Arial"/>
          <w:sz w:val="20"/>
        </w:rPr>
        <w:t xml:space="preserve">The reference distribution is constructed from IBTrACS v04r01 (North Indian basin) restricted to:</w:t>
      </w:r>
    </w:p>
    <w:p>
      <w:pPr>
        <w:pStyle w:val="Compact"/>
        <w:numPr>
          <w:ilvl w:val="0"/>
          <w:numId w:val="1002"/>
        </w:numPr>
        <w:spacing w:lineRule="auto" w:line="480"/>
        <w:jc w:val="left"/>
      </w:pPr>
      <w:r>
        <w:rPr>
          <w:rFonts w:ascii="Arial" w:hAnsi="Arial"/>
          <w:b/>
          <w:bCs/>
          <w:sz w:val="20"/>
        </w:rPr>
        <w:t xml:space="preserve">Time window:</w:t>
      </w:r>
      <w:r>
        <w:rPr>
          <w:rFonts w:ascii="Arial" w:hAnsi="Arial"/>
          <w:sz w:val="20"/>
        </w:rPr>
        <w:t xml:space="preserve"> </w:t>
      </w:r>
      <w:r>
        <w:rPr>
          <w:rFonts w:ascii="Arial" w:hAnsi="Arial"/>
          <w:sz w:val="20"/>
        </w:rPr>
        <w:t xml:space="preserve">1981–2018, 38 years prior to the identification cohort.</w:t>
      </w:r>
    </w:p>
    <w:p>
      <w:pPr>
        <w:pStyle w:val="Compact"/>
        <w:numPr>
          <w:ilvl w:val="0"/>
          <w:numId w:val="1002"/>
        </w:numPr>
        <w:spacing w:lineRule="auto" w:line="480"/>
        <w:jc w:val="both"/>
      </w:pPr>
      <w:r>
        <w:rPr>
          <w:rFonts w:ascii="Arial" w:hAnsi="Arial"/>
          <w:b/>
          <w:bCs/>
          <w:sz w:val="20"/>
        </w:rPr>
        <w:t xml:space="preserve">Calendar window:</w:t>
      </w:r>
      <w:r>
        <w:rPr>
          <w:rFonts w:ascii="Arial" w:hAnsi="Arial"/>
          <w:sz w:val="20"/>
        </w:rPr>
        <w:t xml:space="preserve"> </w:t>
      </w:r>
      <w:r>
        <w:rPr>
          <w:rFonts w:ascii="Arial" w:hAnsi="Arial"/>
          <w:sz w:val="20"/>
        </w:rPr>
        <w:t xml:space="preserve">day-of-year (DOY) 105 – 166 (15 April – 15 June), which brackets the Kharif transplanting window for coastal Odisha rice.</w:t>
      </w:r>
    </w:p>
    <w:p>
      <w:pPr>
        <w:pStyle w:val="Compact"/>
        <w:numPr>
          <w:ilvl w:val="0"/>
          <w:numId w:val="1002"/>
        </w:numPr>
        <w:spacing w:lineRule="auto" w:line="480"/>
        <w:jc w:val="both"/>
      </w:pPr>
      <w:r>
        <w:rPr>
          <w:rFonts w:ascii="Arial" w:hAnsi="Arial"/>
          <w:b/>
          <w:bCs/>
          <w:sz w:val="20"/>
        </w:rPr>
        <w:t xml:space="preserve">Geographic window:</w:t>
      </w:r>
      <w:r>
        <w:rPr>
          <w:rFonts w:ascii="Arial" w:hAnsi="Arial"/>
          <w:sz w:val="20"/>
        </w:rPr>
        <w:t xml:space="preserve"> </w:t>
      </w:r>
      <w:r>
        <w:rPr>
          <w:rFonts w:ascii="Arial" w:hAnsi="Arial"/>
          <w:sz w:val="20"/>
        </w:rPr>
        <w:t xml:space="preserve">systems whose first land intersection lies within a 50-km buffer of the Odisha coast (longitudes 84.5°E – 89.5°E, latitudes 18.5°N – 22.5°N).</w:t>
      </w:r>
    </w:p>
    <w:p>
      <w:pPr>
        <w:pStyle w:val="Compact"/>
        <w:numPr>
          <w:ilvl w:val="0"/>
          <w:numId w:val="1002"/>
        </w:numPr>
        <w:spacing w:lineRule="auto" w:line="480"/>
        <w:jc w:val="left"/>
      </w:pPr>
      <w:r>
        <w:rPr>
          <w:rFonts w:ascii="Arial" w:hAnsi="Arial"/>
          <w:b/>
          <w:bCs/>
          <w:sz w:val="20"/>
        </w:rPr>
        <w:t xml:space="preserve">Intensity floor:</w:t>
      </w:r>
      <w:r>
        <w:rPr>
          <w:rFonts w:ascii="Arial" w:hAnsi="Arial"/>
          <w:sz w:val="20"/>
        </w:rPr>
        <w:t xml:space="preserve"> </w:t>
      </w:r>
      <w:r>
        <w:rPr>
          <w:rFonts w:ascii="Arial" w:hAnsi="Arial"/>
          <w:sz w:val="20"/>
        </w:rPr>
        <w:t xml:space="preserve">named systems only (Vmax ≥ 34 kt, IMD</w:t>
      </w:r>
      <w:r>
        <w:rPr>
          <w:rFonts w:ascii="Arial" w:hAnsi="Arial"/>
          <w:sz w:val="20"/>
        </w:rPr>
        <w:t xml:space="preserve"> </w:t>
      </w:r>
      <w:r>
        <w:rPr>
          <w:rFonts w:ascii="Arial" w:hAnsi="Arial"/>
          <w:sz w:val="20"/>
        </w:rPr>
        <w:t xml:space="preserve">“</w:t>
      </w:r>
      <w:r>
        <w:rPr>
          <w:rFonts w:ascii="Arial" w:hAnsi="Arial"/>
          <w:sz w:val="20"/>
        </w:rPr>
        <w:t xml:space="preserve">Cyclonic Storm</w:t>
      </w:r>
      <w:r>
        <w:rPr>
          <w:rFonts w:ascii="Arial" w:hAnsi="Arial"/>
          <w:sz w:val="20"/>
        </w:rPr>
        <w:t xml:space="preserve">”</w:t>
      </w:r>
      <w:r>
        <w:rPr>
          <w:rFonts w:ascii="Arial" w:hAnsi="Arial"/>
          <w:sz w:val="20"/>
        </w:rPr>
        <w:t xml:space="preserve"> </w:t>
      </w:r>
      <w:r>
        <w:rPr>
          <w:rFonts w:ascii="Arial" w:hAnsi="Arial"/>
          <w:sz w:val="20"/>
        </w:rPr>
        <w:t xml:space="preserve">classification).</w:t>
      </w:r>
    </w:p>
    <w:p>
      <w:pPr>
        <w:pStyle w:val="FirstParagraph"/>
        <w:spacing w:lineRule="auto" w:line="480"/>
        <w:jc w:val="both"/>
      </w:pPr>
      <w:r>
        <w:rPr>
          <w:rFonts w:ascii="Arial" w:hAnsi="Arial"/>
          <w:sz w:val="20"/>
        </w:rPr>
        <w:t xml:space="preserve">This produces a reference set of</w:t>
      </w:r>
      <w:r>
        <w:rPr>
          <w:rFonts w:ascii="Arial" w:hAnsi="Arial"/>
          <w:sz w:val="20"/>
        </w:rPr>
        <w:t xml:space="preserve"> </w:t>
      </w:r>
      <w:r>
        <w:rPr>
          <w:rFonts w:ascii="Arial" w:hAnsi="Arial"/>
          <w:b/>
          <w:bCs/>
          <w:sz w:val="20"/>
        </w:rPr>
        <w:t xml:space="preserve">n = 19 named systems over 38 years</w:t>
      </w:r>
      <w:r>
        <w:rPr>
          <w:rFonts w:ascii="Arial" w:hAnsi="Arial"/>
          <w:sz w:val="20"/>
        </w:rPr>
        <w:t xml:space="preserve"> </w:t>
      </w:r>
      <w:r>
        <w:rPr>
          <w:rFonts w:ascii="Arial" w:hAnsi="Arial"/>
          <w:sz w:val="20"/>
        </w:rPr>
        <w:t xml:space="preserve">(annual rate 0.50 systems / yr). The published quantile breakpoints, taken from IMD (2020) Annex C and corroborated against IBTrACS, are summarised in</w:t>
      </w:r>
      <w:r>
        <w:rPr>
          <w:rFonts w:ascii="Arial" w:hAnsi="Arial"/>
          <w:sz w:val="20"/>
        </w:rPr>
        <w:t xml:space="preserve"> </w:t>
      </w:r>
      <w:r>
        <w:rPr>
          <w:rStyle w:val="VerbatimChar"/>
          <w:rFonts w:ascii="Arial" w:hAnsi="Arial"/>
          <w:sz w:val="20"/>
        </w:rPr>
        <w:t xml:space="preserve">analysis/results/cyclone_climatology_quantiles.csv</w:t>
      </w:r>
      <w:r>
        <w:rPr>
          <w:rFonts w:ascii="Arial" w:hAnsi="Arial"/>
          <w:sz w:val="20"/>
        </w:rPr>
        <w:t xml:space="preserve"> </w:t>
      </w:r>
      <w:r>
        <w:rPr>
          <w:rFonts w:ascii="Arial" w:hAnsi="Arial"/>
          <w:sz w:val="20"/>
        </w:rPr>
        <w:t xml:space="preserve">and reproduced in Table S8 footer.</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spacing w:lineRule="auto" w:line="360"/>
              <w:jc w:val="left"/>
            </w:pPr>
            <w:r>
              <w:rPr>
                <w:rFonts w:ascii="Arial" w:hAnsi="Arial"/>
                <w:sz w:val="18"/>
              </w:rPr>
              <w:t xml:space="preserve">Metric</w:t>
            </w:r>
          </w:p>
        </w:tc>
        <w:tc>
          <w:tcPr/>
          <w:p>
            <w:pPr>
              <w:pStyle w:val="Compact"/>
              <w:spacing w:lineRule="auto" w:line="360"/>
              <w:jc w:val="left"/>
            </w:pPr>
            <w:r>
              <w:rPr>
                <w:rFonts w:ascii="Arial" w:hAnsi="Arial"/>
                <w:sz w:val="18"/>
              </w:rPr>
              <w:t xml:space="preserve">p10</w:t>
            </w:r>
          </w:p>
        </w:tc>
        <w:tc>
          <w:tcPr/>
          <w:p>
            <w:pPr>
              <w:pStyle w:val="Compact"/>
              <w:spacing w:lineRule="auto" w:line="360"/>
              <w:jc w:val="left"/>
            </w:pPr>
            <w:r>
              <w:rPr>
                <w:rFonts w:ascii="Arial" w:hAnsi="Arial"/>
                <w:sz w:val="18"/>
              </w:rPr>
              <w:t xml:space="preserve">p25</w:t>
            </w:r>
          </w:p>
        </w:tc>
        <w:tc>
          <w:tcPr/>
          <w:p>
            <w:pPr>
              <w:pStyle w:val="Compact"/>
              <w:spacing w:lineRule="auto" w:line="360"/>
              <w:jc w:val="left"/>
            </w:pPr>
            <w:r>
              <w:rPr>
                <w:rFonts w:ascii="Arial" w:hAnsi="Arial"/>
                <w:sz w:val="18"/>
              </w:rPr>
              <w:t xml:space="preserve">p50</w:t>
            </w:r>
          </w:p>
        </w:tc>
        <w:tc>
          <w:tcPr/>
          <w:p>
            <w:pPr>
              <w:pStyle w:val="Compact"/>
              <w:spacing w:lineRule="auto" w:line="360"/>
              <w:jc w:val="left"/>
            </w:pPr>
            <w:r>
              <w:rPr>
                <w:rFonts w:ascii="Arial" w:hAnsi="Arial"/>
                <w:sz w:val="18"/>
              </w:rPr>
              <w:t xml:space="preserve">p75</w:t>
            </w:r>
          </w:p>
        </w:tc>
        <w:tc>
          <w:tcPr/>
          <w:p>
            <w:pPr>
              <w:pStyle w:val="Compact"/>
              <w:spacing w:lineRule="auto" w:line="360"/>
              <w:jc w:val="left"/>
            </w:pPr>
            <w:r>
              <w:rPr>
                <w:rFonts w:ascii="Arial" w:hAnsi="Arial"/>
                <w:sz w:val="18"/>
              </w:rPr>
              <w:t xml:space="preserve">p90</w:t>
            </w:r>
          </w:p>
        </w:tc>
        <w:tc>
          <w:tcPr/>
          <w:p>
            <w:pPr>
              <w:pStyle w:val="Compact"/>
              <w:spacing w:lineRule="auto" w:line="360"/>
              <w:jc w:val="left"/>
            </w:pPr>
            <w:r>
              <w:rPr>
                <w:rFonts w:ascii="Arial" w:hAnsi="Arial"/>
                <w:sz w:val="18"/>
              </w:rPr>
              <w:t xml:space="preserve">p95</w:t>
            </w:r>
          </w:p>
        </w:tc>
        <w:tc>
          <w:tcPr/>
          <w:p>
            <w:pPr>
              <w:pStyle w:val="Compact"/>
              <w:spacing w:lineRule="auto" w:line="360"/>
              <w:jc w:val="left"/>
            </w:pPr>
            <w:r>
              <w:rPr>
                <w:rFonts w:ascii="Arial" w:hAnsi="Arial"/>
                <w:sz w:val="18"/>
              </w:rPr>
              <w:t xml:space="preserve">Extreme</w:t>
            </w:r>
          </w:p>
        </w:tc>
      </w:tr>
      <w:tr>
        <w:tc>
          <w:tcPr/>
          <w:p>
            <w:pPr>
              <w:pStyle w:val="Compact"/>
              <w:spacing w:lineRule="auto" w:line="360"/>
              <w:jc w:val="left"/>
            </w:pPr>
            <w:r>
              <w:rPr>
                <w:rFonts w:ascii="Arial" w:hAnsi="Arial"/>
                <w:sz w:val="18"/>
              </w:rPr>
              <w:t xml:space="preserve">Vmax (kt)</w:t>
            </w:r>
          </w:p>
        </w:tc>
        <w:tc>
          <w:tcPr/>
          <w:p>
            <w:pPr>
              <w:pStyle w:val="Compact"/>
              <w:spacing w:lineRule="auto" w:line="360"/>
              <w:jc w:val="left"/>
            </w:pPr>
            <w:r>
              <w:rPr>
                <w:rFonts w:ascii="Arial" w:hAnsi="Arial"/>
                <w:sz w:val="18"/>
              </w:rPr>
              <w:t xml:space="preserve">35</w:t>
            </w:r>
          </w:p>
        </w:tc>
        <w:tc>
          <w:tcPr/>
          <w:p>
            <w:pPr>
              <w:pStyle w:val="Compact"/>
              <w:spacing w:lineRule="auto" w:line="360"/>
              <w:jc w:val="left"/>
            </w:pPr>
            <w:r>
              <w:rPr>
                <w:rFonts w:ascii="Arial" w:hAnsi="Arial"/>
                <w:sz w:val="18"/>
              </w:rPr>
              <w:t xml:space="preserve">50</w:t>
            </w:r>
          </w:p>
        </w:tc>
        <w:tc>
          <w:tcPr/>
          <w:p>
            <w:pPr>
              <w:pStyle w:val="Compact"/>
              <w:spacing w:lineRule="auto" w:line="360"/>
              <w:jc w:val="left"/>
            </w:pPr>
            <w:r>
              <w:rPr>
                <w:rFonts w:ascii="Arial" w:hAnsi="Arial"/>
                <w:sz w:val="18"/>
              </w:rPr>
              <w:t xml:space="preserve">65</w:t>
            </w:r>
          </w:p>
        </w:tc>
        <w:tc>
          <w:tcPr/>
          <w:p>
            <w:pPr>
              <w:pStyle w:val="Compact"/>
              <w:spacing w:lineRule="auto" w:line="360"/>
              <w:jc w:val="left"/>
            </w:pPr>
            <w:r>
              <w:rPr>
                <w:rFonts w:ascii="Arial" w:hAnsi="Arial"/>
                <w:sz w:val="18"/>
              </w:rPr>
              <w:t xml:space="preserve">90</w:t>
            </w:r>
          </w:p>
        </w:tc>
        <w:tc>
          <w:tcPr/>
          <w:p>
            <w:pPr>
              <w:pStyle w:val="Compact"/>
              <w:spacing w:lineRule="auto" w:line="360"/>
              <w:jc w:val="left"/>
            </w:pPr>
            <w:r>
              <w:rPr>
                <w:rFonts w:ascii="Arial" w:hAnsi="Arial"/>
                <w:sz w:val="18"/>
              </w:rPr>
              <w:t xml:space="preserve">115</w:t>
            </w:r>
          </w:p>
        </w:tc>
        <w:tc>
          <w:tcPr/>
          <w:p>
            <w:pPr>
              <w:pStyle w:val="Compact"/>
              <w:spacing w:lineRule="auto" w:line="360"/>
              <w:jc w:val="left"/>
            </w:pPr>
            <w:r>
              <w:rPr>
                <w:rFonts w:ascii="Arial" w:hAnsi="Arial"/>
                <w:sz w:val="18"/>
              </w:rPr>
              <w:t xml:space="preserve">130</w:t>
            </w:r>
          </w:p>
        </w:tc>
        <w:tc>
          <w:tcPr/>
          <w:p>
            <w:pPr>
              <w:pStyle w:val="Compact"/>
              <w:spacing w:lineRule="auto" w:line="360"/>
              <w:jc w:val="left"/>
            </w:pPr>
            <w:r>
              <w:rPr>
                <w:rFonts w:ascii="Arial" w:hAnsi="Arial"/>
                <w:sz w:val="18"/>
              </w:rPr>
              <w:t xml:space="preserve">140 (1999)</w:t>
            </w:r>
          </w:p>
        </w:tc>
      </w:tr>
      <w:tr>
        <w:tc>
          <w:tcPr/>
          <w:p>
            <w:pPr>
              <w:pStyle w:val="Compact"/>
              <w:spacing w:lineRule="auto" w:line="360"/>
              <w:jc w:val="left"/>
            </w:pPr>
            <w:r>
              <w:rPr>
                <w:rFonts w:ascii="Arial" w:hAnsi="Arial"/>
                <w:sz w:val="18"/>
              </w:rPr>
              <w:t xml:space="preserve">Pmin (hPa)</w:t>
            </w:r>
          </w:p>
        </w:tc>
        <w:tc>
          <w:tcPr/>
          <w:p>
            <w:pPr>
              <w:pStyle w:val="Compact"/>
              <w:spacing w:lineRule="auto" w:line="360"/>
              <w:jc w:val="left"/>
            </w:pPr>
            <w:r>
              <w:rPr>
                <w:rFonts w:ascii="Arial" w:hAnsi="Arial"/>
                <w:sz w:val="18"/>
              </w:rPr>
              <w:t xml:space="preserve">992</w:t>
            </w:r>
          </w:p>
        </w:tc>
        <w:tc>
          <w:tcPr/>
          <w:p>
            <w:pPr>
              <w:pStyle w:val="Compact"/>
              <w:spacing w:lineRule="auto" w:line="360"/>
              <w:jc w:val="left"/>
            </w:pPr>
            <w:r>
              <w:rPr>
                <w:rFonts w:ascii="Arial" w:hAnsi="Arial"/>
                <w:sz w:val="18"/>
              </w:rPr>
              <w:t xml:space="preserve">985</w:t>
            </w:r>
          </w:p>
        </w:tc>
        <w:tc>
          <w:tcPr/>
          <w:p>
            <w:pPr>
              <w:pStyle w:val="Compact"/>
              <w:spacing w:lineRule="auto" w:line="360"/>
              <w:jc w:val="left"/>
            </w:pPr>
            <w:r>
              <w:rPr>
                <w:rFonts w:ascii="Arial" w:hAnsi="Arial"/>
                <w:sz w:val="18"/>
              </w:rPr>
              <w:t xml:space="preserve">975</w:t>
            </w:r>
          </w:p>
        </w:tc>
        <w:tc>
          <w:tcPr/>
          <w:p>
            <w:pPr>
              <w:pStyle w:val="Compact"/>
              <w:spacing w:lineRule="auto" w:line="360"/>
              <w:jc w:val="left"/>
            </w:pPr>
            <w:r>
              <w:rPr>
                <w:rFonts w:ascii="Arial" w:hAnsi="Arial"/>
                <w:sz w:val="18"/>
              </w:rPr>
              <w:t xml:space="preserve">955</w:t>
            </w:r>
          </w:p>
        </w:tc>
        <w:tc>
          <w:tcPr/>
          <w:p>
            <w:pPr>
              <w:pStyle w:val="Compact"/>
              <w:spacing w:lineRule="auto" w:line="360"/>
              <w:jc w:val="left"/>
            </w:pPr>
            <w:r>
              <w:rPr>
                <w:rFonts w:ascii="Arial" w:hAnsi="Arial"/>
                <w:sz w:val="18"/>
              </w:rPr>
              <w:t xml:space="preserve">935</w:t>
            </w:r>
          </w:p>
        </w:tc>
        <w:tc>
          <w:tcPr/>
          <w:p>
            <w:pPr>
              <w:pStyle w:val="Compact"/>
              <w:spacing w:lineRule="auto" w:line="360"/>
              <w:jc w:val="left"/>
            </w:pPr>
            <w:r>
              <w:rPr>
                <w:rFonts w:ascii="Arial" w:hAnsi="Arial"/>
                <w:sz w:val="18"/>
              </w:rPr>
              <w:t xml:space="preserve">925</w:t>
            </w:r>
          </w:p>
        </w:tc>
        <w:tc>
          <w:tcPr/>
          <w:p>
            <w:pPr>
              <w:pStyle w:val="Compact"/>
              <w:spacing w:lineRule="auto" w:line="360"/>
              <w:jc w:val="left"/>
            </w:pPr>
            <w:r>
              <w:rPr>
                <w:rFonts w:ascii="Arial" w:hAnsi="Arial"/>
                <w:sz w:val="18"/>
              </w:rPr>
              <w:t xml:space="preserve">912 (1999)</w:t>
            </w:r>
          </w:p>
        </w:tc>
      </w:tr>
      <w:tr>
        <w:tc>
          <w:tcPr/>
          <w:p>
            <w:pPr>
              <w:pStyle w:val="Compact"/>
              <w:spacing w:lineRule="auto" w:line="360"/>
              <w:jc w:val="left"/>
            </w:pPr>
            <w:r>
              <w:rPr>
                <w:rFonts w:ascii="Arial" w:hAnsi="Arial"/>
                <w:sz w:val="18"/>
              </w:rPr>
              <w:t xml:space="preserve">Surge (m)</w:t>
            </w:r>
          </w:p>
        </w:tc>
        <w:tc>
          <w:tcPr/>
          <w:p>
            <w:pPr>
              <w:pStyle w:val="Compact"/>
              <w:spacing w:lineRule="auto" w:line="360"/>
              <w:jc w:val="left"/>
            </w:pPr>
            <w:r>
              <w:rPr>
                <w:rFonts w:ascii="Arial" w:hAnsi="Arial"/>
                <w:sz w:val="18"/>
              </w:rPr>
              <w:t xml:space="preserve">—</w:t>
            </w:r>
          </w:p>
        </w:tc>
        <w:tc>
          <w:tcPr/>
          <w:p>
            <w:pPr>
              <w:pStyle w:val="Compact"/>
              <w:spacing w:lineRule="auto" w:line="360"/>
              <w:jc w:val="left"/>
            </w:pPr>
            <w:r>
              <w:rPr>
                <w:rFonts w:ascii="Arial" w:hAnsi="Arial"/>
                <w:sz w:val="18"/>
              </w:rPr>
              <w:t xml:space="preserve">—</w:t>
            </w:r>
          </w:p>
        </w:tc>
        <w:tc>
          <w:tcPr/>
          <w:p>
            <w:pPr>
              <w:pStyle w:val="Compact"/>
              <w:spacing w:lineRule="auto" w:line="360"/>
              <w:jc w:val="left"/>
            </w:pPr>
            <w:r>
              <w:rPr>
                <w:rFonts w:ascii="Arial" w:hAnsi="Arial"/>
                <w:sz w:val="18"/>
              </w:rPr>
              <w:t xml:space="preserve">1.2</w:t>
            </w:r>
          </w:p>
        </w:tc>
        <w:tc>
          <w:tcPr/>
          <w:p>
            <w:pPr>
              <w:pStyle w:val="Compact"/>
              <w:spacing w:lineRule="auto" w:line="360"/>
              <w:jc w:val="left"/>
            </w:pPr>
            <w:r>
              <w:rPr>
                <w:rFonts w:ascii="Arial" w:hAnsi="Arial"/>
                <w:sz w:val="18"/>
              </w:rPr>
              <w:t xml:space="preserve">2.5</w:t>
            </w:r>
          </w:p>
        </w:tc>
        <w:tc>
          <w:tcPr/>
          <w:p>
            <w:pPr>
              <w:pStyle w:val="Compact"/>
              <w:spacing w:lineRule="auto" w:line="360"/>
              <w:jc w:val="left"/>
            </w:pPr>
            <w:r>
              <w:rPr>
                <w:rFonts w:ascii="Arial" w:hAnsi="Arial"/>
                <w:sz w:val="18"/>
              </w:rPr>
              <w:t xml:space="preserve">4.2</w:t>
            </w:r>
          </w:p>
        </w:tc>
        <w:tc>
          <w:tcPr/>
          <w:p>
            <w:pPr>
              <w:pStyle w:val="Compact"/>
              <w:spacing w:lineRule="auto" w:line="360"/>
              <w:jc w:val="left"/>
            </w:pPr>
            <w:r>
              <w:rPr>
                <w:rFonts w:ascii="Arial" w:hAnsi="Arial"/>
                <w:sz w:val="18"/>
              </w:rPr>
              <w:t xml:space="preserve">5.5</w:t>
            </w:r>
          </w:p>
        </w:tc>
        <w:tc>
          <w:tcPr/>
          <w:p>
            <w:pPr>
              <w:pStyle w:val="Compact"/>
              <w:spacing w:lineRule="auto" w:line="360"/>
              <w:jc w:val="left"/>
            </w:pPr>
            <w:r>
              <w:rPr>
                <w:rFonts w:ascii="Arial" w:hAnsi="Arial"/>
                <w:sz w:val="18"/>
              </w:rPr>
              <w:t xml:space="preserve">7.0 (1999)</w:t>
            </w:r>
          </w:p>
        </w:tc>
      </w:tr>
      <w:tr>
        <w:tc>
          <w:tcPr/>
          <w:p>
            <w:pPr>
              <w:pStyle w:val="Compact"/>
              <w:spacing w:lineRule="auto" w:line="360"/>
              <w:jc w:val="left"/>
            </w:pPr>
            <w:r>
              <w:rPr>
                <w:rFonts w:ascii="Arial" w:hAnsi="Arial"/>
                <w:sz w:val="18"/>
              </w:rPr>
              <w:t xml:space="preserve">Landfall DOY</w:t>
            </w:r>
          </w:p>
        </w:tc>
        <w:tc>
          <w:tcPr/>
          <w:p>
            <w:pPr>
              <w:pStyle w:val="Compact"/>
              <w:spacing w:lineRule="auto" w:line="360"/>
              <w:jc w:val="left"/>
            </w:pPr>
            <w:r>
              <w:rPr>
                <w:rFonts w:ascii="Arial" w:hAnsi="Arial"/>
                <w:sz w:val="18"/>
              </w:rPr>
              <w:t xml:space="preserve">105</w:t>
            </w:r>
          </w:p>
        </w:tc>
        <w:tc>
          <w:tcPr/>
          <w:p>
            <w:pPr>
              <w:pStyle w:val="Compact"/>
              <w:spacing w:lineRule="auto" w:line="360"/>
              <w:jc w:val="left"/>
            </w:pPr>
            <w:r>
              <w:rPr>
                <w:rFonts w:ascii="Arial" w:hAnsi="Arial"/>
                <w:sz w:val="18"/>
              </w:rPr>
              <w:t xml:space="preserve">122</w:t>
            </w:r>
          </w:p>
        </w:tc>
        <w:tc>
          <w:tcPr/>
          <w:p>
            <w:pPr>
              <w:pStyle w:val="Compact"/>
              <w:spacing w:lineRule="auto" w:line="360"/>
              <w:jc w:val="left"/>
            </w:pPr>
            <w:r>
              <w:rPr>
                <w:rFonts w:ascii="Arial" w:hAnsi="Arial"/>
                <w:sz w:val="18"/>
              </w:rPr>
              <w:t xml:space="preserve">138</w:t>
            </w:r>
          </w:p>
        </w:tc>
        <w:tc>
          <w:tcPr/>
          <w:p>
            <w:pPr>
              <w:pStyle w:val="Compact"/>
              <w:spacing w:lineRule="auto" w:line="360"/>
              <w:jc w:val="left"/>
            </w:pPr>
            <w:r>
              <w:rPr>
                <w:rFonts w:ascii="Arial" w:hAnsi="Arial"/>
                <w:sz w:val="18"/>
              </w:rPr>
              <w:t xml:space="preserve">152</w:t>
            </w:r>
          </w:p>
        </w:tc>
        <w:tc>
          <w:tcPr/>
          <w:p>
            <w:pPr>
              <w:pStyle w:val="Compact"/>
              <w:spacing w:lineRule="auto" w:line="360"/>
              <w:jc w:val="left"/>
            </w:pPr>
            <w:r>
              <w:rPr>
                <w:rFonts w:ascii="Arial" w:hAnsi="Arial"/>
                <w:sz w:val="18"/>
              </w:rPr>
              <w:t xml:space="preserve">—</w:t>
            </w:r>
          </w:p>
        </w:tc>
        <w:tc>
          <w:tcPr/>
          <w:p>
            <w:pPr>
              <w:pStyle w:val="Compact"/>
              <w:spacing w:lineRule="auto" w:line="360"/>
              <w:jc w:val="left"/>
            </w:pPr>
            <w:r>
              <w:rPr>
                <w:rFonts w:ascii="Arial" w:hAnsi="Arial"/>
                <w:sz w:val="18"/>
              </w:rPr>
              <w:t xml:space="preserve">—</w:t>
            </w:r>
          </w:p>
        </w:tc>
        <w:tc>
          <w:tcPr/>
          <w:p>
            <w:pPr>
              <w:pStyle w:val="Compact"/>
              <w:spacing w:lineRule="auto" w:line="360"/>
              <w:jc w:val="left"/>
            </w:pPr>
            <w:r>
              <w:rPr>
                <w:rFonts w:ascii="Arial" w:hAnsi="Arial"/>
                <w:sz w:val="18"/>
              </w:rPr>
              <w:t xml:space="preserve">166</w:t>
            </w:r>
          </w:p>
        </w:tc>
      </w:tr>
    </w:tbl>
    <w:p>
      <w:pPr>
        <w:spacing w:before="0" w:after="120" w:line="276" w:lineRule="auto"/>
      </w:pPr>
      <w:r>
        <w:rPr>
          <w:rFonts w:ascii="Arial" w:hAnsi="Arial"/>
          <w:i/>
          <w:sz w:val="19"/>
          <w:szCs w:val="19"/>
          <w:color w:val="595959"/>
        </w:rPr>
        <w:t xml:space="preserve">Abbreviations: DOY = Day-Of-Year.</w:t>
      </w:r>
    </w:p>
    <w:p>
      <w:pPr>
        <w:pStyle w:val="BodyText"/>
        <w:spacing w:lineRule="auto" w:line="480"/>
        <w:jc w:val="left"/>
      </w:pPr>
      <w:r>
        <w:rPr>
          <w:rFonts w:ascii="Arial" w:hAnsi="Arial"/>
          <w:sz w:val="20"/>
        </w:rPr>
        <w:t xml:space="preserve">The 1999 Odisha super-cyclone anchors the high-intensity / high-surge / high-pressure-deficit tail of every column.</w:t>
      </w:r>
    </w:p>
    <w:bookmarkEnd w:id="21"/>
    <w:bookmarkStart w:id="22" w:name="X209e7c2b374af65d608a5907b43f61b2e107d19"/>
    <w:p>
      <w:pPr>
        <w:pStyle w:val="Heading2"/>
        <w:spacing w:lineRule="auto" w:line="360"/>
      </w:pPr>
      <w:r>
        <w:rPr>
          <w:rFonts w:ascii="Arial" w:hAnsi="Arial"/>
        </w:rPr>
        <w:t xml:space="preserve">S2.3 The three identification cyclones, in climatological context</w:t>
      </w:r>
    </w:p>
    <w:p>
      <w:pPr>
        <w:pStyle w:val="FirstParagraph"/>
        <w:spacing w:lineRule="auto" w:line="480"/>
        <w:jc w:val="both"/>
      </w:pPr>
      <w:r>
        <w:rPr>
          <w:rFonts w:ascii="Arial" w:hAnsi="Arial"/>
          <w:sz w:val="20"/>
        </w:rPr>
        <w:t xml:space="preserve">Each identification cyclone is placed in the 1981–2018 reference distribution along four independent metrics (peak intensity, central-pressure deficit, peak surge, landfall DOY). The percentile placement is computed by piecewise-linear interpolation between published breakpoints (Table S8). The pattern (visible in Figure S1B) is:</w:t>
      </w:r>
    </w:p>
    <w:p>
      <w:pPr>
        <w:pStyle w:val="BodyText"/>
        <w:spacing w:lineRule="auto" w:line="480"/>
        <w:jc w:val="both"/>
      </w:pPr>
      <w:r>
        <w:rPr>
          <w:rFonts w:ascii="Arial" w:hAnsi="Arial"/>
          <w:b/>
          <w:bCs/>
          <w:sz w:val="20"/>
        </w:rPr>
        <w:t xml:space="preserve">Cyclone Fani (3 May 2019).</w:t>
      </w:r>
      <w:r>
        <w:rPr>
          <w:rFonts w:ascii="Arial" w:hAnsi="Arial"/>
          <w:sz w:val="20"/>
        </w:rPr>
        <w:t xml:space="preserve"> </w:t>
      </w:r>
      <w:r>
        <w:rPr>
          <w:rFonts w:ascii="Arial" w:hAnsi="Arial"/>
          <w:sz w:val="20"/>
        </w:rPr>
        <w:t xml:space="preserve">ESCS-class, Saffir-Simpson 4-equivalent, Vmax = 135 kt, Pmin = 932 hPa, surge ≈ 1.5 m, landfall on the central Odisha coast at Puri (19.8°N, 85.8°E). In 1981–2018 percentile terms: Vmax 97.5, Pmin 91.5, surge 55.8, landfall DOY 26.6. Fani is an</w:t>
      </w:r>
      <w:r>
        <w:rPr>
          <w:rFonts w:ascii="Arial" w:hAnsi="Arial"/>
          <w:sz w:val="20"/>
        </w:rPr>
        <w:t xml:space="preserve"> </w:t>
      </w:r>
      <w:r>
        <w:rPr>
          <w:rFonts w:ascii="Arial" w:hAnsi="Arial"/>
          <w:i/>
          <w:iCs/>
          <w:sz w:val="20"/>
        </w:rPr>
        <w:t xml:space="preserve">intensity</w:t>
      </w:r>
      <w:r>
        <w:rPr>
          <w:rFonts w:ascii="Arial" w:hAnsi="Arial"/>
          <w:sz w:val="20"/>
        </w:rPr>
        <w:t xml:space="preserve">-tail event with a</w:t>
      </w:r>
      <w:r>
        <w:rPr>
          <w:rFonts w:ascii="Arial" w:hAnsi="Arial"/>
          <w:sz w:val="20"/>
        </w:rPr>
        <w:t xml:space="preserve"> </w:t>
      </w:r>
      <w:r>
        <w:rPr>
          <w:rFonts w:ascii="Arial" w:hAnsi="Arial"/>
          <w:i/>
          <w:iCs/>
          <w:sz w:val="20"/>
        </w:rPr>
        <w:t xml:space="preserve">median</w:t>
      </w:r>
      <w:r>
        <w:rPr>
          <w:rFonts w:ascii="Arial" w:hAnsi="Arial"/>
          <w:sz w:val="20"/>
        </w:rPr>
        <w:t xml:space="preserve"> </w:t>
      </w:r>
      <w:r>
        <w:rPr>
          <w:rFonts w:ascii="Arial" w:hAnsi="Arial"/>
          <w:sz w:val="20"/>
        </w:rPr>
        <w:t xml:space="preserve">surge and an</w:t>
      </w:r>
      <w:r>
        <w:rPr>
          <w:rFonts w:ascii="Arial" w:hAnsi="Arial"/>
          <w:sz w:val="20"/>
        </w:rPr>
        <w:t xml:space="preserve"> </w:t>
      </w:r>
      <w:r>
        <w:rPr>
          <w:rFonts w:ascii="Arial" w:hAnsi="Arial"/>
          <w:i/>
          <w:iCs/>
          <w:sz w:val="20"/>
        </w:rPr>
        <w:t xml:space="preserve">early-tail</w:t>
      </w:r>
      <w:r>
        <w:rPr>
          <w:rFonts w:ascii="Arial" w:hAnsi="Arial"/>
          <w:sz w:val="20"/>
        </w:rPr>
        <w:t xml:space="preserve"> </w:t>
      </w:r>
      <w:r>
        <w:rPr>
          <w:rFonts w:ascii="Arial" w:hAnsi="Arial"/>
          <w:sz w:val="20"/>
        </w:rPr>
        <w:t xml:space="preserve">landfall date — strong enough to reach the climatological top-3 percentile by wind, but striking before peak monsoon-onset moisture had loaded the column, which kept the surge moderate.</w:t>
      </w:r>
    </w:p>
    <w:p>
      <w:pPr>
        <w:pStyle w:val="BodyText"/>
        <w:spacing w:lineRule="auto" w:line="480"/>
        <w:jc w:val="both"/>
      </w:pPr>
      <w:r>
        <w:rPr>
          <w:rFonts w:ascii="Arial" w:hAnsi="Arial"/>
          <w:b/>
          <w:bCs/>
          <w:sz w:val="20"/>
        </w:rPr>
        <w:t xml:space="preserve">Cyclone Amphan (20 May 2020).</w:t>
      </w:r>
      <w:r>
        <w:rPr>
          <w:rFonts w:ascii="Arial" w:hAnsi="Arial"/>
          <w:sz w:val="20"/>
        </w:rPr>
        <w:t xml:space="preserve"> </w:t>
      </w:r>
      <w:r>
        <w:rPr>
          <w:rFonts w:ascii="Arial" w:hAnsi="Arial"/>
          <w:sz w:val="20"/>
        </w:rPr>
        <w:t xml:space="preserve">SuCS-class, Saffir-Simpson 5-equivalent, Vmax = 140 kt at peak open-water (lower at landfall), Pmin = 925 hPa, surge ≈ 4.6 m, landfall in the Sundarbans (21.65°N, 88.30°E). Percentiles: Vmax 100, Pmin 95, surge 91.5, landfall DOY 55.4. Amphan sits at the joint extreme of the wind, pressure, and surge axes — the most unambiguously tail event in the cohort. Its landfall DOY is, however, near the climatological median.</w:t>
      </w:r>
    </w:p>
    <w:p>
      <w:pPr>
        <w:pStyle w:val="BodyText"/>
        <w:spacing w:lineRule="auto" w:line="480"/>
        <w:jc w:val="both"/>
      </w:pPr>
      <w:r>
        <w:rPr>
          <w:rFonts w:ascii="Arial" w:hAnsi="Arial"/>
          <w:b/>
          <w:bCs/>
          <w:sz w:val="20"/>
        </w:rPr>
        <w:t xml:space="preserve">Cyclone Yaas (26 May 2021).</w:t>
      </w:r>
      <w:r>
        <w:rPr>
          <w:rFonts w:ascii="Arial" w:hAnsi="Arial"/>
          <w:sz w:val="20"/>
        </w:rPr>
        <w:t xml:space="preserve"> </w:t>
      </w:r>
      <w:r>
        <w:rPr>
          <w:rFonts w:ascii="Arial" w:hAnsi="Arial"/>
          <w:sz w:val="20"/>
        </w:rPr>
        <w:t xml:space="preserve">VSCS-class, Saffir-Simpson 3-equivalent, Vmax = 100 kt, Pmin = 970 hPa, surge ≈ 2.0 m, landfall at Balasore on the northern Odisha coast (21.50°N, 87.10°E). Percentiles: Vmax 81.0, Pmin 56.2, surge 65.4, landfall DOY 64.3. Yaas is a</w:t>
      </w:r>
      <w:r>
        <w:rPr>
          <w:rFonts w:ascii="Arial" w:hAnsi="Arial"/>
          <w:sz w:val="20"/>
        </w:rPr>
        <w:t xml:space="preserve"> </w:t>
      </w:r>
      <w:r>
        <w:rPr>
          <w:rFonts w:ascii="Arial" w:hAnsi="Arial"/>
          <w:i/>
          <w:iCs/>
          <w:sz w:val="20"/>
        </w:rPr>
        <w:t xml:space="preserve">typical</w:t>
      </w:r>
      <w:r>
        <w:rPr>
          <w:rFonts w:ascii="Arial" w:hAnsi="Arial"/>
          <w:sz w:val="20"/>
        </w:rPr>
        <w:t xml:space="preserve"> </w:t>
      </w:r>
      <w:r>
        <w:rPr>
          <w:rFonts w:ascii="Arial" w:hAnsi="Arial"/>
          <w:sz w:val="20"/>
        </w:rPr>
        <w:t xml:space="preserve">pre-Kharif storm in pressure terms (close to the 1981–2018 median), with intensity in the upper quartile but well short of the Fani / Amphan tail. The landfall DOY lies at the centre of the climatological window.</w:t>
      </w:r>
    </w:p>
    <w:p>
      <w:pPr>
        <w:pStyle w:val="BodyText"/>
        <w:spacing w:lineRule="auto" w:line="480"/>
        <w:jc w:val="both"/>
      </w:pPr>
      <w:r>
        <w:rPr>
          <w:rFonts w:ascii="Arial" w:hAnsi="Arial"/>
          <w:sz w:val="20"/>
        </w:rPr>
        <w:t xml:space="preserve">The cohort therefore</w:t>
      </w:r>
      <w:r>
        <w:rPr>
          <w:rFonts w:ascii="Arial" w:hAnsi="Arial"/>
          <w:sz w:val="20"/>
        </w:rPr>
        <w:t xml:space="preserve"> </w:t>
      </w:r>
      <w:r>
        <w:rPr>
          <w:rFonts w:ascii="Arial" w:hAnsi="Arial"/>
          <w:i/>
          <w:iCs/>
          <w:sz w:val="20"/>
        </w:rPr>
        <w:t xml:space="preserve">spans</w:t>
      </w:r>
      <w:r>
        <w:rPr>
          <w:rFonts w:ascii="Arial" w:hAnsi="Arial"/>
          <w:sz w:val="20"/>
        </w:rPr>
        <w:t xml:space="preserve"> </w:t>
      </w:r>
      <w:r>
        <w:rPr>
          <w:rFonts w:ascii="Arial" w:hAnsi="Arial"/>
          <w:sz w:val="20"/>
        </w:rPr>
        <w:t xml:space="preserve">rather than</w:t>
      </w:r>
      <w:r>
        <w:rPr>
          <w:rFonts w:ascii="Arial" w:hAnsi="Arial"/>
          <w:sz w:val="20"/>
        </w:rPr>
        <w:t xml:space="preserve"> </w:t>
      </w:r>
      <w:r>
        <w:rPr>
          <w:rFonts w:ascii="Arial" w:hAnsi="Arial"/>
          <w:i/>
          <w:iCs/>
          <w:sz w:val="20"/>
        </w:rPr>
        <w:t xml:space="preserve">clusters at</w:t>
      </w:r>
      <w:r>
        <w:rPr>
          <w:rFonts w:ascii="Arial" w:hAnsi="Arial"/>
          <w:sz w:val="20"/>
        </w:rPr>
        <w:t xml:space="preserve"> </w:t>
      </w:r>
      <w:r>
        <w:rPr>
          <w:rFonts w:ascii="Arial" w:hAnsi="Arial"/>
          <w:sz w:val="20"/>
        </w:rPr>
        <w:t xml:space="preserve">the pre-Kharif distribution: one tail-intensity storm (Fani), one extreme-surge storm (Amphan), and one near-median storm (Yaas). The TWFE-DiD coefficient</w:t>
      </w:r>
      <w:r>
        <w:rPr>
          <w:rFonts w:ascii="Arial" w:hAnsi="Arial"/>
          <w:sz w:val="20"/>
        </w:rPr>
        <w:t xml:space="preserve"> </w:t>
      </w:r>
      <m:oMath>
        <m:acc>
          <m:accPr>
            <m:chr m:val="̂"/>
          </m:accPr>
          <m:e>
            <m:r>
              <m:t>τ</m:t>
            </m:r>
          </m:e>
        </m:acc>
      </m:oMath>
      <w:r>
        <w:rPr>
          <w:rFonts w:ascii="Arial" w:hAnsi="Arial"/>
          <w:sz w:val="20"/>
        </w:rPr>
        <w:t xml:space="preserve"> </w:t>
      </w:r>
      <w:r>
        <w:rPr>
          <w:rFonts w:ascii="Arial" w:hAnsi="Arial"/>
          <w:sz w:val="20"/>
        </w:rPr>
        <w:t xml:space="preserve">is identified from the</w:t>
      </w:r>
      <w:r>
        <w:rPr>
          <w:rFonts w:ascii="Arial" w:hAnsi="Arial"/>
          <w:sz w:val="20"/>
        </w:rPr>
        <w:t xml:space="preserve"> </w:t>
      </w:r>
      <w:r>
        <w:rPr>
          <w:rFonts w:ascii="Arial" w:hAnsi="Arial"/>
          <w:i/>
          <w:iCs/>
          <w:sz w:val="20"/>
        </w:rPr>
        <w:t xml:space="preserve">average</w:t>
      </w:r>
      <w:r>
        <w:rPr>
          <w:rFonts w:ascii="Arial" w:hAnsi="Arial"/>
          <w:sz w:val="20"/>
        </w:rPr>
        <w:t xml:space="preserve"> </w:t>
      </w:r>
      <w:r>
        <w:rPr>
          <w:rFonts w:ascii="Arial" w:hAnsi="Arial"/>
          <w:sz w:val="20"/>
        </w:rPr>
        <w:t xml:space="preserve">effect across this span, not from a single anomalous event.</w:t>
      </w:r>
    </w:p>
    <w:bookmarkEnd w:id="22"/>
    <w:bookmarkStart w:id="23" w:name="s2.4-independence-of-the-three-landfalls"/>
    <w:p>
      <w:pPr>
        <w:pStyle w:val="Heading2"/>
        <w:spacing w:lineRule="auto" w:line="360"/>
      </w:pPr>
      <w:r>
        <w:rPr>
          <w:rFonts w:ascii="Arial" w:hAnsi="Arial"/>
        </w:rPr>
        <w:t xml:space="preserve">S2.4 Independence of the three landfalls</w:t>
      </w:r>
    </w:p>
    <w:p>
      <w:pPr>
        <w:pStyle w:val="FirstParagraph"/>
        <w:spacing w:lineRule="auto" w:line="480"/>
        <w:jc w:val="both"/>
      </w:pPr>
      <w:r>
        <w:rPr>
          <w:rFonts w:ascii="Arial" w:hAnsi="Arial"/>
          <w:sz w:val="20"/>
        </w:rPr>
        <w:t xml:space="preserve">A reasonable concern with three consecutive treatment years is that the three storms could share a common multi-year driver — for example, a phase-locked El Niño / La Niña teleconnection, or a regime shift in the boreal-spring sub-tropical jet — which would induce correlation in</w:t>
      </w:r>
      <w:r>
        <w:rPr>
          <w:rFonts w:ascii="Arial" w:hAnsi="Arial"/>
          <w:sz w:val="20"/>
        </w:rPr>
        <w:t xml:space="preserve"> </w:t>
      </w:r>
      <m:oMath>
        <m:sSub>
          <m:e>
            <m:r>
              <m:t>ε</m:t>
            </m:r>
          </m:e>
          <m:sub>
            <m:r>
              <m:t>d</m:t>
            </m:r>
            <m:r>
              <m:t>t</m:t>
            </m:r>
          </m:sub>
        </m:sSub>
      </m:oMath>
      <w:r>
        <w:rPr>
          <w:rFonts w:ascii="Arial" w:hAnsi="Arial"/>
          <w:sz w:val="20"/>
        </w:rPr>
        <w:t xml:space="preserve"> </w:t>
      </w:r>
      <w:r>
        <w:rPr>
          <w:rFonts w:ascii="Arial" w:hAnsi="Arial"/>
          <w:sz w:val="20"/>
        </w:rPr>
        <w:t xml:space="preserve">and inflate the effective standard error. Three pieces of evidence speak against this:</w:t>
      </w:r>
    </w:p>
    <w:p>
      <w:pPr>
        <w:pStyle w:val="Compact"/>
        <w:numPr>
          <w:ilvl w:val="0"/>
          <w:numId w:val="1003"/>
        </w:numPr>
        <w:spacing w:lineRule="auto" w:line="480"/>
        <w:jc w:val="left"/>
      </w:pPr>
      <w:r>
        <w:rPr>
          <w:rFonts w:ascii="Arial" w:hAnsi="Arial"/>
          <w:b/>
          <w:bCs/>
          <w:sz w:val="20"/>
        </w:rPr>
        <w:t xml:space="preserve">Distinct synoptic genesis classes</w:t>
      </w:r>
      <w:r>
        <w:rPr>
          <w:rFonts w:ascii="Arial" w:hAnsi="Arial"/>
          <w:sz w:val="20"/>
        </w:rPr>
        <w:t xml:space="preserve"> </w:t>
      </w:r>
      <w:r>
        <w:rPr>
          <w:rFonts w:ascii="Arial" w:hAnsi="Arial"/>
          <w:sz w:val="20"/>
        </w:rPr>
        <w:t xml:space="preserve">(Table S8,</w:t>
      </w:r>
      <w:r>
        <w:rPr>
          <w:rFonts w:ascii="Arial" w:hAnsi="Arial"/>
          <w:sz w:val="20"/>
        </w:rPr>
        <w:t xml:space="preserve"> </w:t>
      </w:r>
      <w:r>
        <w:rPr>
          <w:rFonts w:ascii="Arial" w:hAnsi="Arial"/>
          <w:sz w:val="20"/>
        </w:rPr>
        <w:t xml:space="preserve">“</w:t>
      </w:r>
      <w:r>
        <w:rPr>
          <w:rFonts w:ascii="Arial" w:hAnsi="Arial"/>
          <w:sz w:val="20"/>
        </w:rPr>
        <w:t xml:space="preserve">Synoptic class</w:t>
      </w:r>
      <w:r>
        <w:rPr>
          <w:rFonts w:ascii="Arial" w:hAnsi="Arial"/>
          <w:sz w:val="20"/>
        </w:rPr>
        <w:t xml:space="preserve">”</w:t>
      </w:r>
      <w:r>
        <w:rPr>
          <w:rFonts w:ascii="Arial" w:hAnsi="Arial"/>
          <w:sz w:val="20"/>
        </w:rPr>
        <w:t xml:space="preserve"> </w:t>
      </w:r>
      <w:r>
        <w:rPr>
          <w:rFonts w:ascii="Arial" w:hAnsi="Arial"/>
          <w:sz w:val="20"/>
        </w:rPr>
        <w:t xml:space="preserve">column).</w:t>
      </w:r>
    </w:p>
    <w:p>
      <w:pPr>
        <w:pStyle w:val="Compact"/>
        <w:numPr>
          <w:ilvl w:val="1"/>
          <w:numId w:val="1004"/>
        </w:numPr>
        <w:spacing w:lineRule="auto" w:line="480"/>
        <w:jc w:val="both"/>
      </w:pPr>
      <w:r>
        <w:rPr>
          <w:rFonts w:ascii="Arial" w:hAnsi="Arial"/>
          <w:sz w:val="20"/>
        </w:rPr>
        <w:t xml:space="preserve">Fani: equatorial trough genesis (low-latitude cyclogenesis from a tropical disturbance south of 8°N), with rapid intensification over a warm Bay anomaly under low vertical shear.</w:t>
      </w:r>
    </w:p>
    <w:p>
      <w:pPr>
        <w:pStyle w:val="Compact"/>
        <w:numPr>
          <w:ilvl w:val="1"/>
          <w:numId w:val="1004"/>
        </w:numPr>
        <w:spacing w:lineRule="auto" w:line="480"/>
        <w:jc w:val="both"/>
      </w:pPr>
      <w:r>
        <w:rPr>
          <w:rFonts w:ascii="Arial" w:hAnsi="Arial"/>
          <w:sz w:val="20"/>
        </w:rPr>
        <w:t xml:space="preserve">Amphan: monsoon-trough remnant (mid-latitude westerly burst feeding into a recurving system), with the open-water Vmax peak set by transient extratropical interaction.</w:t>
      </w:r>
    </w:p>
    <w:p>
      <w:pPr>
        <w:pStyle w:val="Compact"/>
        <w:numPr>
          <w:ilvl w:val="1"/>
          <w:numId w:val="1004"/>
        </w:numPr>
        <w:spacing w:lineRule="auto" w:line="480"/>
        <w:jc w:val="both"/>
      </w:pPr>
      <w:r>
        <w:rPr>
          <w:rFonts w:ascii="Arial" w:hAnsi="Arial"/>
          <w:sz w:val="20"/>
        </w:rPr>
        <w:t xml:space="preserve">Yaas: easterly-wave Bay genesis (westward-tracking system from central Bay genesis), with a more conventional Bay-only synoptic life cycle.</w:t>
      </w:r>
      <w:r>
        <w:rPr>
          <w:rFonts w:ascii="Arial" w:hAnsi="Arial"/>
          <w:sz w:val="20"/>
        </w:rPr>
        <w:t xml:space="preserve"> </w:t>
      </w:r>
      <w:r>
        <w:rPr>
          <w:rFonts w:ascii="Arial" w:hAnsi="Arial"/>
          <w:sz w:val="20"/>
        </w:rPr>
        <w:t xml:space="preserve">These are three of the four canonical pre-Kharif Bay genesis modes (the fourth — extratropical hybrid — is not represented in the cohort) and they impose no shared dependency on a single multi-year mode.</w:t>
      </w:r>
    </w:p>
    <w:p>
      <w:pPr>
        <w:pStyle w:val="Compact"/>
        <w:numPr>
          <w:ilvl w:val="0"/>
          <w:numId w:val="1003"/>
        </w:numPr>
        <w:spacing w:lineRule="auto" w:line="480"/>
        <w:jc w:val="both"/>
      </w:pPr>
      <w:r>
        <w:rPr>
          <w:rFonts w:ascii="Arial" w:hAnsi="Arial"/>
          <w:b/>
          <w:bCs/>
          <w:sz w:val="20"/>
        </w:rPr>
        <w:t xml:space="preserve">Distinct MJO phases at landfall.</w:t>
      </w:r>
      <w:r>
        <w:rPr>
          <w:rFonts w:ascii="Arial" w:hAnsi="Arial"/>
          <w:sz w:val="20"/>
        </w:rPr>
        <w:t xml:space="preserve"> </w:t>
      </w:r>
      <w:r>
        <w:rPr>
          <w:rFonts w:ascii="Arial" w:hAnsi="Arial"/>
          <w:sz w:val="20"/>
        </w:rPr>
        <w:t xml:space="preserve">Fani landed in MJO phase 3, Amphan in MJO phase 2, Yaas in MJO phase 5. The Madden-Julian Oscillation explains a substantial fraction of intra-seasonal Bay convective activity; three storms drawn from three different MJO phases is consistent with independent intra-seasonal forcing rather than a phase-locked driver.</w:t>
      </w:r>
    </w:p>
    <w:p>
      <w:pPr>
        <w:pStyle w:val="Compact"/>
        <w:numPr>
          <w:ilvl w:val="0"/>
          <w:numId w:val="1003"/>
        </w:numPr>
        <w:spacing w:lineRule="auto" w:line="480"/>
        <w:jc w:val="both"/>
      </w:pPr>
      <w:r>
        <w:rPr>
          <w:rFonts w:ascii="Arial" w:hAnsi="Arial"/>
          <w:b/>
          <w:bCs/>
          <w:sz w:val="20"/>
        </w:rPr>
        <w:t xml:space="preserve">No ENSO co-phasing.</w:t>
      </w:r>
      <w:r>
        <w:rPr>
          <w:rFonts w:ascii="Arial" w:hAnsi="Arial"/>
          <w:sz w:val="20"/>
        </w:rPr>
        <w:t xml:space="preserve"> </w:t>
      </w:r>
      <w:r>
        <w:rPr>
          <w:rFonts w:ascii="Arial" w:hAnsi="Arial"/>
          <w:sz w:val="20"/>
        </w:rPr>
        <w:t xml:space="preserve">ENSO state at landfall: Fani 2019 — neutral (ONI +0.5); Amphan 2020 — neutral-cool (ONI −0.1); Yaas 2021 — La Niña (ONI −0.7). The three cohort years span the central third of the ENSO distribution rather than clustering at a single phase.</w:t>
      </w:r>
    </w:p>
    <w:p>
      <w:pPr>
        <w:pStyle w:val="FirstParagraph"/>
        <w:spacing w:lineRule="auto" w:line="480"/>
        <w:jc w:val="both"/>
      </w:pPr>
      <w:r>
        <w:rPr>
          <w:rFonts w:ascii="Arial" w:hAnsi="Arial"/>
          <w:sz w:val="20"/>
        </w:rPr>
        <w:t xml:space="preserve">The three landfalls are therefore best modelled as three independent draws from the pre-Kharif Bay-of-Bengal distribution. The eight-cluster assumption underlying the wild-cluster restricted bootstrap (§3.7.1) and the Donald-Lang small-cluster MDE / power calculation (§3.7.5) is not violated by hidden cross-year synoptic dependence.</w:t>
      </w:r>
    </w:p>
    <w:bookmarkEnd w:id="23"/>
    <w:bookmarkStart w:id="24" w:name="s2.5-mechanism-homogeneity"/>
    <w:p>
      <w:pPr>
        <w:pStyle w:val="Heading2"/>
        <w:spacing w:lineRule="auto" w:line="360"/>
      </w:pPr>
      <w:r>
        <w:rPr>
          <w:rFonts w:ascii="Arial" w:hAnsi="Arial"/>
        </w:rPr>
        <w:t xml:space="preserve">S2.5 Mechanism homogeneity</w:t>
      </w:r>
    </w:p>
    <w:p>
      <w:pPr>
        <w:pStyle w:val="FirstParagraph"/>
        <w:spacing w:lineRule="auto" w:line="480"/>
        <w:jc w:val="both"/>
      </w:pPr>
      <w:r>
        <w:rPr>
          <w:rFonts w:ascii="Arial" w:hAnsi="Arial"/>
          <w:sz w:val="20"/>
        </w:rPr>
        <w:t xml:space="preserve">For the TWFE 2 × 2 specification (Eq. 4) to identify a single</w:t>
      </w:r>
      <w:r>
        <w:rPr>
          <w:rFonts w:ascii="Arial" w:hAnsi="Arial"/>
          <w:sz w:val="20"/>
        </w:rPr>
        <w:t xml:space="preserve"> </w:t>
      </w:r>
      <m:oMath>
        <m:r>
          <m:t>τ</m:t>
        </m:r>
      </m:oMath>
      <w:r>
        <w:rPr>
          <w:rFonts w:ascii="Arial" w:hAnsi="Arial"/>
          <w:sz w:val="20"/>
        </w:rPr>
        <w:t xml:space="preserve">, the three storms must be similar enough in</w:t>
      </w:r>
      <w:r>
        <w:rPr>
          <w:rFonts w:ascii="Arial" w:hAnsi="Arial"/>
          <w:sz w:val="20"/>
        </w:rPr>
        <w:t xml:space="preserve"> </w:t>
      </w:r>
      <w:r>
        <w:rPr>
          <w:rFonts w:ascii="Arial" w:hAnsi="Arial"/>
          <w:i/>
          <w:iCs/>
          <w:sz w:val="20"/>
        </w:rPr>
        <w:t xml:space="preserve">outcome-relevant</w:t>
      </w:r>
      <w:r>
        <w:rPr>
          <w:rFonts w:ascii="Arial" w:hAnsi="Arial"/>
          <w:sz w:val="20"/>
        </w:rPr>
        <w:t xml:space="preserve"> </w:t>
      </w:r>
      <w:r>
        <w:rPr>
          <w:rFonts w:ascii="Arial" w:hAnsi="Arial"/>
          <w:sz w:val="20"/>
        </w:rPr>
        <w:t xml:space="preserve">mechanism that pooling them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indicator is defensible. The mechanism that operationalises</w:t>
      </w:r>
      <w:r>
        <w:rPr>
          <w:rFonts w:ascii="Arial" w:hAnsi="Arial"/>
          <w:sz w:val="20"/>
        </w:rPr>
        <w:t xml:space="preserve"> </w:t>
      </w:r>
      <m:oMath>
        <m:r>
          <m:t>τ</m:t>
        </m:r>
      </m:oMath>
      <w:r>
        <w:rPr>
          <w:rFonts w:ascii="Arial" w:hAnsi="Arial"/>
          <w:sz w:val="20"/>
        </w:rPr>
        <w:t xml:space="preserve"> </w:t>
      </w:r>
      <w:r>
        <w:rPr>
          <w:rFonts w:ascii="Arial" w:hAnsi="Arial"/>
          <w:sz w:val="20"/>
        </w:rPr>
        <w:t xml:space="preserve">in the corrected pipeline is</w:t>
      </w:r>
      <w:r>
        <w:rPr>
          <w:rFonts w:ascii="Arial" w:hAnsi="Arial"/>
          <w:sz w:val="20"/>
        </w:rPr>
        <w:t xml:space="preserve"> </w:t>
      </w:r>
      <w:r>
        <w:rPr>
          <w:rFonts w:ascii="Arial" w:hAnsi="Arial"/>
          <w:b/>
          <w:bCs/>
          <w:sz w:val="20"/>
        </w:rPr>
        <w:t xml:space="preserve">saline storm-surge inundation during the pre-Kharif transplanting window</w:t>
      </w:r>
      <w:r>
        <w:rPr>
          <w:rFonts w:ascii="Arial" w:hAnsi="Arial"/>
          <w:sz w:val="20"/>
        </w:rPr>
        <w:t xml:space="preserve">, and on this dimension the three storms are tightly clustered:</w:t>
      </w:r>
    </w:p>
    <w:p>
      <w:pPr>
        <w:pStyle w:val="Compact"/>
        <w:numPr>
          <w:ilvl w:val="0"/>
          <w:numId w:val="1005"/>
        </w:numPr>
        <w:spacing w:lineRule="auto" w:line="480"/>
        <w:jc w:val="both"/>
      </w:pPr>
      <w:r>
        <w:rPr>
          <w:rFonts w:ascii="Arial" w:hAnsi="Arial"/>
          <w:sz w:val="20"/>
        </w:rPr>
        <w:t xml:space="preserve">All three made landfall within DOY 123 – 146 (3 May – 26 May), i.e., within the same three-week pre-Kharif transplanting window for coastal Odisha rice.</w:t>
      </w:r>
    </w:p>
    <w:p>
      <w:pPr>
        <w:pStyle w:val="Compact"/>
        <w:numPr>
          <w:ilvl w:val="0"/>
          <w:numId w:val="1005"/>
        </w:numPr>
        <w:spacing w:lineRule="auto" w:line="480"/>
        <w:jc w:val="both"/>
      </w:pPr>
      <w:r>
        <w:rPr>
          <w:rFonts w:ascii="Arial" w:hAnsi="Arial"/>
          <w:sz w:val="20"/>
        </w:rPr>
        <w:t xml:space="preserve">All three produced measurable saline storm-surge ingress at one or more of the five treatment districts (1.5 / 4.6 / 2.0 m peak surge for Fani / Amphan / Yaas, respectively; IMD RSMC reports, district-level surge logs).</w:t>
      </w:r>
    </w:p>
    <w:p>
      <w:pPr>
        <w:pStyle w:val="Compact"/>
        <w:numPr>
          <w:ilvl w:val="0"/>
          <w:numId w:val="1005"/>
        </w:numPr>
        <w:spacing w:lineRule="auto" w:line="480"/>
        <w:jc w:val="both"/>
      </w:pPr>
      <w:r>
        <w:rPr>
          <w:rFonts w:ascii="Arial" w:hAnsi="Arial"/>
          <w:sz w:val="20"/>
        </w:rPr>
        <w:t xml:space="preserve">All three produced a measurable VH-backscatter trough in the Sentinel-1 archive at the affected districts within 3 – 6 weeks of landfall, consistent with the saline-flood backscatter signature targeted by the Module 02 classifier (§3.3).</w:t>
      </w:r>
    </w:p>
    <w:p>
      <w:pPr>
        <w:pStyle w:val="FirstParagraph"/>
        <w:spacing w:lineRule="auto" w:line="480"/>
        <w:jc w:val="both"/>
      </w:pPr>
      <w:r>
        <w:rPr>
          <w:rFonts w:ascii="Arial" w:hAnsi="Arial"/>
          <w:sz w:val="20"/>
        </w:rPr>
        <w:t xml:space="preserve">The cohort is therefore</w:t>
      </w:r>
      <w:r>
        <w:rPr>
          <w:rFonts w:ascii="Arial" w:hAnsi="Arial"/>
          <w:sz w:val="20"/>
        </w:rPr>
        <w:t xml:space="preserve"> </w:t>
      </w:r>
      <w:r>
        <w:rPr>
          <w:rFonts w:ascii="Arial" w:hAnsi="Arial"/>
          <w:i/>
          <w:iCs/>
          <w:sz w:val="20"/>
        </w:rPr>
        <w:t xml:space="preserve">heterogeneous</w:t>
      </w:r>
      <w:r>
        <w:rPr>
          <w:rFonts w:ascii="Arial" w:hAnsi="Arial"/>
          <w:sz w:val="20"/>
        </w:rPr>
        <w:t xml:space="preserve"> </w:t>
      </w:r>
      <w:r>
        <w:rPr>
          <w:rFonts w:ascii="Arial" w:hAnsi="Arial"/>
          <w:sz w:val="20"/>
        </w:rPr>
        <w:t xml:space="preserve">in synoptic genesis but</w:t>
      </w:r>
      <w:r>
        <w:rPr>
          <w:rFonts w:ascii="Arial" w:hAnsi="Arial"/>
          <w:sz w:val="20"/>
        </w:rPr>
        <w:t xml:space="preserve"> </w:t>
      </w:r>
      <w:r>
        <w:rPr>
          <w:rFonts w:ascii="Arial" w:hAnsi="Arial"/>
          <w:i/>
          <w:iCs/>
          <w:sz w:val="20"/>
        </w:rPr>
        <w:t xml:space="preserve">homogeneous</w:t>
      </w:r>
      <w:r>
        <w:rPr>
          <w:rFonts w:ascii="Arial" w:hAnsi="Arial"/>
          <w:sz w:val="20"/>
        </w:rPr>
        <w:t xml:space="preserve"> </w:t>
      </w:r>
      <w:r>
        <w:rPr>
          <w:rFonts w:ascii="Arial" w:hAnsi="Arial"/>
          <w:sz w:val="20"/>
        </w:rPr>
        <w:t xml:space="preserve">in the outcome-relevant mechanism. This is the structural condition under which a single pooled</w:t>
      </w:r>
      <w:r>
        <w:rPr>
          <w:rFonts w:ascii="Arial" w:hAnsi="Arial"/>
          <w:sz w:val="20"/>
        </w:rPr>
        <w:t xml:space="preserve"> </w:t>
      </w:r>
      <m:oMath>
        <m:r>
          <m:t>τ</m:t>
        </m:r>
      </m:oMath>
      <w:r>
        <w:rPr>
          <w:rFonts w:ascii="Arial" w:hAnsi="Arial"/>
          <w:sz w:val="20"/>
        </w:rPr>
        <w:t xml:space="preserve"> </w:t>
      </w:r>
      <w:r>
        <w:rPr>
          <w:rFonts w:ascii="Arial" w:hAnsi="Arial"/>
          <w:sz w:val="20"/>
        </w:rPr>
        <w:t xml:space="preserve">is interpretable as the causal effect of</w:t>
      </w:r>
      <w:r>
        <w:rPr>
          <w:rFonts w:ascii="Arial" w:hAnsi="Arial"/>
          <w:sz w:val="20"/>
        </w:rPr>
        <w:t xml:space="preserve"> </w:t>
      </w:r>
      <w:r>
        <w:rPr>
          <w:rFonts w:ascii="Arial" w:hAnsi="Arial"/>
          <w:sz w:val="20"/>
        </w:rPr>
        <w:t xml:space="preserve">“</w:t>
      </w:r>
      <w:r>
        <w:rPr>
          <w:rFonts w:ascii="Arial" w:hAnsi="Arial"/>
          <w:sz w:val="20"/>
        </w:rPr>
        <w:t xml:space="preserve">a pre-Kharif saline-surge inundation event at a coastal Odisha rice district</w:t>
      </w:r>
      <w:r>
        <w:rPr>
          <w:rFonts w:ascii="Arial" w:hAnsi="Arial"/>
          <w:sz w:val="20"/>
        </w:rPr>
        <w:t xml:space="preserve">”</w:t>
      </w:r>
      <w:r>
        <w:rPr>
          <w:rFonts w:ascii="Arial" w:hAnsi="Arial"/>
          <w:sz w:val="20"/>
        </w:rPr>
        <w:t xml:space="preserve">, rather than as a bundle-of-events treatment whose components could plausibly cancel.</w:t>
      </w:r>
    </w:p>
    <w:bookmarkEnd w:id="24"/>
    <w:bookmarkStart w:id="25" w:name="s2.6-falsification-posture"/>
    <w:p>
      <w:pPr>
        <w:pStyle w:val="Heading2"/>
        <w:spacing w:lineRule="auto" w:line="360"/>
      </w:pPr>
      <w:r>
        <w:rPr>
          <w:rFonts w:ascii="Arial" w:hAnsi="Arial"/>
        </w:rPr>
        <w:t xml:space="preserve">S2.6 Falsification posture</w:t>
      </w:r>
    </w:p>
    <w:p>
      <w:pPr>
        <w:pStyle w:val="FirstParagraph"/>
        <w:spacing w:lineRule="auto" w:line="480"/>
        <w:jc w:val="both"/>
      </w:pPr>
      <w:r>
        <w:rPr>
          <w:rFonts w:ascii="Arial" w:hAnsi="Arial"/>
          <w:sz w:val="20"/>
        </w:rPr>
        <w:t xml:space="preserve">This climatological framing is</w:t>
      </w:r>
      <w:r>
        <w:rPr>
          <w:rFonts w:ascii="Arial" w:hAnsi="Arial"/>
          <w:sz w:val="20"/>
        </w:rPr>
        <w:t xml:space="preserve"> </w:t>
      </w:r>
      <w:r>
        <w:rPr>
          <w:rFonts w:ascii="Arial" w:hAnsi="Arial"/>
          <w:i/>
          <w:iCs/>
          <w:sz w:val="20"/>
        </w:rPr>
        <w:t xml:space="preserve">non-positivist</w:t>
      </w:r>
      <w:r>
        <w:rPr>
          <w:rFonts w:ascii="Arial" w:hAnsi="Arial"/>
          <w:sz w:val="20"/>
        </w:rPr>
        <w:t xml:space="preserve">: nothing in §S2.3 – §S2.5 constitutes a hypothesis test for</w:t>
      </w:r>
      <w:r>
        <w:rPr>
          <w:rFonts w:ascii="Arial" w:hAnsi="Arial"/>
          <w:sz w:val="20"/>
        </w:rPr>
        <w:t xml:space="preserve"> </w:t>
      </w:r>
      <m:oMath>
        <m:sSub>
          <m:e>
            <m:r>
              <m:t>H</m:t>
            </m:r>
          </m:e>
          <m:sub>
            <m:r>
              <m:t>0</m:t>
            </m:r>
          </m:sub>
        </m:sSub>
        <m:r>
          <m:rPr>
            <m:sty m:val="p"/>
          </m:rPr>
          <m:t>:</m:t>
        </m:r>
        <m:r>
          <m:t>τ</m:t>
        </m:r>
        <m:r>
          <m:rPr>
            <m:sty m:val="p"/>
          </m:rPr>
          <m:t>=</m:t>
        </m:r>
        <m:r>
          <m:t>0</m:t>
        </m:r>
      </m:oMath>
      <w:r>
        <w:rPr>
          <w:rFonts w:ascii="Arial" w:hAnsi="Arial"/>
          <w:sz w:val="20"/>
        </w:rPr>
        <w:t xml:space="preserve">. The role of the climatology note is to establish the</w:t>
      </w:r>
      <w:r>
        <w:rPr>
          <w:rFonts w:ascii="Arial" w:hAnsi="Arial"/>
          <w:sz w:val="20"/>
        </w:rPr>
        <w:t xml:space="preserve"> </w:t>
      </w:r>
      <w:r>
        <w:rPr>
          <w:rFonts w:ascii="Arial" w:hAnsi="Arial"/>
          <w:i/>
          <w:iCs/>
          <w:sz w:val="20"/>
        </w:rPr>
        <w:t xml:space="preserve">context</w:t>
      </w:r>
      <w:r>
        <w:rPr>
          <w:rFonts w:ascii="Arial" w:hAnsi="Arial"/>
          <w:sz w:val="20"/>
        </w:rPr>
        <w:t xml:space="preserve"> </w:t>
      </w:r>
      <w:r>
        <w:rPr>
          <w:rFonts w:ascii="Arial" w:hAnsi="Arial"/>
          <w:sz w:val="20"/>
        </w:rPr>
        <w:t xml:space="preserve">in which the headline result should be read:</w:t>
      </w:r>
    </w:p>
    <w:p>
      <w:pPr>
        <w:pStyle w:val="Compact"/>
        <w:numPr>
          <w:ilvl w:val="0"/>
          <w:numId w:val="1006"/>
        </w:numPr>
        <w:spacing w:lineRule="auto" w:line="480"/>
        <w:jc w:val="both"/>
      </w:pPr>
      <m:oMath>
        <m:acc>
          <m:accPr>
            <m:chr m:val="̂"/>
          </m:accPr>
          <m:e>
            <m:r>
              <m:t>τ</m:t>
            </m:r>
          </m:e>
        </m:acc>
      </m:oMath>
      <w:r>
        <w:rPr>
          <w:rFonts w:ascii="Arial" w:hAnsi="Arial"/>
          <w:sz w:val="20"/>
        </w:rPr>
        <w:t xml:space="preserve"> </w:t>
      </w:r>
      <w:r>
        <w:rPr>
          <w:rFonts w:ascii="Arial" w:hAnsi="Arial"/>
          <w:sz w:val="20"/>
        </w:rPr>
        <w:t xml:space="preserve">is identified from a representative span of the pre-Kharif distribution, not a single tail draw — the result is therefore a candidate for transferability to a typical pre-Kharif year.</w:t>
      </w:r>
    </w:p>
    <w:p>
      <w:pPr>
        <w:pStyle w:val="Compact"/>
        <w:numPr>
          <w:ilvl w:val="0"/>
          <w:numId w:val="1006"/>
        </w:numPr>
        <w:spacing w:lineRule="auto" w:line="480"/>
        <w:jc w:val="both"/>
      </w:pPr>
      <w:r>
        <w:rPr>
          <w:rFonts w:ascii="Arial" w:hAnsi="Arial"/>
          <w:sz w:val="20"/>
        </w:rPr>
        <w:t xml:space="preserve">The three landfalls are independent in genesis, MJO phase, and ENSO state — the effective-cluster argument underpinning §3.7.1 holds.</w:t>
      </w:r>
    </w:p>
    <w:p>
      <w:pPr>
        <w:pStyle w:val="Compact"/>
        <w:numPr>
          <w:ilvl w:val="0"/>
          <w:numId w:val="1006"/>
        </w:numPr>
        <w:spacing w:lineRule="auto" w:line="480"/>
        <w:jc w:val="both"/>
      </w:pPr>
      <w:r>
        <w:rPr>
          <w:rFonts w:ascii="Arial" w:hAnsi="Arial"/>
          <w:sz w:val="20"/>
        </w:rPr>
        <w:t xml:space="preserve">The three landfalls are mechanism-homogeneous in surge-driven pre-Kharif inundation — pooling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is defensible.</w:t>
      </w:r>
    </w:p>
    <w:p>
      <w:pPr>
        <w:pStyle w:val="FirstParagraph"/>
        <w:spacing w:lineRule="auto" w:line="480"/>
        <w:jc w:val="both"/>
      </w:pPr>
      <w:r>
        <w:rPr>
          <w:rFonts w:ascii="Arial" w:hAnsi="Arial"/>
          <w:sz w:val="20"/>
        </w:rPr>
        <w:t xml:space="preserve">Each of these three claims would be</w:t>
      </w:r>
      <w:r>
        <w:rPr>
          <w:rFonts w:ascii="Arial" w:hAnsi="Arial"/>
          <w:sz w:val="20"/>
        </w:rPr>
        <w:t xml:space="preserve"> </w:t>
      </w:r>
      <w:r>
        <w:rPr>
          <w:rFonts w:ascii="Arial" w:hAnsi="Arial"/>
          <w:i/>
          <w:iCs/>
          <w:sz w:val="20"/>
        </w:rPr>
        <w:t xml:space="preserve">falsifiable</w:t>
      </w:r>
      <w:r>
        <w:rPr>
          <w:rFonts w:ascii="Arial" w:hAnsi="Arial"/>
          <w:sz w:val="20"/>
        </w:rPr>
        <w:t xml:space="preserve"> </w:t>
      </w:r>
      <w:r>
        <w:rPr>
          <w:rFonts w:ascii="Arial" w:hAnsi="Arial"/>
          <w:sz w:val="20"/>
        </w:rPr>
        <w:t xml:space="preserve">by a different piece of evidence: a reviewer-supplied alternative climatology, a reviewer-detected shared synoptic driver, or a reviewer-detected mechanism asymmetry. None has been identified at the time of pre-registration finalisation; this note is the formal record of that disclosure.</w:t>
      </w:r>
    </w:p>
    <w:bookmarkEnd w:id="25"/>
    <w:bookmarkStart w:id="26" w:name="s2.7-limitations"/>
    <w:p>
      <w:pPr>
        <w:pStyle w:val="Heading2"/>
        <w:spacing w:lineRule="auto" w:line="360"/>
      </w:pPr>
      <w:r>
        <w:rPr>
          <w:rFonts w:ascii="Arial" w:hAnsi="Arial"/>
        </w:rPr>
        <w:t xml:space="preserve">S2.7 Limitations</w:t>
      </w:r>
    </w:p>
    <w:p>
      <w:pPr>
        <w:pStyle w:val="Compact"/>
        <w:numPr>
          <w:ilvl w:val="0"/>
          <w:numId w:val="1007"/>
        </w:numPr>
        <w:spacing w:lineRule="auto" w:line="480"/>
        <w:jc w:val="both"/>
      </w:pPr>
      <w:r>
        <w:rPr>
          <w:rFonts w:ascii="Arial" w:hAnsi="Arial"/>
          <w:b/>
          <w:bCs/>
          <w:sz w:val="20"/>
        </w:rPr>
        <w:t xml:space="preserve">The reference distribution is only 38 years.</w:t>
      </w:r>
      <w:r>
        <w:rPr>
          <w:rFonts w:ascii="Arial" w:hAnsi="Arial"/>
          <w:sz w:val="20"/>
        </w:rPr>
        <w:t xml:space="preserve"> </w:t>
      </w:r>
      <w:r>
        <w:rPr>
          <w:rFonts w:ascii="Arial" w:hAnsi="Arial"/>
          <w:sz w:val="20"/>
        </w:rPr>
        <w:t xml:space="preserve">A 38-year climatology contains 19 systems; bootstrap sampling-variability estimates around the published percentiles are wide (95% binomial CI for the median Vmax breakpoint at p50 covers</w:t>
      </w:r>
      <w:r>
        <w:rPr>
          <w:rFonts w:ascii="Arial" w:hAnsi="Arial"/>
          <w:sz w:val="20"/>
        </w:rPr>
        <w:t xml:space="preserve"> </w:t>
      </w:r>
      <m:oMath>
        <m:r>
          <m:rPr>
            <m:sty m:val="p"/>
          </m:rPr>
          <m:t>±</m:t>
        </m:r>
        <m:r>
          <m:t>6</m:t>
        </m:r>
      </m:oMath>
      <w:r>
        <w:rPr>
          <w:rFonts w:ascii="Arial" w:hAnsi="Arial"/>
          <w:sz w:val="20"/>
        </w:rPr>
        <w:t xml:space="preserve"> </w:t>
      </w:r>
      <w:r>
        <w:rPr>
          <w:rFonts w:ascii="Arial" w:hAnsi="Arial"/>
          <w:sz w:val="20"/>
        </w:rPr>
        <w:t xml:space="preserve">kt). Percentile placements should therefore be read to one significant figure rather than to the decimal precision printed in Table S8.</w:t>
      </w:r>
    </w:p>
    <w:p>
      <w:pPr>
        <w:pStyle w:val="Compact"/>
        <w:numPr>
          <w:ilvl w:val="0"/>
          <w:numId w:val="1007"/>
        </w:numPr>
        <w:spacing w:lineRule="auto" w:line="480"/>
        <w:jc w:val="both"/>
      </w:pPr>
      <w:r>
        <w:rPr>
          <w:rFonts w:ascii="Arial" w:hAnsi="Arial"/>
          <w:b/>
          <w:bCs/>
          <w:sz w:val="20"/>
        </w:rPr>
        <w:t xml:space="preserve">IBTrACS NI is not homogeneous over 1981–2024.</w:t>
      </w:r>
      <w:r>
        <w:rPr>
          <w:rFonts w:ascii="Arial" w:hAnsi="Arial"/>
          <w:sz w:val="20"/>
        </w:rPr>
        <w:t xml:space="preserve"> </w:t>
      </w:r>
      <w:r>
        <w:rPr>
          <w:rFonts w:ascii="Arial" w:hAnsi="Arial"/>
          <w:sz w:val="20"/>
        </w:rPr>
        <w:t xml:space="preserve">Geostationary observation density and microwave coverage improved substantially in the early-2000s. Pre-1990 Vmax estimates carry larger uncertainty, which compresses the upper tail of the historical distribution and may slightly</w:t>
      </w:r>
      <w:r>
        <w:rPr>
          <w:rFonts w:ascii="Arial" w:hAnsi="Arial"/>
          <w:sz w:val="20"/>
        </w:rPr>
        <w:t xml:space="preserve"> </w:t>
      </w:r>
      <w:r>
        <w:rPr>
          <w:rFonts w:ascii="Arial" w:hAnsi="Arial"/>
          <w:i/>
          <w:iCs/>
          <w:sz w:val="20"/>
        </w:rPr>
        <w:t xml:space="preserve">under-state</w:t>
      </w:r>
      <w:r>
        <w:rPr>
          <w:rFonts w:ascii="Arial" w:hAnsi="Arial"/>
          <w:sz w:val="20"/>
        </w:rPr>
        <w:t xml:space="preserve"> </w:t>
      </w:r>
      <w:r>
        <w:rPr>
          <w:rFonts w:ascii="Arial" w:hAnsi="Arial"/>
          <w:sz w:val="20"/>
        </w:rPr>
        <w:t xml:space="preserve">the percentile at which the identification cyclones sit.</w:t>
      </w:r>
    </w:p>
    <w:p>
      <w:pPr>
        <w:pStyle w:val="Compact"/>
        <w:numPr>
          <w:ilvl w:val="0"/>
          <w:numId w:val="1007"/>
        </w:numPr>
        <w:spacing w:lineRule="auto" w:line="480"/>
        <w:jc w:val="both"/>
      </w:pPr>
      <w:r>
        <w:rPr>
          <w:rFonts w:ascii="Arial" w:hAnsi="Arial"/>
          <w:b/>
          <w:bCs/>
          <w:sz w:val="20"/>
        </w:rPr>
        <w:t xml:space="preserve">Synthetic-mode visualisation.</w:t>
      </w:r>
      <w:r>
        <w:rPr>
          <w:rFonts w:ascii="Arial" w:hAnsi="Arial"/>
          <w:sz w:val="20"/>
        </w:rPr>
        <w:t xml:space="preserve"> </w:t>
      </w:r>
      <w:r>
        <w:rPr>
          <w:rFonts w:ascii="Arial" w:hAnsi="Arial"/>
          <w:sz w:val="20"/>
        </w:rPr>
        <w:t xml:space="preserve">Figure S1A renders a schematic Bay coastline rather than a geodetic projection; the climatological-cloud points in Panel A are illustrative draws conditional on the published quantile statistics rather than the actual 1981–2018 landfall coordinates. The full IBTrACS query is wired in</w:t>
      </w:r>
      <w:r>
        <w:rPr>
          <w:rFonts w:ascii="Arial" w:hAnsi="Arial"/>
          <w:sz w:val="20"/>
        </w:rPr>
        <w:t xml:space="preserve"> </w:t>
      </w:r>
      <w:r>
        <w:rPr>
          <w:rStyle w:val="VerbatimChar"/>
          <w:rFonts w:ascii="Arial" w:hAnsi="Arial"/>
          <w:sz w:val="20"/>
        </w:rPr>
        <w:t xml:space="preserve">analysis/11_cyclone_climatology.py</w:t>
      </w:r>
      <w:r>
        <w:rPr>
          <w:rFonts w:ascii="Arial" w:hAnsi="Arial"/>
          <w:sz w:val="20"/>
        </w:rPr>
        <w:t xml:space="preserve"> </w:t>
      </w:r>
      <w:r>
        <w:rPr>
          <w:rFonts w:ascii="Arial" w:hAnsi="Arial"/>
          <w:sz w:val="20"/>
        </w:rPr>
        <w:t xml:space="preserve">for the published version.</w:t>
      </w:r>
    </w:p>
    <w:bookmarkEnd w:id="26"/>
    <w:bookmarkStart w:id="27" w:name="s2.8-pre-registration-trail"/>
    <w:p>
      <w:pPr>
        <w:pStyle w:val="Heading2"/>
        <w:spacing w:lineRule="auto" w:line="360"/>
      </w:pPr>
      <w:r>
        <w:rPr>
          <w:rFonts w:ascii="Arial" w:hAnsi="Arial"/>
        </w:rPr>
        <w:t xml:space="preserve">S2.8 Pre-registration trail</w:t>
      </w:r>
    </w:p>
    <w:p>
      <w:pPr>
        <w:pStyle w:val="FirstParagraph"/>
        <w:spacing w:lineRule="auto" w:line="480"/>
        <w:jc w:val="both"/>
      </w:pPr>
      <w:r>
        <w:rPr>
          <w:rFonts w:ascii="Arial" w:hAnsi="Arial"/>
          <w:sz w:val="20"/>
        </w:rPr>
        <w:t xml:space="preserve">This climatology note was added to the OSF supplement on</w:t>
      </w:r>
      <w:r>
        <w:rPr>
          <w:rFonts w:ascii="Arial" w:hAnsi="Arial"/>
          <w:sz w:val="20"/>
        </w:rPr>
        <w:t xml:space="preserve"> </w:t>
      </w:r>
      <w:r>
        <w:rPr>
          <w:rFonts w:ascii="Arial" w:hAnsi="Arial"/>
          <w:b/>
          <w:bCs/>
          <w:sz w:val="20"/>
        </w:rPr>
        <w:t xml:space="preserve">2026-05-05</w:t>
      </w:r>
      <w:r>
        <w:rPr>
          <w:rFonts w:ascii="Arial" w:hAnsi="Arial"/>
          <w:sz w:val="20"/>
        </w:rPr>
        <w:t xml:space="preserve"> </w:t>
      </w:r>
      <w:r>
        <w:rPr>
          <w:rFonts w:ascii="Arial" w:hAnsi="Arial"/>
          <w:sz w:val="20"/>
        </w:rPr>
        <w:t xml:space="preserve">as a Methods companion to the §3.6 framing; the additional figure (Figure S1) and table (Table S8) were not part of the original 2025 pre-registration. Because the note is descriptive rather than test-forming, no scope amendment was filed; the OSF wiki entry documents the addition under</w:t>
      </w:r>
      <w:r>
        <w:rPr>
          <w:rFonts w:ascii="Arial" w:hAnsi="Arial"/>
          <w:sz w:val="20"/>
        </w:rPr>
        <w:t xml:space="preserve"> </w:t>
      </w:r>
      <w:r>
        <w:rPr>
          <w:rFonts w:ascii="Arial" w:hAnsi="Arial"/>
          <w:sz w:val="20"/>
        </w:rPr>
        <w:t xml:space="preserve">“</w:t>
      </w:r>
      <w:r>
        <w:rPr>
          <w:rFonts w:ascii="Arial" w:hAnsi="Arial"/>
          <w:sz w:val="20"/>
        </w:rPr>
        <w:t xml:space="preserve">Methods supplements</w:t>
      </w:r>
      <w:r>
        <w:rPr>
          <w:rFonts w:ascii="Arial" w:hAnsi="Arial"/>
          <w:sz w:val="20"/>
        </w:rPr>
        <w:t xml:space="preserve">”</w:t>
      </w:r>
      <w:r>
        <w:rPr>
          <w:rFonts w:ascii="Arial" w:hAnsi="Arial"/>
          <w:sz w:val="20"/>
        </w:rPr>
        <w:t xml:space="preserve"> </w:t>
      </w:r>
      <w:r>
        <w:rPr>
          <w:rFonts w:ascii="Arial" w:hAnsi="Arial"/>
          <w:sz w:val="20"/>
        </w:rPr>
        <w:t xml:space="preserve">rather than under</w:t>
      </w:r>
      <w:r>
        <w:rPr>
          <w:rFonts w:ascii="Arial" w:hAnsi="Arial"/>
          <w:sz w:val="20"/>
        </w:rPr>
        <w:t xml:space="preserve"> </w:t>
      </w:r>
      <w:r>
        <w:rPr>
          <w:rFonts w:ascii="Arial" w:hAnsi="Arial"/>
          <w:sz w:val="20"/>
        </w:rPr>
        <w:t xml:space="preserve">“</w:t>
      </w:r>
      <w:r>
        <w:rPr>
          <w:rFonts w:ascii="Arial" w:hAnsi="Arial"/>
          <w:sz w:val="20"/>
        </w:rPr>
        <w:t xml:space="preserve">registered hypotheses.</w:t>
      </w:r>
      <w:r>
        <w:rPr>
          <w:rFonts w:ascii="Arial" w:hAnsi="Arial"/>
          <w:sz w:val="20"/>
        </w:rPr>
        <w:t xml:space="preserve">”</w:t>
      </w:r>
    </w:p>
    <w:bookmarkEnd w:id="27"/>
    <w:bookmarkStart w:id="30" w:name="references"/>
    <w:p>
      <w:pPr>
        <w:pStyle w:val="Heading2"/>
        <w:spacing w:lineRule="auto" w:line="360"/>
      </w:pPr>
      <w:r>
        <w:rPr>
          <w:rFonts w:ascii="Arial" w:hAnsi="Arial"/>
        </w:rPr>
        <w:t xml:space="preserve">References</w:t>
      </w:r>
    </w:p>
    <w:p>
      <w:pPr>
        <w:pStyle w:val="Compact"/>
        <w:numPr>
          <w:ilvl w:val="0"/>
          <w:numId w:val="1008"/>
        </w:numPr>
        <w:spacing w:lineRule="auto" w:line="480"/>
        <w:jc w:val="both"/>
      </w:pPr>
      <w:r>
        <w:rPr>
          <w:rFonts w:ascii="Arial" w:hAnsi="Arial"/>
          <w:sz w:val="20"/>
        </w:rPr>
        <w:t xml:space="preserve">Knapp, K.R., Kruk, M.C., Levinson, D.H., Diamond, H.J., Neumann, C.J., 2010. The International Best Track Archive for Climate Stewardship (IBTrACS).</w:t>
      </w:r>
      <w:r>
        <w:rPr>
          <w:rFonts w:ascii="Arial" w:hAnsi="Arial"/>
          <w:sz w:val="20"/>
        </w:rPr>
        <w:t xml:space="preserve"> </w:t>
      </w:r>
      <w:r>
        <w:rPr>
          <w:rFonts w:ascii="Arial" w:hAnsi="Arial"/>
          <w:i/>
          <w:iCs/>
          <w:sz w:val="20"/>
        </w:rPr>
        <w:t xml:space="preserve">Bulletin of the American Meteorological Society</w:t>
      </w:r>
      <w:r>
        <w:rPr>
          <w:rFonts w:ascii="Arial" w:hAnsi="Arial"/>
          <w:sz w:val="20"/>
        </w:rPr>
        <w:t xml:space="preserve"> </w:t>
      </w:r>
      <w:r>
        <w:rPr>
          <w:rFonts w:ascii="Arial" w:hAnsi="Arial"/>
          <w:sz w:val="20"/>
        </w:rPr>
        <w:t xml:space="preserve">91, 363–376.</w:t>
      </w:r>
      <w:r>
        <w:rPr>
          <w:rFonts w:ascii="Arial" w:hAnsi="Arial"/>
          <w:sz w:val="20"/>
        </w:rPr>
        <w:t xml:space="preserve"> </w:t>
      </w:r>
      <w:hyperlink r:id="rId28">
        <w:r>
          <w:rPr>
            <w:rStyle w:val="Hyperlink"/>
          </w:rPr>
          <w:t xml:space="preserve">doi:10.1175/2009BAMS2755.1</w:t>
        </w:r>
      </w:hyperlink>
    </w:p>
    <w:p>
      <w:pPr>
        <w:pStyle w:val="Compact"/>
        <w:numPr>
          <w:ilvl w:val="0"/>
          <w:numId w:val="1008"/>
        </w:numPr>
        <w:spacing w:lineRule="auto" w:line="480"/>
        <w:jc w:val="both"/>
      </w:pPr>
      <w:r>
        <w:rPr>
          <w:rFonts w:ascii="Arial" w:hAnsi="Arial"/>
          <w:sz w:val="20"/>
        </w:rPr>
        <w:t xml:space="preserve">IMD, 2020.</w:t>
      </w:r>
      <w:r>
        <w:rPr>
          <w:rFonts w:ascii="Arial" w:hAnsi="Arial"/>
          <w:sz w:val="20"/>
        </w:rPr>
        <w:t xml:space="preserve"> </w:t>
      </w:r>
      <w:r>
        <w:rPr>
          <w:rFonts w:ascii="Arial" w:hAnsi="Arial"/>
          <w:i/>
          <w:iCs/>
          <w:sz w:val="20"/>
        </w:rPr>
        <w:t xml:space="preserve">Report on Cyclonic Disturbances over North Indian Ocean during 2019</w:t>
      </w:r>
      <w:r>
        <w:rPr>
          <w:rFonts w:ascii="Arial" w:hAnsi="Arial"/>
          <w:sz w:val="20"/>
        </w:rPr>
        <w:t xml:space="preserve"> </w:t>
      </w:r>
      <w:r>
        <w:rPr>
          <w:rFonts w:ascii="Arial" w:hAnsi="Arial"/>
          <w:sz w:val="20"/>
        </w:rPr>
        <w:t xml:space="preserve">(and corresponding 2020, 2021 reports). India Meteorological Department, New Delhi.</w:t>
      </w:r>
      <w:r>
        <w:rPr>
          <w:rFonts w:ascii="Arial" w:hAnsi="Arial"/>
          <w:sz w:val="20"/>
        </w:rPr>
        <w:t xml:space="preserve"> </w:t>
      </w:r>
      <w:hyperlink r:id="rId29">
        <w:r>
          <w:rPr>
            <w:rStyle w:val="Hyperlink"/>
          </w:rPr>
          <w:t xml:space="preserve">rsmcnewdelhi.imd.gov.in</w:t>
        </w:r>
      </w:hyperlink>
    </w:p>
    <w:bookmarkEnd w:id="30"/>
    <w:bookmarkEnd w:id="31"/>
    <w:p>
      <w:pPr>
        <w:spacing w:lineRule="auto" w:line="480"/>
        <w:jc w:val="left"/>
      </w:pPr>
      <w:r>
        <w:rPr>
          <w:rFonts w:ascii="Arial" w:hAnsi="Arial"/>
          <w:sz w:val="20"/>
        </w:rPr>
        <w:br w:type="page"/>
      </w:r>
    </w:p>
    <w:p>
      <w:pPr>
        <w:keepNext/>
        <w:spacing w:before="240" w:after="120" w:lineRule="auto" w:line="480"/>
        <w:jc w:val="left"/>
      </w:pPr>
      <w:bookmarkStart w:id="73433" w:name="note_s3"/>
      <w:r>
        <w:rPr>
          <w:rFonts w:ascii="Arial" w:hAnsi="Arial"/>
          <w:b/>
          <w:color w:val="1F3A5F"/>
          <w:sz w:val="32"/>
        </w:rPr>
        <w:t>Note S3 — Sentinel-1 dual-polarisation backscatter signatures</w:t>
      </w:r>
      <w:bookmarkEnd w:id="73433"/>
    </w:p>
    <w:bookmarkStart w:id="31" w:name="X3d655c27041e8d6d2856959bf2a6f9e8861d5e2"/>
    <w:p>
      <w:pPr>
        <w:pStyle w:val="Heading1"/>
        <w:spacing w:lineRule="auto" w:line="360"/>
      </w:pPr>
      <w:r>
        <w:rPr>
          <w:rFonts w:ascii="Arial" w:hAnsi="Arial"/>
        </w:rPr>
        <w:t xml:space="preserve">Supplementary Note S3 — Sentinel-1 dual-polarisation backscatter signatures of the three inundation mechanisms</w:t>
      </w:r>
    </w:p>
    <w:p>
      <w:pPr>
        <w:pStyle w:val="FirstParagraph"/>
        <w:spacing w:lineRule="auto" w:line="480"/>
        <w:jc w:val="both"/>
      </w:pPr>
      <w:r>
        <w:rPr>
          <w:rFonts w:ascii="Arial" w:hAnsi="Arial"/>
          <w:b/>
          <w:bCs/>
          <w:sz w:val="20"/>
        </w:rPr>
        <w:t xml:space="preserve">Companion to:</w:t>
      </w:r>
      <w:r>
        <w:rPr>
          <w:rFonts w:ascii="Arial" w:hAnsi="Arial"/>
          <w:sz w:val="20"/>
        </w:rPr>
        <w:t xml:space="preserve"> </w:t>
      </w:r>
      <w:r>
        <w:rPr>
          <w:rFonts w:ascii="Arial" w:hAnsi="Arial"/>
          <w:sz w:val="20"/>
        </w:rPr>
        <w:t xml:space="preserve">Module 12 (</w:t>
      </w:r>
      <w:r>
        <w:rPr>
          <w:rStyle w:val="VerbatimChar"/>
          <w:rFonts w:ascii="Arial" w:hAnsi="Arial"/>
          <w:sz w:val="20"/>
        </w:rPr>
        <w:t xml:space="preserve">analysis/12_backscatter_signatures.py</w:t>
      </w:r>
      <w:r>
        <w:rPr>
          <w:rFonts w:ascii="Arial" w:hAnsi="Arial"/>
          <w:sz w:val="20"/>
        </w:rPr>
        <w:t xml:space="preserve">)</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analysis/results/backscatter_signatures.csv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manuscript/supplement/Table_S9_backscatter_features.docx</w:t>
      </w:r>
      <w:r>
        <w:rPr>
          <w:rFonts w:ascii="Arial" w:hAnsi="Arial"/>
          <w:sz w:val="20"/>
        </w:rPr>
        <w:t xml:space="preserve">;</w:t>
      </w:r>
      <w:r>
        <w:rPr>
          <w:rFonts w:ascii="Arial" w:hAnsi="Arial"/>
          <w:sz w:val="20"/>
        </w:rPr>
        <w:t xml:space="preserve"> </w:t>
      </w:r>
      <w:r>
        <w:rPr>
          <w:rStyle w:val="VerbatimChar"/>
          <w:rFonts w:ascii="Arial" w:hAnsi="Arial"/>
          <w:sz w:val="20"/>
        </w:rPr>
        <w:t xml:space="preserve">figures/figS2_backscatter_signatures.{pdf,png}</w:t>
      </w:r>
      <w:r>
        <w:rPr>
          <w:rFonts w:ascii="Arial" w:hAnsi="Arial"/>
          <w:sz w:val="20"/>
        </w:rPr>
        <w:t xml:space="preserve"> </w:t>
      </w:r>
      <w:r>
        <w:rPr>
          <w:rFonts w:ascii="Arial" w:hAnsi="Arial"/>
          <w:b/>
          <w:bCs/>
          <w:sz w:val="20"/>
        </w:rPr>
        <w:t xml:space="preserve">Pre-registered:</w:t>
      </w:r>
      <w:r>
        <w:rPr>
          <w:rFonts w:ascii="Arial" w:hAnsi="Arial"/>
          <w:sz w:val="20"/>
        </w:rPr>
        <w:t xml:space="preserve"> </w:t>
      </w:r>
      <w:r>
        <w:rPr>
          <w:rFonts w:ascii="Arial" w:hAnsi="Arial"/>
          <w:sz w:val="20"/>
        </w:rPr>
        <w:t xml:space="preserve">OSF c4mp8 (10.17605/OSF.IO/C4MP8), §2.3 (</w:t>
      </w:r>
      <w:r>
        <w:rPr>
          <w:rFonts w:ascii="Arial" w:hAnsi="Arial"/>
          <w:sz w:val="20"/>
        </w:rPr>
        <w:t xml:space="preserve">“</w:t>
      </w:r>
      <w:r>
        <w:rPr>
          <w:rFonts w:ascii="Arial" w:hAnsi="Arial"/>
          <w:sz w:val="20"/>
        </w:rPr>
        <w:t xml:space="preserve">saline-flood feature space</w:t>
      </w:r>
      <w:r>
        <w:rPr>
          <w:rFonts w:ascii="Arial" w:hAnsi="Arial"/>
          <w:sz w:val="20"/>
        </w:rPr>
        <w:t xml:space="preserve">”</w:t>
      </w:r>
      <w:r>
        <w:rPr>
          <w:rFonts w:ascii="Arial" w:hAnsi="Arial"/>
          <w:sz w:val="20"/>
        </w:rPr>
        <w:t xml:space="preserve">); §3.3 (</w:t>
      </w:r>
      <w:r>
        <w:rPr>
          <w:rFonts w:ascii="Arial" w:hAnsi="Arial"/>
          <w:sz w:val="20"/>
        </w:rPr>
        <w:t xml:space="preserve">“</w:t>
      </w:r>
      <w:r>
        <w:rPr>
          <w:rFonts w:ascii="Arial" w:hAnsi="Arial"/>
          <w:sz w:val="20"/>
        </w:rPr>
        <w:t xml:space="preserve">Module 02 random-forest classifier</w:t>
      </w:r>
      <w:r>
        <w:rPr>
          <w:rFonts w:ascii="Arial" w:hAnsi="Arial"/>
          <w:sz w:val="20"/>
        </w:rPr>
        <w:t xml:space="preserve">”</w:t>
      </w:r>
      <w:r>
        <w:rPr>
          <w:rFonts w:ascii="Arial" w:hAnsi="Arial"/>
          <w:sz w:val="20"/>
        </w:rPr>
        <w:t xml:space="preserve">)</w:t>
      </w:r>
    </w:p>
    <w:p>
      <w:pPr>
        <w:spacing w:line="240" w:lineRule="auto"/>
      </w:pPr>
      <w:r>
        <w:rPr>
          <w:rFonts w:ascii="Arial" w:hAnsi="Arial"/>
          <w:sz w:val="20"/>
        </w:rPr>
        <w:pict>
          <v:rect style="width:0;height:1.5pt" o:hralign="center" o:hrstd="t" o:hr="t"/>
        </w:pict>
      </w:r>
    </w:p>
    <w:bookmarkStart w:id="20" w:name="s3.1-why-this-note-exists"/>
    <w:p>
      <w:pPr>
        <w:pStyle w:val="Heading2"/>
        <w:spacing w:lineRule="auto" w:line="360"/>
      </w:pPr>
      <w:r>
        <w:rPr>
          <w:rFonts w:ascii="Arial" w:hAnsi="Arial"/>
        </w:rPr>
        <w:t xml:space="preserve">§S3.1 Why this note exists</w:t>
      </w:r>
    </w:p>
    <w:p>
      <w:pPr>
        <w:pStyle w:val="FirstParagraph"/>
        <w:spacing w:lineRule="auto" w:line="480"/>
        <w:jc w:val="left"/>
      </w:pPr>
      <w:r>
        <w:rPr>
          <w:rFonts w:ascii="Arial" w:hAnsi="Arial"/>
          <w:sz w:val="20"/>
        </w:rPr>
        <w:t xml:space="preserve">The Module 02 random-forest classifier separates three physically distinct surface-water states on Odisha rice land:</w:t>
      </w:r>
    </w:p>
    <w:p>
      <w:pPr>
        <w:pStyle w:val="Compact"/>
        <w:numPr>
          <w:ilvl w:val="0"/>
          <w:numId w:val="1001"/>
        </w:numPr>
        <w:spacing w:lineRule="auto" w:line="480"/>
        <w:jc w:val="both"/>
      </w:pPr>
      <w:r>
        <w:rPr>
          <w:rFonts w:ascii="Arial" w:hAnsi="Arial"/>
          <w:b/>
          <w:bCs/>
          <w:sz w:val="20"/>
        </w:rPr>
        <w:t xml:space="preserve">Transplanting flood</w:t>
      </w:r>
      <w:r>
        <w:rPr>
          <w:rFonts w:ascii="Arial" w:hAnsi="Arial"/>
          <w:sz w:val="20"/>
        </w:rPr>
        <w:t xml:space="preserve"> </w:t>
      </w:r>
      <w:r>
        <w:rPr>
          <w:rFonts w:ascii="Arial" w:hAnsi="Arial"/>
          <w:sz w:val="20"/>
        </w:rPr>
        <w:t xml:space="preserve">— agronomic, freshwater, depth ≈ 5–15 cm, dwell time 4–8 weeks, occurring at monsoon onset (DOY 180–200);</w:t>
      </w:r>
    </w:p>
    <w:p>
      <w:pPr>
        <w:pStyle w:val="Compact"/>
        <w:numPr>
          <w:ilvl w:val="0"/>
          <w:numId w:val="1001"/>
        </w:numPr>
        <w:spacing w:lineRule="auto" w:line="480"/>
        <w:jc w:val="both"/>
      </w:pPr>
      <w:r>
        <w:rPr>
          <w:rFonts w:ascii="Arial" w:hAnsi="Arial"/>
          <w:b/>
          <w:bCs/>
          <w:sz w:val="20"/>
        </w:rPr>
        <w:t xml:space="preserve">Saline storm-surge</w:t>
      </w:r>
      <w:r>
        <w:rPr>
          <w:rFonts w:ascii="Arial" w:hAnsi="Arial"/>
          <w:sz w:val="20"/>
        </w:rPr>
        <w:t xml:space="preserve"> </w:t>
      </w:r>
      <w:r>
        <w:rPr>
          <w:rFonts w:ascii="Arial" w:hAnsi="Arial"/>
          <w:sz w:val="20"/>
        </w:rPr>
        <w:t xml:space="preserve">— cyclonic, brackish, depth 0.5–3 m, impulsive (sub-daily onset), dwell time 1–3 weeks, occurring with landfall;</w:t>
      </w:r>
    </w:p>
    <w:p>
      <w:pPr>
        <w:pStyle w:val="Compact"/>
        <w:numPr>
          <w:ilvl w:val="0"/>
          <w:numId w:val="1001"/>
        </w:numPr>
        <w:spacing w:lineRule="auto" w:line="480"/>
        <w:jc w:val="both"/>
      </w:pPr>
      <w:r>
        <w:rPr>
          <w:rFonts w:ascii="Arial" w:hAnsi="Arial"/>
          <w:b/>
          <w:bCs/>
          <w:sz w:val="20"/>
        </w:rPr>
        <w:t xml:space="preserve">Freshwater rainfall ponding (Bulbul-class)</w:t>
      </w:r>
      <w:r>
        <w:rPr>
          <w:rFonts w:ascii="Arial" w:hAnsi="Arial"/>
          <w:sz w:val="20"/>
        </w:rPr>
        <w:t xml:space="preserve"> </w:t>
      </w:r>
      <w:r>
        <w:rPr>
          <w:rFonts w:ascii="Arial" w:hAnsi="Arial"/>
          <w:sz w:val="20"/>
        </w:rPr>
        <w:t xml:space="preserve">— meteorological, freshwater, depth ≈ 0.05–0.30 m, episodic, dwell time 3–14 days.</w:t>
      </w:r>
    </w:p>
    <w:p>
      <w:pPr>
        <w:pStyle w:val="FirstParagraph"/>
        <w:spacing w:lineRule="auto" w:line="480"/>
        <w:jc w:val="both"/>
      </w:pPr>
      <w:r>
        <w:rPr>
          <w:rFonts w:ascii="Arial" w:hAnsi="Arial"/>
          <w:sz w:val="20"/>
        </w:rPr>
        <w:t xml:space="preserve">If these three states cannot be told apart on the satellite record, the entire identification strategy collapses — every cyclonic-loss estimate becomes vulnerable to confounding by routine agronomic flooding. Note S3 documents the dual-polarisation scattering physics that makes the discriminator work, lists the canonical signatures used to calibrate the Module 02 feature library, and states the falsifiability conditions under which the classifier should be rejected.</w:t>
      </w:r>
    </w:p>
    <w:p>
      <w:pPr>
        <w:pStyle w:val="BodyText"/>
        <w:spacing w:lineRule="auto" w:line="480"/>
        <w:jc w:val="both"/>
      </w:pPr>
      <w:r>
        <w:rPr>
          <w:rFonts w:ascii="Arial" w:hAnsi="Arial"/>
          <w:sz w:val="20"/>
        </w:rPr>
        <w:t xml:space="preserve">The signatures themselves (Table S9; Figure S2) are</w:t>
      </w:r>
      <w:r>
        <w:rPr>
          <w:rFonts w:ascii="Arial" w:hAnsi="Arial"/>
          <w:sz w:val="20"/>
        </w:rPr>
        <w:t xml:space="preserve"> </w:t>
      </w:r>
      <w:r>
        <w:rPr>
          <w:rFonts w:ascii="Arial" w:hAnsi="Arial"/>
          <w:b/>
          <w:bCs/>
          <w:sz w:val="20"/>
        </w:rPr>
        <w:t xml:space="preserve">canonical idealisations</w:t>
      </w:r>
      <w:r>
        <w:rPr>
          <w:rFonts w:ascii="Arial" w:hAnsi="Arial"/>
          <w:sz w:val="20"/>
        </w:rPr>
        <w:t xml:space="preserve"> </w:t>
      </w:r>
      <w:r>
        <w:rPr>
          <w:rFonts w:ascii="Arial" w:hAnsi="Arial"/>
          <w:sz w:val="20"/>
        </w:rPr>
        <w:t xml:space="preserve">calibrated against four independent radar studies (Hoshikawa et al. 2023; Wali et al. 2020; Filipponi 2019; Konkathi et al. 2024) and the Lee &amp; Pottier (2009) standard reference on dual-pol decomposition. They are the</w:t>
      </w:r>
      <w:r>
        <w:rPr>
          <w:rFonts w:ascii="Arial" w:hAnsi="Arial"/>
          <w:sz w:val="20"/>
        </w:rPr>
        <w:t xml:space="preserve"> </w:t>
      </w:r>
      <w:r>
        <w:rPr>
          <w:rFonts w:ascii="Arial" w:hAnsi="Arial"/>
          <w:i/>
          <w:iCs/>
          <w:sz w:val="20"/>
        </w:rPr>
        <w:t xml:space="preserve">targets</w:t>
      </w:r>
      <w:r>
        <w:rPr>
          <w:rFonts w:ascii="Arial" w:hAnsi="Arial"/>
          <w:sz w:val="20"/>
        </w:rPr>
        <w:t xml:space="preserve"> </w:t>
      </w:r>
      <w:r>
        <w:rPr>
          <w:rFonts w:ascii="Arial" w:hAnsi="Arial"/>
          <w:sz w:val="20"/>
        </w:rPr>
        <w:t xml:space="preserve">the classifier learns to recognise on the empirical Sentinel-1 IW GRD record over the Bay of Bengal coast (2017–2023).</w:t>
      </w:r>
    </w:p>
    <w:p>
      <w:pPr>
        <w:spacing w:line="240" w:lineRule="auto"/>
      </w:pPr>
      <w:r>
        <w:rPr>
          <w:rFonts w:ascii="Arial" w:hAnsi="Arial"/>
          <w:sz w:val="20"/>
        </w:rPr>
        <w:pict>
          <v:rect style="width:0;height:1.5pt" o:hralign="center" o:hrstd="t" o:hr="t"/>
        </w:pict>
      </w:r>
    </w:p>
    <w:bookmarkEnd w:id="20"/>
    <w:bookmarkStart w:id="21" w:name="X9b98659bccc45f2ac6c352674c4ceec20d58486"/>
    <w:p>
      <w:pPr>
        <w:pStyle w:val="Heading2"/>
        <w:spacing w:lineRule="auto" w:line="360"/>
      </w:pPr>
      <w:r>
        <w:rPr>
          <w:rFonts w:ascii="Arial" w:hAnsi="Arial"/>
        </w:rPr>
        <w:t xml:space="preserve">§S3.2 Dual-polarisation scattering physics</w:t>
      </w:r>
    </w:p>
    <w:p>
      <w:pPr>
        <w:pStyle w:val="FirstParagraph"/>
        <w:spacing w:lineRule="auto" w:line="480"/>
        <w:jc w:val="both"/>
      </w:pPr>
      <w:r>
        <w:rPr>
          <w:rFonts w:ascii="Arial" w:hAnsi="Arial"/>
          <w:sz w:val="20"/>
        </w:rPr>
        <w:t xml:space="preserve">Sentinel-1 IW transmits in vertical polarisation and receives in both vertical (VV; co-pol) and horizontal (VH; cross-pol). The cross-ratio CR = VH − VV (dB) is a depolarisation index. The three mechanisms produce different combinations of three scattering modes:</w:t>
      </w:r>
    </w:p>
    <w:p>
      <w:pPr>
        <w:pStyle w:val="Compact"/>
        <w:numPr>
          <w:ilvl w:val="0"/>
          <w:numId w:val="1002"/>
        </w:numPr>
        <w:spacing w:lineRule="auto" w:line="480"/>
        <w:jc w:val="both"/>
      </w:pPr>
      <w:r>
        <w:rPr>
          <w:rFonts w:ascii="Arial" w:hAnsi="Arial"/>
          <w:b/>
          <w:bCs/>
          <w:sz w:val="20"/>
        </w:rPr>
        <w:t xml:space="preserve">Volume scattering</w:t>
      </w:r>
      <w:r>
        <w:rPr>
          <w:rFonts w:ascii="Arial" w:hAnsi="Arial"/>
          <w:sz w:val="20"/>
        </w:rPr>
        <w:t xml:space="preserve"> </w:t>
      </w:r>
      <w:r>
        <w:rPr>
          <w:rFonts w:ascii="Arial" w:hAnsi="Arial"/>
          <w:sz w:val="20"/>
        </w:rPr>
        <w:t xml:space="preserve">dominates over upright vegetation. Multiple bounces inside the canopy randomise polarisation, raising VH (cross-pol returns become strong) and only weakly reducing VV. CR is high (≈ −5 dB).</w:t>
      </w:r>
    </w:p>
    <w:p>
      <w:pPr>
        <w:pStyle w:val="Compact"/>
        <w:numPr>
          <w:ilvl w:val="0"/>
          <w:numId w:val="1002"/>
        </w:numPr>
        <w:spacing w:lineRule="auto" w:line="480"/>
        <w:jc w:val="both"/>
      </w:pPr>
      <w:r>
        <w:rPr>
          <w:rFonts w:ascii="Arial" w:hAnsi="Arial"/>
          <w:b/>
          <w:bCs/>
          <w:sz w:val="20"/>
        </w:rPr>
        <w:t xml:space="preserve">Surface (Bragg) scattering</w:t>
      </w:r>
      <w:r>
        <w:rPr>
          <w:rFonts w:ascii="Arial" w:hAnsi="Arial"/>
          <w:sz w:val="20"/>
        </w:rPr>
        <w:t xml:space="preserve"> </w:t>
      </w:r>
      <w:r>
        <w:rPr>
          <w:rFonts w:ascii="Arial" w:hAnsi="Arial"/>
          <w:sz w:val="20"/>
        </w:rPr>
        <w:t xml:space="preserve">dominates over smooth open water. The flat air–water interface is a near-mirror at C-band incidence (≈ 39°): VV reflects forward away from the satellite (specular loss → low VV), VH return is very weak (cross-pol ≈ noise floor), CR collapses toward −15 dB.</w:t>
      </w:r>
    </w:p>
    <w:p>
      <w:pPr>
        <w:pStyle w:val="Compact"/>
        <w:numPr>
          <w:ilvl w:val="0"/>
          <w:numId w:val="1002"/>
        </w:numPr>
        <w:spacing w:lineRule="auto" w:line="480"/>
        <w:jc w:val="both"/>
      </w:pPr>
      <w:r>
        <w:rPr>
          <w:rFonts w:ascii="Arial" w:hAnsi="Arial"/>
          <w:b/>
          <w:bCs/>
          <w:sz w:val="20"/>
        </w:rPr>
        <w:t xml:space="preserve">Double-bounce scattering</w:t>
      </w:r>
      <w:r>
        <w:rPr>
          <w:rFonts w:ascii="Arial" w:hAnsi="Arial"/>
          <w:sz w:val="20"/>
        </w:rPr>
        <w:t xml:space="preserve"> </w:t>
      </w:r>
      <w:r>
        <w:rPr>
          <w:rFonts w:ascii="Arial" w:hAnsi="Arial"/>
          <w:sz w:val="20"/>
        </w:rPr>
        <w:t xml:space="preserve">dominates where vertical structures (stems, walls, mangroves) emerge from a flat water surface. Sequential bounce off the water and then the vertical scatterer returns the signal in-phase: VV is</w:t>
      </w:r>
      <w:r>
        <w:rPr>
          <w:rFonts w:ascii="Arial" w:hAnsi="Arial"/>
          <w:sz w:val="20"/>
        </w:rPr>
        <w:t xml:space="preserve"> </w:t>
      </w:r>
      <w:r>
        <w:rPr>
          <w:rFonts w:ascii="Arial" w:hAnsi="Arial"/>
          <w:i/>
          <w:iCs/>
          <w:sz w:val="20"/>
        </w:rPr>
        <w:t xml:space="preserve">raised</w:t>
      </w:r>
      <w:r>
        <w:rPr>
          <w:rFonts w:ascii="Arial" w:hAnsi="Arial"/>
          <w:sz w:val="20"/>
        </w:rPr>
        <w:t xml:space="preserve">, VH is moderately raised, CR sits near −7 dB.</w:t>
      </w:r>
    </w:p>
    <w:p>
      <w:pPr>
        <w:pStyle w:val="FirstParagraph"/>
        <w:spacing w:lineRule="auto" w:line="480"/>
        <w:jc w:val="both"/>
      </w:pPr>
      <w:r>
        <w:rPr>
          <w:rFonts w:ascii="Arial" w:hAnsi="Arial"/>
          <w:sz w:val="20"/>
        </w:rPr>
        <w:t xml:space="preserve">Inundation removes volume scattering (the upright canopy is partly or fully submerged) and substitutes either surface scattering (smooth ponded water) or double-bounce (emergent stubble in shallow water). The depth and duration of the flood, together with the wind-driven roughness of the water surface during overpass, determine which substitution wins. Salinity</w:t>
      </w:r>
      <w:r>
        <w:rPr>
          <w:rFonts w:ascii="Arial" w:hAnsi="Arial"/>
          <w:sz w:val="20"/>
        </w:rPr>
        <w:t xml:space="preserve"> </w:t>
      </w:r>
      <w:r>
        <w:rPr>
          <w:rFonts w:ascii="Arial" w:hAnsi="Arial"/>
          <w:i/>
          <w:iCs/>
          <w:sz w:val="20"/>
        </w:rPr>
        <w:t xml:space="preserve">per se</w:t>
      </w:r>
      <w:r>
        <w:rPr>
          <w:rFonts w:ascii="Arial" w:hAnsi="Arial"/>
          <w:sz w:val="20"/>
        </w:rPr>
        <w:t xml:space="preserve"> </w:t>
      </w:r>
      <w:r>
        <w:rPr>
          <w:rFonts w:ascii="Arial" w:hAnsi="Arial"/>
          <w:sz w:val="20"/>
        </w:rPr>
        <w:t xml:space="preserve">is not directly observable at C-band; what salinity affects — through cell turgor loss, leaf tilt, panicle collapse and post-event canopy senescence — is the residual canopy structure on the</w:t>
      </w:r>
      <w:r>
        <w:rPr>
          <w:rFonts w:ascii="Arial" w:hAnsi="Arial"/>
          <w:sz w:val="20"/>
        </w:rPr>
        <w:t xml:space="preserve"> </w:t>
      </w:r>
      <w:r>
        <w:rPr>
          <w:rFonts w:ascii="Arial" w:hAnsi="Arial"/>
          <w:i/>
          <w:iCs/>
          <w:sz w:val="20"/>
        </w:rPr>
        <w:t xml:space="preserve">recovery</w:t>
      </w:r>
      <w:r>
        <w:rPr>
          <w:rFonts w:ascii="Arial" w:hAnsi="Arial"/>
          <w:sz w:val="20"/>
        </w:rPr>
        <w:t xml:space="preserve"> </w:t>
      </w:r>
      <w:r>
        <w:rPr>
          <w:rFonts w:ascii="Arial" w:hAnsi="Arial"/>
          <w:sz w:val="20"/>
        </w:rPr>
        <w:t xml:space="preserve">limb of the signal (§S3.4).</w:t>
      </w:r>
    </w:p>
    <w:p>
      <w:pPr>
        <w:spacing w:line="240" w:lineRule="auto"/>
      </w:pPr>
      <w:r>
        <w:rPr>
          <w:rFonts w:ascii="Arial" w:hAnsi="Arial"/>
          <w:sz w:val="20"/>
        </w:rPr>
        <w:pict>
          <v:rect style="width:0;height:1.5pt" o:hralign="center" o:hrstd="t" o:hr="t"/>
        </w:pict>
      </w:r>
    </w:p>
    <w:bookmarkEnd w:id="21"/>
    <w:bookmarkStart w:id="25" w:name="s3.3-mechanism-by-mechanism-signature"/>
    <w:p>
      <w:pPr>
        <w:pStyle w:val="Heading2"/>
        <w:spacing w:lineRule="auto" w:line="360"/>
      </w:pPr>
      <w:r>
        <w:rPr>
          <w:rFonts w:ascii="Arial" w:hAnsi="Arial"/>
        </w:rPr>
        <w:t xml:space="preserve">§S3.3 Mechanism-by-mechanism signature</w:t>
      </w:r>
    </w:p>
    <w:p>
      <w:pPr>
        <w:pStyle w:val="FirstParagraph"/>
        <w:spacing w:lineRule="auto" w:line="480"/>
        <w:jc w:val="left"/>
      </w:pPr>
      <w:r>
        <w:rPr>
          <w:rFonts w:ascii="Arial" w:hAnsi="Arial"/>
          <w:sz w:val="20"/>
        </w:rPr>
        <w:t xml:space="preserve">Canonical values (Table S9; Figure S2):</w:t>
      </w:r>
    </w:p>
    <w:bookmarkStart w:id="22" w:name="a-transplanting-flood-doy-188-δvh-6.5-db"/>
    <w:p>
      <w:pPr>
        <w:pStyle w:val="Heading3"/>
        <w:spacing w:lineRule="auto" w:line="360"/>
      </w:pPr>
      <w:r>
        <w:rPr>
          <w:rFonts w:ascii="Arial" w:hAnsi="Arial"/>
        </w:rPr>
        <w:t xml:space="preserve">(A) Transplanting flood — DOY 188, ΔVH = −6.5 dB</w:t>
      </w:r>
    </w:p>
    <w:p>
      <w:pPr>
        <w:pStyle w:val="FirstParagraph"/>
        <w:spacing w:lineRule="auto" w:line="480"/>
        <w:jc w:val="both"/>
      </w:pPr>
      <w:r>
        <w:rPr>
          <w:rFonts w:ascii="Arial" w:hAnsi="Arial"/>
          <w:sz w:val="20"/>
        </w:rPr>
        <w:t xml:space="preserve">Onset is gradual (≈ 12 days from puddling to full transplant coverage). Flood depth is bunded and shallow (5–15 cm); the surface is rough enough under monsoon wind for partial Bragg scattering rather than full specular loss. VH drops moderately (volume scattering of the parent dry-soil/stubble surface is replaced by mixed surface/double-bounce of submerged stubble plus emergent young transplants). VV shows the smaller drop characteristic of co-pol over rough water with emergent structure. Recovery is slow (35 d for VH) because the canopy then re-grows over 8–10 weeks. CR drops only weakly (−2 dB) because both VH and VV fall together —</w:t>
      </w:r>
      <w:r>
        <w:rPr>
          <w:rFonts w:ascii="Arial" w:hAnsi="Arial"/>
          <w:sz w:val="20"/>
        </w:rPr>
        <w:t xml:space="preserve"> </w:t>
      </w:r>
      <w:r>
        <w:rPr>
          <w:rFonts w:ascii="Arial" w:hAnsi="Arial"/>
          <w:i/>
          <w:iCs/>
          <w:sz w:val="20"/>
        </w:rPr>
        <w:t xml:space="preserve">no extreme depolarisation collapse</w:t>
      </w:r>
      <w:r>
        <w:rPr>
          <w:rFonts w:ascii="Arial" w:hAnsi="Arial"/>
          <w:sz w:val="20"/>
        </w:rPr>
        <w:t xml:space="preserve">. This is the diagnostic discriminator versus mechanism (B).</w:t>
      </w:r>
    </w:p>
    <w:bookmarkEnd w:id="22"/>
    <w:bookmarkStart w:id="23" w:name="b-saline-storm-surge-doy-123-δvh-10.5-db"/>
    <w:p>
      <w:pPr>
        <w:pStyle w:val="Heading3"/>
        <w:spacing w:lineRule="auto" w:line="360"/>
      </w:pPr>
      <w:r>
        <w:rPr>
          <w:rFonts w:ascii="Arial" w:hAnsi="Arial"/>
        </w:rPr>
        <w:t xml:space="preserve">(B) Saline storm-surge — DOY 123, ΔVH = −10.5 dB</w:t>
      </w:r>
    </w:p>
    <w:p>
      <w:pPr>
        <w:pStyle w:val="FirstParagraph"/>
        <w:spacing w:lineRule="auto" w:line="480"/>
        <w:jc w:val="both"/>
      </w:pPr>
      <w:r>
        <w:rPr>
          <w:rFonts w:ascii="Arial" w:hAnsi="Arial"/>
          <w:sz w:val="20"/>
        </w:rPr>
        <w:t xml:space="preserve">Onset is sub-daily (≤ 24 h from landfall to full inundation; in our model we use a 1-day rate constant). Flood depth is large (≥ 0.5 m, locally 2–3 m); the surface is smooth-to-moderately rough during the post-landfall calm. VH collapses by ≈ 10 dB to the noise floor, VV by ≈ 6.5 dB toward specular minimum. CR drops 4 dB — the largest depolarisation collapse of the three mechanisms. Recovery is fast (21 d for VH) because the surge water drains within 1–3 weeks, but the canopy</w:t>
      </w:r>
      <w:r>
        <w:rPr>
          <w:rFonts w:ascii="Arial" w:hAnsi="Arial"/>
          <w:sz w:val="20"/>
        </w:rPr>
        <w:t xml:space="preserve"> </w:t>
      </w:r>
      <w:r>
        <w:rPr>
          <w:rFonts w:ascii="Arial" w:hAnsi="Arial"/>
          <w:i/>
          <w:iCs/>
          <w:sz w:val="20"/>
        </w:rPr>
        <w:t xml:space="preserve">does not return</w:t>
      </w:r>
      <w:r>
        <w:rPr>
          <w:rFonts w:ascii="Arial" w:hAnsi="Arial"/>
          <w:sz w:val="20"/>
        </w:rPr>
        <w:t xml:space="preserve"> </w:t>
      </w:r>
      <w:r>
        <w:rPr>
          <w:rFonts w:ascii="Arial" w:hAnsi="Arial"/>
          <w:sz w:val="20"/>
        </w:rPr>
        <w:t xml:space="preserve">to its pre-event reflectivity — salt damage produces a permanent backscatter deficit on the post-recovery baseline that we exploit downstream (Module 03 phenology, Module 05 DiD).</w:t>
      </w:r>
    </w:p>
    <w:bookmarkEnd w:id="23"/>
    <w:bookmarkStart w:id="24" w:name="Xa22cf4b5134b9f8b30596526b65ed1fb2cb399a"/>
    <w:p>
      <w:pPr>
        <w:pStyle w:val="Heading3"/>
        <w:spacing w:lineRule="auto" w:line="360"/>
      </w:pPr>
      <w:r>
        <w:rPr>
          <w:rFonts w:ascii="Arial" w:hAnsi="Arial"/>
        </w:rPr>
        <w:t xml:space="preserve">(C) Freshwater rainfall ponding (Bulbul-class) — DOY 313, ΔVH = −3.0 dB</w:t>
      </w:r>
    </w:p>
    <w:p>
      <w:pPr>
        <w:pStyle w:val="FirstParagraph"/>
        <w:spacing w:lineRule="auto" w:line="480"/>
        <w:jc w:val="both"/>
      </w:pPr>
      <w:r>
        <w:rPr>
          <w:rFonts w:ascii="Arial" w:hAnsi="Arial"/>
          <w:sz w:val="20"/>
        </w:rPr>
        <w:t xml:space="preserve">Onset is short but the depth is small (5–30 cm of standing water in low-lying paddies for 3–14 d). The mature monsoon-rice canopy at DOY 310–320 is tall (≈ 80–100 cm) and dense; it is largely</w:t>
      </w:r>
      <w:r>
        <w:rPr>
          <w:rFonts w:ascii="Arial" w:hAnsi="Arial"/>
          <w:sz w:val="20"/>
        </w:rPr>
        <w:t xml:space="preserve"> </w:t>
      </w:r>
      <w:r>
        <w:rPr>
          <w:rFonts w:ascii="Arial" w:hAnsi="Arial"/>
          <w:i/>
          <w:iCs/>
          <w:sz w:val="20"/>
        </w:rPr>
        <w:t xml:space="preserve">unaffected</w:t>
      </w:r>
      <w:r>
        <w:rPr>
          <w:rFonts w:ascii="Arial" w:hAnsi="Arial"/>
          <w:sz w:val="20"/>
        </w:rPr>
        <w:t xml:space="preserve"> </w:t>
      </w:r>
      <w:r>
        <w:rPr>
          <w:rFonts w:ascii="Arial" w:hAnsi="Arial"/>
          <w:sz w:val="20"/>
        </w:rPr>
        <w:t xml:space="preserve">by the shallow ponded water beneath it because volume scattering from the canopy still dominates the C-band return. VH drops only ≈ 3 dB; VV drops ≈ 1.5 dB; CR drops ≈ 1.5 dB. Recovery is rapid (8–10 d). This mechanism is the closest to a null effect on the radar — and (consistent with this) Note S1 and Table S3 show that Bulbul produced near-zero canopy/yield damage in the 2019 ground record. Mechanism (C) is the</w:t>
      </w:r>
      <w:r>
        <w:rPr>
          <w:rFonts w:ascii="Arial" w:hAnsi="Arial"/>
          <w:sz w:val="20"/>
        </w:rPr>
        <w:t xml:space="preserve"> </w:t>
      </w:r>
      <w:r>
        <w:rPr>
          <w:rFonts w:ascii="Arial" w:hAnsi="Arial"/>
          <w:i/>
          <w:iCs/>
          <w:sz w:val="20"/>
        </w:rPr>
        <w:t xml:space="preserve">boundary case</w:t>
      </w:r>
      <w:r>
        <w:rPr>
          <w:rFonts w:ascii="Arial" w:hAnsi="Arial"/>
          <w:sz w:val="20"/>
        </w:rPr>
        <w:t xml:space="preserve"> </w:t>
      </w:r>
      <w:r>
        <w:rPr>
          <w:rFonts w:ascii="Arial" w:hAnsi="Arial"/>
          <w:sz w:val="20"/>
        </w:rPr>
        <w:t xml:space="preserve">the classifier must not confuse with either (A) or (B).</w:t>
      </w:r>
    </w:p>
    <w:p>
      <w:pPr>
        <w:spacing w:line="240" w:lineRule="auto"/>
      </w:pPr>
      <w:r>
        <w:rPr>
          <w:rFonts w:ascii="Arial" w:hAnsi="Arial"/>
          <w:sz w:val="20"/>
        </w:rPr>
        <w:pict>
          <v:rect style="width:0;height:1.5pt" o:hralign="center" o:hrstd="t" o:hr="t"/>
        </w:pict>
      </w:r>
    </w:p>
    <w:bookmarkEnd w:id="24"/>
    <w:bookmarkEnd w:id="25"/>
    <w:bookmarkStart w:id="26" w:name="X5e74269fb2c79a3590f5c9962b5ac55386f8e41"/>
    <w:p>
      <w:pPr>
        <w:pStyle w:val="Heading2"/>
        <w:spacing w:lineRule="auto" w:line="360"/>
      </w:pPr>
      <w:r>
        <w:rPr>
          <w:rFonts w:ascii="Arial" w:hAnsi="Arial"/>
        </w:rPr>
        <w:t xml:space="preserve">§S3.4 Why salinity-per-se is not the discriminator — depth × roughness × dwell time dominates</w:t>
      </w:r>
    </w:p>
    <w:p>
      <w:pPr>
        <w:pStyle w:val="FirstParagraph"/>
        <w:spacing w:lineRule="auto" w:line="480"/>
        <w:jc w:val="both"/>
      </w:pPr>
      <w:r>
        <w:rPr>
          <w:rFonts w:ascii="Arial" w:hAnsi="Arial"/>
          <w:sz w:val="20"/>
        </w:rPr>
        <w:t xml:space="preserve">A common misreading of the saline-vs-freshwater problem is to assume that C-band radar</w:t>
      </w:r>
      <w:r>
        <w:rPr>
          <w:rFonts w:ascii="Arial" w:hAnsi="Arial"/>
          <w:sz w:val="20"/>
        </w:rPr>
        <w:t xml:space="preserve"> </w:t>
      </w:r>
      <w:r>
        <w:rPr>
          <w:rFonts w:ascii="Arial" w:hAnsi="Arial"/>
          <w:sz w:val="20"/>
        </w:rPr>
        <w:t xml:space="preserve">“</w:t>
      </w:r>
      <w:r>
        <w:rPr>
          <w:rFonts w:ascii="Arial" w:hAnsi="Arial"/>
          <w:sz w:val="20"/>
        </w:rPr>
        <w:t xml:space="preserve">sees</w:t>
      </w:r>
      <w:r>
        <w:rPr>
          <w:rFonts w:ascii="Arial" w:hAnsi="Arial"/>
          <w:sz w:val="20"/>
        </w:rPr>
        <w:t xml:space="preserve">”</w:t>
      </w:r>
      <w:r>
        <w:rPr>
          <w:rFonts w:ascii="Arial" w:hAnsi="Arial"/>
          <w:sz w:val="20"/>
        </w:rPr>
        <w:t xml:space="preserve"> </w:t>
      </w:r>
      <w:r>
        <w:rPr>
          <w:rFonts w:ascii="Arial" w:hAnsi="Arial"/>
          <w:sz w:val="20"/>
        </w:rPr>
        <w:t xml:space="preserve">salt directly. It does not. C-band penetration into liquid water at salinity 5–30 PSU is on the order of 1 cm, indistinguishable from the freshwater penetration depth. What the radar resolves are the</w:t>
      </w:r>
      <w:r>
        <w:rPr>
          <w:rFonts w:ascii="Arial" w:hAnsi="Arial"/>
          <w:sz w:val="20"/>
        </w:rPr>
        <w:t xml:space="preserve"> </w:t>
      </w:r>
      <w:r>
        <w:rPr>
          <w:rFonts w:ascii="Arial" w:hAnsi="Arial"/>
          <w:i/>
          <w:iCs/>
          <w:sz w:val="20"/>
        </w:rPr>
        <w:t xml:space="preserve">consequences</w:t>
      </w:r>
      <w:r>
        <w:rPr>
          <w:rFonts w:ascii="Arial" w:hAnsi="Arial"/>
          <w:sz w:val="20"/>
        </w:rPr>
        <w:t xml:space="preserve"> </w:t>
      </w:r>
      <w:r>
        <w:rPr>
          <w:rFonts w:ascii="Arial" w:hAnsi="Arial"/>
          <w:sz w:val="20"/>
        </w:rPr>
        <w:t xml:space="preserve">of the flood event:</w:t>
      </w:r>
    </w:p>
    <w:p>
      <w:pPr>
        <w:pStyle w:val="Compact"/>
        <w:numPr>
          <w:ilvl w:val="0"/>
          <w:numId w:val="1003"/>
        </w:numPr>
        <w:spacing w:lineRule="auto" w:line="480"/>
        <w:jc w:val="both"/>
      </w:pPr>
      <w:r>
        <w:rPr>
          <w:rFonts w:ascii="Arial" w:hAnsi="Arial"/>
          <w:b/>
          <w:bCs/>
          <w:sz w:val="20"/>
        </w:rPr>
        <w:t xml:space="preserve">Depth.</w:t>
      </w:r>
      <w:r>
        <w:rPr>
          <w:rFonts w:ascii="Arial" w:hAnsi="Arial"/>
          <w:sz w:val="20"/>
        </w:rPr>
        <w:t xml:space="preserve"> </w:t>
      </w:r>
      <w:r>
        <w:rPr>
          <w:rFonts w:ascii="Arial" w:hAnsi="Arial"/>
          <w:sz w:val="20"/>
        </w:rPr>
        <w:t xml:space="preserve">A 1–3 m surge produces a smooth, bunded sheet across the entire field; a 5–30 cm rain pond exists only in the lowest cells and is partially shaded by canopy stems.</w:t>
      </w:r>
    </w:p>
    <w:p>
      <w:pPr>
        <w:pStyle w:val="Compact"/>
        <w:numPr>
          <w:ilvl w:val="0"/>
          <w:numId w:val="1003"/>
        </w:numPr>
        <w:spacing w:lineRule="auto" w:line="480"/>
        <w:jc w:val="both"/>
      </w:pPr>
      <w:r>
        <w:rPr>
          <w:rFonts w:ascii="Arial" w:hAnsi="Arial"/>
          <w:b/>
          <w:bCs/>
          <w:sz w:val="20"/>
        </w:rPr>
        <w:t xml:space="preserve">Roughness.</w:t>
      </w:r>
      <w:r>
        <w:rPr>
          <w:rFonts w:ascii="Arial" w:hAnsi="Arial"/>
          <w:sz w:val="20"/>
        </w:rPr>
        <w:t xml:space="preserve"> </w:t>
      </w:r>
      <w:r>
        <w:rPr>
          <w:rFonts w:ascii="Arial" w:hAnsi="Arial"/>
          <w:sz w:val="20"/>
        </w:rPr>
        <w:t xml:space="preserve">Surge water under cyclone conditions is paradoxically</w:t>
      </w:r>
      <w:r>
        <w:rPr>
          <w:rFonts w:ascii="Arial" w:hAnsi="Arial"/>
          <w:sz w:val="20"/>
        </w:rPr>
        <w:t xml:space="preserve"> </w:t>
      </w:r>
      <w:r>
        <w:rPr>
          <w:rFonts w:ascii="Arial" w:hAnsi="Arial"/>
          <w:i/>
          <w:iCs/>
          <w:sz w:val="20"/>
        </w:rPr>
        <w:t xml:space="preserve">smoother</w:t>
      </w:r>
      <w:r>
        <w:rPr>
          <w:rFonts w:ascii="Arial" w:hAnsi="Arial"/>
          <w:sz w:val="20"/>
        </w:rPr>
        <w:t xml:space="preserve"> </w:t>
      </w:r>
      <w:r>
        <w:rPr>
          <w:rFonts w:ascii="Arial" w:hAnsi="Arial"/>
          <w:sz w:val="20"/>
        </w:rPr>
        <w:t xml:space="preserve">during the post-landfall calm (the eye and immediate wake) than rainfall water under late-monsoon convective wind. This further amplifies the VV specular drop in mechanism (B).</w:t>
      </w:r>
    </w:p>
    <w:p>
      <w:pPr>
        <w:pStyle w:val="Compact"/>
        <w:numPr>
          <w:ilvl w:val="0"/>
          <w:numId w:val="1003"/>
        </w:numPr>
        <w:spacing w:lineRule="auto" w:line="480"/>
        <w:jc w:val="both"/>
      </w:pPr>
      <w:r>
        <w:rPr>
          <w:rFonts w:ascii="Arial" w:hAnsi="Arial"/>
          <w:b/>
          <w:bCs/>
          <w:sz w:val="20"/>
        </w:rPr>
        <w:t xml:space="preserve">Dwell time.</w:t>
      </w:r>
      <w:r>
        <w:rPr>
          <w:rFonts w:ascii="Arial" w:hAnsi="Arial"/>
          <w:sz w:val="20"/>
        </w:rPr>
        <w:t xml:space="preserve"> </w:t>
      </w:r>
      <w:r>
        <w:rPr>
          <w:rFonts w:ascii="Arial" w:hAnsi="Arial"/>
          <w:sz w:val="20"/>
        </w:rPr>
        <w:t xml:space="preserve">Surge water sits for 7–21 days; rainfall ponds drain in 3–14 days. Longer dwell means more Sentinel-1 overpasses (revisit ≈ 6–12 d) catch the inundation peak.</w:t>
      </w:r>
    </w:p>
    <w:p>
      <w:pPr>
        <w:pStyle w:val="Compact"/>
        <w:numPr>
          <w:ilvl w:val="0"/>
          <w:numId w:val="1003"/>
        </w:numPr>
        <w:spacing w:lineRule="auto" w:line="480"/>
        <w:jc w:val="both"/>
      </w:pPr>
      <w:r>
        <w:rPr>
          <w:rFonts w:ascii="Arial" w:hAnsi="Arial"/>
          <w:b/>
          <w:bCs/>
          <w:sz w:val="20"/>
        </w:rPr>
        <w:t xml:space="preserve">Post-recovery canopy.</w:t>
      </w:r>
      <w:r>
        <w:rPr>
          <w:rFonts w:ascii="Arial" w:hAnsi="Arial"/>
          <w:sz w:val="20"/>
        </w:rPr>
        <w:t xml:space="preserve"> </w:t>
      </w:r>
      <w:r>
        <w:rPr>
          <w:rFonts w:ascii="Arial" w:hAnsi="Arial"/>
          <w:sz w:val="20"/>
        </w:rPr>
        <w:t xml:space="preserve">Salt-damaged plants recover with reduced biomass and altered geometry — a</w:t>
      </w:r>
      <w:r>
        <w:rPr>
          <w:rFonts w:ascii="Arial" w:hAnsi="Arial"/>
          <w:sz w:val="20"/>
        </w:rPr>
        <w:t xml:space="preserve"> </w:t>
      </w:r>
      <w:r>
        <w:rPr>
          <w:rFonts w:ascii="Arial" w:hAnsi="Arial"/>
          <w:i/>
          <w:iCs/>
          <w:sz w:val="20"/>
        </w:rPr>
        <w:t xml:space="preserve">persistent</w:t>
      </w:r>
      <w:r>
        <w:rPr>
          <w:rFonts w:ascii="Arial" w:hAnsi="Arial"/>
          <w:sz w:val="20"/>
        </w:rPr>
        <w:t xml:space="preserve"> </w:t>
      </w:r>
      <w:r>
        <w:rPr>
          <w:rFonts w:ascii="Arial" w:hAnsi="Arial"/>
          <w:sz w:val="20"/>
        </w:rPr>
        <w:t xml:space="preserve">backscatter deficit on the post-event limb that is absent in the freshwater cases. This is the feature Module 03 and Module 05 actually exploit downstream.</w:t>
      </w:r>
    </w:p>
    <w:p>
      <w:pPr>
        <w:pStyle w:val="FirstParagraph"/>
        <w:spacing w:lineRule="auto" w:line="480"/>
        <w:jc w:val="both"/>
      </w:pPr>
      <w:r>
        <w:rPr>
          <w:rFonts w:ascii="Arial" w:hAnsi="Arial"/>
          <w:sz w:val="20"/>
        </w:rPr>
        <w:t xml:space="preserve">Salinity is therefore inferred indirectly via co-occurrence of (i) extreme ΔVH and ΔCR, (ii) impulsive onset rate, (iii) ERA5 max-wind &gt; 17 m s⁻¹ in a 3-day window centred on onset, and (iv) JRC permanent-water mask = 0 at the pixel (i.e., not a regular waterbody).</w:t>
      </w:r>
    </w:p>
    <w:p>
      <w:pPr>
        <w:spacing w:line="240" w:lineRule="auto"/>
      </w:pPr>
      <w:r>
        <w:rPr>
          <w:rFonts w:ascii="Arial" w:hAnsi="Arial"/>
          <w:sz w:val="20"/>
        </w:rPr>
        <w:pict>
          <v:rect style="width:0;height:1.5pt" o:hralign="center" o:hrstd="t" o:hr="t"/>
        </w:pict>
      </w:r>
    </w:p>
    <w:bookmarkEnd w:id="26"/>
    <w:bookmarkStart w:id="27" w:name="X9f7a2950de9b675f51cc5d36901e8876a835c91"/>
    <w:p>
      <w:pPr>
        <w:pStyle w:val="Heading2"/>
        <w:spacing w:lineRule="auto" w:line="360"/>
      </w:pPr>
      <w:r>
        <w:rPr>
          <w:rFonts w:ascii="Arial" w:hAnsi="Arial"/>
        </w:rPr>
        <w:t xml:space="preserve">§S3.5 Empirical justification of the seven-feature set used by Module 02</w:t>
      </w:r>
    </w:p>
    <w:p>
      <w:pPr>
        <w:pStyle w:val="FirstParagraph"/>
        <w:spacing w:lineRule="auto" w:line="480"/>
        <w:jc w:val="left"/>
      </w:pPr>
      <w:r>
        <w:rPr>
          <w:rFonts w:ascii="Arial" w:hAnsi="Arial"/>
          <w:sz w:val="20"/>
        </w:rPr>
        <w:t xml:space="preserve">Given the physics in §§S3.2–S3.4, Module 02 ingests the following per-pixel, per-overpass features:</w:t>
      </w:r>
    </w:p>
    <w:tbl>
      <w:tblPr>
        <w:tblStyle w:val="Table"/>
        <w:tblW w:type="pct" w:w="5000"/>
        <w:jc w:val="left"/>
        <w:tblLayout w:type="fixed"/>
        <w:tblLook w:firstRow="1" w:lastRow="0" w:firstColumn="0" w:lastColumn="0" w:noHBand="0" w:noVBand="0" w:val="0020"/>
      </w:tblPr>
      <w:tblGrid>
        <w:gridCol w:w="1638"/>
        <w:gridCol w:w="1570"/>
        <w:gridCol w:w="4711"/>
      </w:tblGrid>
      <w:tr>
        <w:trPr>
          <w:tblHeader w:val="on"/>
        </w:trPr>
        <w:tc>
          <w:tcPr/>
          <w:p>
            <w:pPr>
              <w:pStyle w:val="Compact"/>
              <w:spacing w:lineRule="auto" w:line="360"/>
              <w:jc w:val="left"/>
            </w:pPr>
            <w:r>
              <w:rPr>
                <w:rFonts w:ascii="Arial" w:hAnsi="Arial"/>
                <w:sz w:val="18"/>
              </w:rPr>
              <w:t xml:space="preserve">Feature</w:t>
            </w:r>
          </w:p>
        </w:tc>
        <w:tc>
          <w:tcPr/>
          <w:p>
            <w:pPr>
              <w:pStyle w:val="Compact"/>
              <w:spacing w:lineRule="auto" w:line="360"/>
              <w:jc w:val="left"/>
            </w:pPr>
            <w:r>
              <w:rPr>
                <w:rFonts w:ascii="Arial" w:hAnsi="Arial"/>
                <w:sz w:val="18"/>
              </w:rPr>
              <w:t xml:space="preserve">Source</w:t>
            </w:r>
          </w:p>
        </w:tc>
        <w:tc>
          <w:tcPr/>
          <w:p>
            <w:pPr>
              <w:pStyle w:val="Compact"/>
              <w:spacing w:lineRule="auto" w:line="360"/>
              <w:jc w:val="left"/>
            </w:pPr>
            <w:r>
              <w:rPr>
                <w:rFonts w:ascii="Arial" w:hAnsi="Arial"/>
                <w:sz w:val="18"/>
              </w:rPr>
              <w:t xml:space="preserve">Role</w:t>
            </w:r>
          </w:p>
        </w:tc>
      </w:tr>
      <w:tr>
        <w:tc>
          <w:tcPr/>
          <w:p>
            <w:pPr>
              <w:pStyle w:val="Compact"/>
              <w:spacing w:lineRule="auto" w:line="360"/>
              <w:jc w:val="left"/>
            </w:pPr>
            <w:r>
              <w:rPr>
                <w:rFonts w:ascii="Arial" w:hAnsi="Arial"/>
                <w:b/>
                <w:bCs/>
                <w:sz w:val="18"/>
              </w:rPr>
              <w:t xml:space="preserve">VH (dB)</w:t>
            </w:r>
          </w:p>
        </w:tc>
        <w:tc>
          <w:tcPr/>
          <w:p>
            <w:pPr>
              <w:pStyle w:val="Compact"/>
              <w:spacing w:lineRule="auto" w:line="360"/>
              <w:jc w:val="left"/>
            </w:pPr>
            <w:r>
              <w:rPr>
                <w:rFonts w:ascii="Arial" w:hAnsi="Arial"/>
                <w:sz w:val="18"/>
              </w:rPr>
              <w:t xml:space="preserve">Sentinel-1 IW GRD</w:t>
            </w:r>
          </w:p>
        </w:tc>
        <w:tc>
          <w:tcPr/>
          <w:p>
            <w:pPr>
              <w:pStyle w:val="Compact"/>
              <w:spacing w:lineRule="auto" w:line="360"/>
              <w:jc w:val="left"/>
            </w:pPr>
            <w:r>
              <w:rPr>
                <w:rFonts w:ascii="Arial" w:hAnsi="Arial"/>
                <w:sz w:val="18"/>
              </w:rPr>
              <w:t xml:space="preserve">Cross-pol — primary discriminator (ΔVH separates A/B/C)</w:t>
            </w:r>
          </w:p>
        </w:tc>
      </w:tr>
      <w:tr>
        <w:tc>
          <w:tcPr/>
          <w:p>
            <w:pPr>
              <w:pStyle w:val="Compact"/>
              <w:spacing w:lineRule="auto" w:line="360"/>
              <w:jc w:val="left"/>
            </w:pPr>
            <w:r>
              <w:rPr>
                <w:rFonts w:ascii="Arial" w:hAnsi="Arial"/>
                <w:b/>
                <w:bCs/>
                <w:sz w:val="18"/>
              </w:rPr>
              <w:t xml:space="preserve">VV (dB)</w:t>
            </w:r>
          </w:p>
        </w:tc>
        <w:tc>
          <w:tcPr/>
          <w:p>
            <w:pPr>
              <w:pStyle w:val="Compact"/>
              <w:spacing w:lineRule="auto" w:line="360"/>
              <w:jc w:val="left"/>
            </w:pPr>
            <w:r>
              <w:rPr>
                <w:rFonts w:ascii="Arial" w:hAnsi="Arial"/>
                <w:sz w:val="18"/>
              </w:rPr>
              <w:t xml:space="preserve">Sentinel-1 IW GRD</w:t>
            </w:r>
          </w:p>
        </w:tc>
        <w:tc>
          <w:tcPr/>
          <w:p>
            <w:pPr>
              <w:pStyle w:val="Compact"/>
              <w:spacing w:lineRule="auto" w:line="360"/>
              <w:jc w:val="left"/>
            </w:pPr>
            <w:r>
              <w:rPr>
                <w:rFonts w:ascii="Arial" w:hAnsi="Arial"/>
                <w:sz w:val="18"/>
              </w:rPr>
              <w:t xml:space="preserve">Co-pol — surface vs. volume scattering</w:t>
            </w:r>
          </w:p>
        </w:tc>
      </w:tr>
      <w:tr>
        <w:tc>
          <w:tcPr/>
          <w:p>
            <w:pPr>
              <w:pStyle w:val="Compact"/>
              <w:spacing w:lineRule="auto" w:line="360"/>
              <w:jc w:val="left"/>
            </w:pPr>
            <w:r>
              <w:rPr>
                <w:rFonts w:ascii="Arial" w:hAnsi="Arial"/>
                <w:b/>
                <w:bCs/>
                <w:sz w:val="18"/>
              </w:rPr>
              <w:t xml:space="preserve">CR = VH − VV (dB)</w:t>
            </w:r>
          </w:p>
        </w:tc>
        <w:tc>
          <w:tcPr/>
          <w:p>
            <w:pPr>
              <w:pStyle w:val="Compact"/>
              <w:spacing w:lineRule="auto" w:line="360"/>
              <w:jc w:val="left"/>
            </w:pPr>
            <w:r>
              <w:rPr>
                <w:rFonts w:ascii="Arial" w:hAnsi="Arial"/>
                <w:sz w:val="18"/>
              </w:rPr>
              <w:t xml:space="preserve">derived</w:t>
            </w:r>
          </w:p>
        </w:tc>
        <w:tc>
          <w:tcPr/>
          <w:p>
            <w:pPr>
              <w:pStyle w:val="Compact"/>
              <w:spacing w:lineRule="auto" w:line="360"/>
              <w:jc w:val="left"/>
            </w:pPr>
            <w:r>
              <w:rPr>
                <w:rFonts w:ascii="Arial" w:hAnsi="Arial"/>
                <w:sz w:val="18"/>
              </w:rPr>
              <w:t xml:space="preserve">Depolarisation index — uniquely high for surge (B)</w:t>
            </w:r>
          </w:p>
        </w:tc>
      </w:tr>
      <w:tr>
        <w:tc>
          <w:tcPr/>
          <w:p>
            <w:pPr>
              <w:pStyle w:val="Compact"/>
              <w:spacing w:lineRule="auto" w:line="360"/>
              <w:jc w:val="left"/>
            </w:pPr>
            <w:r>
              <w:rPr>
                <w:rFonts w:ascii="Arial" w:hAnsi="Arial"/>
                <w:b/>
                <w:bCs/>
                <w:sz w:val="18"/>
              </w:rPr>
              <w:t xml:space="preserve">NDWI</w:t>
            </w:r>
          </w:p>
        </w:tc>
        <w:tc>
          <w:tcPr/>
          <w:p>
            <w:pPr>
              <w:pStyle w:val="Compact"/>
              <w:spacing w:lineRule="auto" w:line="360"/>
              <w:jc w:val="left"/>
            </w:pPr>
            <w:r>
              <w:rPr>
                <w:rFonts w:ascii="Arial" w:hAnsi="Arial"/>
                <w:sz w:val="18"/>
              </w:rPr>
              <w:t xml:space="preserve">Sentinel-2 SR (Harm.)</w:t>
            </w:r>
          </w:p>
        </w:tc>
        <w:tc>
          <w:tcPr/>
          <w:p>
            <w:pPr>
              <w:pStyle w:val="Compact"/>
              <w:spacing w:lineRule="auto" w:line="360"/>
              <w:jc w:val="left"/>
            </w:pPr>
            <w:r>
              <w:rPr>
                <w:rFonts w:ascii="Arial" w:hAnsi="Arial"/>
                <w:sz w:val="18"/>
              </w:rPr>
              <w:t xml:space="preserve">Optical surface-water confirmation, when cloud-free</w:t>
            </w:r>
          </w:p>
        </w:tc>
      </w:tr>
      <w:tr>
        <w:tc>
          <w:tcPr/>
          <w:p>
            <w:pPr>
              <w:pStyle w:val="Compact"/>
              <w:spacing w:lineRule="auto" w:line="360"/>
              <w:jc w:val="left"/>
            </w:pPr>
            <w:r>
              <w:rPr>
                <w:rFonts w:ascii="Arial" w:hAnsi="Arial"/>
                <w:b/>
                <w:bCs/>
                <w:sz w:val="18"/>
              </w:rPr>
              <w:t xml:space="preserve">LSWI</w:t>
            </w:r>
          </w:p>
        </w:tc>
        <w:tc>
          <w:tcPr/>
          <w:p>
            <w:pPr>
              <w:pStyle w:val="Compact"/>
              <w:spacing w:lineRule="auto" w:line="360"/>
              <w:jc w:val="left"/>
            </w:pPr>
            <w:r>
              <w:rPr>
                <w:rFonts w:ascii="Arial" w:hAnsi="Arial"/>
                <w:sz w:val="18"/>
              </w:rPr>
              <w:t xml:space="preserve">Sentinel-2 SR</w:t>
            </w:r>
          </w:p>
        </w:tc>
        <w:tc>
          <w:tcPr/>
          <w:p>
            <w:pPr>
              <w:pStyle w:val="Compact"/>
              <w:spacing w:lineRule="auto" w:line="360"/>
              <w:jc w:val="both"/>
            </w:pPr>
            <w:r>
              <w:rPr>
                <w:rFonts w:ascii="Arial" w:hAnsi="Arial"/>
                <w:sz w:val="18"/>
              </w:rPr>
              <w:t xml:space="preserve">Canopy water content — distinguishes flooded canopy from open water</w:t>
            </w:r>
          </w:p>
        </w:tc>
      </w:tr>
      <w:tr>
        <w:tc>
          <w:tcPr/>
          <w:p>
            <w:pPr>
              <w:pStyle w:val="Compact"/>
              <w:spacing w:lineRule="auto" w:line="360"/>
              <w:jc w:val="left"/>
            </w:pPr>
            <w:r>
              <w:rPr>
                <w:rFonts w:ascii="Arial" w:hAnsi="Arial"/>
                <w:b/>
                <w:bCs/>
                <w:sz w:val="18"/>
              </w:rPr>
              <w:t xml:space="preserve">JRC water permanence</w:t>
            </w:r>
          </w:p>
        </w:tc>
        <w:tc>
          <w:tcPr/>
          <w:p>
            <w:pPr>
              <w:pStyle w:val="Compact"/>
              <w:spacing w:lineRule="auto" w:line="360"/>
              <w:jc w:val="left"/>
            </w:pPr>
            <w:r>
              <w:rPr>
                <w:rFonts w:ascii="Arial" w:hAnsi="Arial"/>
                <w:sz w:val="18"/>
              </w:rPr>
              <w:t xml:space="preserve">JRC GSW v1.4</w:t>
            </w:r>
          </w:p>
        </w:tc>
        <w:tc>
          <w:tcPr/>
          <w:p>
            <w:pPr>
              <w:pStyle w:val="Compact"/>
              <w:spacing w:lineRule="auto" w:line="360"/>
              <w:jc w:val="left"/>
            </w:pPr>
            <w:r>
              <w:rPr>
                <w:rFonts w:ascii="Arial" w:hAnsi="Arial"/>
                <w:sz w:val="18"/>
              </w:rPr>
              <w:t xml:space="preserve">Excludes permanent waterbodies (rivers, ponds, aquaculture)</w:t>
            </w:r>
          </w:p>
        </w:tc>
      </w:tr>
      <w:tr>
        <w:tc>
          <w:tcPr/>
          <w:p>
            <w:pPr>
              <w:pStyle w:val="Compact"/>
              <w:spacing w:lineRule="auto" w:line="360"/>
              <w:jc w:val="left"/>
            </w:pPr>
            <w:r>
              <w:rPr>
                <w:rFonts w:ascii="Arial" w:hAnsi="Arial"/>
                <w:b/>
                <w:bCs/>
                <w:sz w:val="18"/>
              </w:rPr>
              <w:t xml:space="preserve">ERA5 3-day max wind</w:t>
            </w:r>
          </w:p>
        </w:tc>
        <w:tc>
          <w:tcPr/>
          <w:p>
            <w:pPr>
              <w:pStyle w:val="Compact"/>
              <w:spacing w:lineRule="auto" w:line="360"/>
              <w:jc w:val="left"/>
            </w:pPr>
            <w:r>
              <w:rPr>
                <w:rFonts w:ascii="Arial" w:hAnsi="Arial"/>
                <w:sz w:val="18"/>
              </w:rPr>
              <w:t xml:space="preserve">ERA5-Land hourly</w:t>
            </w:r>
          </w:p>
        </w:tc>
        <w:tc>
          <w:tcPr/>
          <w:p>
            <w:pPr>
              <w:pStyle w:val="Compact"/>
              <w:spacing w:lineRule="auto" w:line="360"/>
              <w:jc w:val="left"/>
            </w:pPr>
            <w:r>
              <w:rPr>
                <w:rFonts w:ascii="Arial" w:hAnsi="Arial"/>
                <w:sz w:val="18"/>
              </w:rPr>
              <w:t xml:space="preserve">Cyclonic-event filter for mechanism (B)</w:t>
            </w:r>
          </w:p>
        </w:tc>
      </w:tr>
    </w:tbl>
    <w:p>
      <w:pPr>
        <w:spacing w:before="0" w:after="120" w:line="276" w:lineRule="auto"/>
      </w:pPr>
      <w:r>
        <w:rPr>
          <w:rFonts w:ascii="Arial" w:hAnsi="Arial"/>
          <w:i/>
          <w:sz w:val="19"/>
          <w:szCs w:val="19"/>
          <w:color w:val="595959"/>
        </w:rPr>
        <w:t xml:space="preserve">Abbreviations: CR = Cross-Ratio (VH − VV in dB); ERA5 = ECMWF Reanalysis v5; GRD = Ground Range Detected; GSW = Global Surface Water; IW = Interferometric Wide swath; JRC = Joint Research Centre (European Commission); LSWI = Land Surface Water Index; NDWI = Normalised Difference Water Index; VH = Vertical-transmit Horizontal-receive polarisation; VV = Vertical-transmit Vertical-receive polarisation.</w:t>
      </w:r>
    </w:p>
    <w:p>
      <w:pPr>
        <w:pStyle w:val="BodyText"/>
        <w:spacing w:lineRule="auto" w:line="480"/>
        <w:jc w:val="both"/>
      </w:pPr>
      <w:r>
        <w:rPr>
          <w:rFonts w:ascii="Arial" w:hAnsi="Arial"/>
          <w:sz w:val="20"/>
        </w:rPr>
        <w:t xml:space="preserve">Each feature is independently motivated and physically interpretable. There is</w:t>
      </w:r>
      <w:r>
        <w:rPr>
          <w:rFonts w:ascii="Arial" w:hAnsi="Arial"/>
          <w:sz w:val="20"/>
        </w:rPr>
        <w:t xml:space="preserve"> </w:t>
      </w:r>
      <w:r>
        <w:rPr>
          <w:rFonts w:ascii="Arial" w:hAnsi="Arial"/>
          <w:b/>
          <w:bCs/>
          <w:sz w:val="20"/>
        </w:rPr>
        <w:t xml:space="preserve">no</w:t>
      </w:r>
      <w:r>
        <w:rPr>
          <w:rFonts w:ascii="Arial" w:hAnsi="Arial"/>
          <w:sz w:val="20"/>
        </w:rPr>
        <w:t xml:space="preserve"> </w:t>
      </w:r>
      <w:r>
        <w:rPr>
          <w:rFonts w:ascii="Arial" w:hAnsi="Arial"/>
          <w:sz w:val="20"/>
        </w:rPr>
        <w:t xml:space="preserve">feature in the set whose role cannot be stated in one sentence in radar physics or hydrological terms. This is a deliberate constraint — black-box deep-learning classifiers are excluded from the protocol for reproducibility and falsifiability reasons.</w:t>
      </w:r>
    </w:p>
    <w:p>
      <w:pPr>
        <w:spacing w:line="240" w:lineRule="auto"/>
      </w:pPr>
      <w:r>
        <w:rPr>
          <w:rFonts w:ascii="Arial" w:hAnsi="Arial"/>
          <w:sz w:val="20"/>
        </w:rPr>
        <w:pict>
          <v:rect style="width:0;height:1.5pt" o:hralign="center" o:hrstd="t" o:hr="t"/>
        </w:pict>
      </w:r>
    </w:p>
    <w:bookmarkEnd w:id="27"/>
    <w:bookmarkStart w:id="28" w:name="Xf68a0a5935df6be22767d622599cd98d67fa490"/>
    <w:p>
      <w:pPr>
        <w:pStyle w:val="Heading2"/>
        <w:spacing w:lineRule="auto" w:line="360"/>
      </w:pPr>
      <w:r>
        <w:rPr>
          <w:rFonts w:ascii="Arial" w:hAnsi="Arial"/>
        </w:rPr>
        <w:t xml:space="preserve">§S3.6 Feature importance from the Module 02 random forest</w:t>
      </w:r>
    </w:p>
    <w:p>
      <w:pPr>
        <w:pStyle w:val="FirstParagraph"/>
        <w:spacing w:lineRule="auto" w:line="480"/>
        <w:jc w:val="both"/>
      </w:pPr>
      <w:r>
        <w:rPr>
          <w:rFonts w:ascii="Arial" w:hAnsi="Arial"/>
          <w:sz w:val="20"/>
        </w:rPr>
        <w:t xml:space="preserve">The random-forest classifier (n_estimators=500, max_depth=12, class_weight=</w:t>
      </w:r>
      <w:r>
        <w:rPr>
          <w:rFonts w:ascii="Arial" w:hAnsi="Arial"/>
          <w:sz w:val="20"/>
        </w:rPr>
        <w:t xml:space="preserve">“</w:t>
      </w:r>
      <w:r>
        <w:rPr>
          <w:rFonts w:ascii="Arial" w:hAnsi="Arial"/>
          <w:sz w:val="20"/>
        </w:rPr>
        <w:t xml:space="preserve">balanced</w:t>
      </w:r>
      <w:r>
        <w:rPr>
          <w:rFonts w:ascii="Arial" w:hAnsi="Arial"/>
          <w:sz w:val="20"/>
        </w:rPr>
        <w:t xml:space="preserve">”</w:t>
      </w:r>
      <w:r>
        <w:rPr>
          <w:rFonts w:ascii="Arial" w:hAnsi="Arial"/>
          <w:sz w:val="20"/>
        </w:rPr>
        <w:t xml:space="preserve">) trained on the joint Bulbul (2019) + Fani (2019) + Yaas (2021) labelled pixels reports the following Gini-impurity feature importances on the held-out 2020 + 2022 + 2023 data (the test mode of Module 02):</w:t>
      </w:r>
    </w:p>
    <w:p>
      <w:pPr>
        <w:pStyle w:val="Compact"/>
        <w:numPr>
          <w:ilvl w:val="0"/>
          <w:numId w:val="1004"/>
        </w:numPr>
        <w:spacing w:lineRule="auto" w:line="480"/>
        <w:jc w:val="left"/>
      </w:pPr>
      <w:r>
        <w:rPr>
          <w:rFonts w:ascii="Arial" w:hAnsi="Arial"/>
          <w:b/>
          <w:bCs/>
          <w:sz w:val="20"/>
        </w:rPr>
        <w:t xml:space="preserve">ΔVH (event vs. 30-day pre-baseline)</w:t>
      </w:r>
      <w:r>
        <w:rPr>
          <w:rFonts w:ascii="Arial" w:hAnsi="Arial"/>
          <w:sz w:val="20"/>
        </w:rPr>
        <w:t xml:space="preserve"> </w:t>
      </w:r>
      <w:r>
        <w:rPr>
          <w:rFonts w:ascii="Arial" w:hAnsi="Arial"/>
          <w:sz w:val="20"/>
        </w:rPr>
        <w:t xml:space="preserve">— 0.29</w:t>
      </w:r>
    </w:p>
    <w:p>
      <w:pPr>
        <w:pStyle w:val="Compact"/>
        <w:numPr>
          <w:ilvl w:val="0"/>
          <w:numId w:val="1004"/>
        </w:numPr>
        <w:spacing w:lineRule="auto" w:line="480"/>
        <w:jc w:val="left"/>
      </w:pPr>
      <w:r>
        <w:rPr>
          <w:rFonts w:ascii="Arial" w:hAnsi="Arial"/>
          <w:b/>
          <w:bCs/>
          <w:sz w:val="20"/>
        </w:rPr>
        <w:t xml:space="preserve">ΔCR</w:t>
      </w:r>
      <w:r>
        <w:rPr>
          <w:rFonts w:ascii="Arial" w:hAnsi="Arial"/>
          <w:sz w:val="20"/>
        </w:rPr>
        <w:t xml:space="preserve"> </w:t>
      </w:r>
      <w:r>
        <w:rPr>
          <w:rFonts w:ascii="Arial" w:hAnsi="Arial"/>
          <w:sz w:val="20"/>
        </w:rPr>
        <w:t xml:space="preserve">— 0.21</w:t>
      </w:r>
    </w:p>
    <w:p>
      <w:pPr>
        <w:pStyle w:val="Compact"/>
        <w:numPr>
          <w:ilvl w:val="0"/>
          <w:numId w:val="1004"/>
        </w:numPr>
        <w:spacing w:lineRule="auto" w:line="480"/>
        <w:jc w:val="left"/>
      </w:pPr>
      <w:r>
        <w:rPr>
          <w:rFonts w:ascii="Arial" w:hAnsi="Arial"/>
          <w:b/>
          <w:bCs/>
          <w:sz w:val="20"/>
        </w:rPr>
        <w:t xml:space="preserve">VV minimum during event window</w:t>
      </w:r>
      <w:r>
        <w:rPr>
          <w:rFonts w:ascii="Arial" w:hAnsi="Arial"/>
          <w:sz w:val="20"/>
        </w:rPr>
        <w:t xml:space="preserve"> </w:t>
      </w:r>
      <w:r>
        <w:rPr>
          <w:rFonts w:ascii="Arial" w:hAnsi="Arial"/>
          <w:sz w:val="20"/>
        </w:rPr>
        <w:t xml:space="preserve">— 0.16</w:t>
      </w:r>
    </w:p>
    <w:p>
      <w:pPr>
        <w:pStyle w:val="Compact"/>
        <w:numPr>
          <w:ilvl w:val="0"/>
          <w:numId w:val="1004"/>
        </w:numPr>
        <w:spacing w:lineRule="auto" w:line="480"/>
        <w:jc w:val="left"/>
      </w:pPr>
      <w:r>
        <w:rPr>
          <w:rFonts w:ascii="Arial" w:hAnsi="Arial"/>
          <w:b/>
          <w:bCs/>
          <w:sz w:val="20"/>
        </w:rPr>
        <w:t xml:space="preserve">ERA5 3-day max wind</w:t>
      </w:r>
      <w:r>
        <w:rPr>
          <w:rFonts w:ascii="Arial" w:hAnsi="Arial"/>
          <w:sz w:val="20"/>
        </w:rPr>
        <w:t xml:space="preserve"> </w:t>
      </w:r>
      <w:r>
        <w:rPr>
          <w:rFonts w:ascii="Arial" w:hAnsi="Arial"/>
          <w:sz w:val="20"/>
        </w:rPr>
        <w:t xml:space="preserve">— 0.14</w:t>
      </w:r>
    </w:p>
    <w:p>
      <w:pPr>
        <w:pStyle w:val="Compact"/>
        <w:numPr>
          <w:ilvl w:val="0"/>
          <w:numId w:val="1004"/>
        </w:numPr>
        <w:spacing w:lineRule="auto" w:line="480"/>
        <w:jc w:val="left"/>
      </w:pPr>
      <w:r>
        <w:rPr>
          <w:rFonts w:ascii="Arial" w:hAnsi="Arial"/>
          <w:b/>
          <w:bCs/>
          <w:sz w:val="20"/>
        </w:rPr>
        <w:t xml:space="preserve">LSWI minimum during event window</w:t>
      </w:r>
      <w:r>
        <w:rPr>
          <w:rFonts w:ascii="Arial" w:hAnsi="Arial"/>
          <w:sz w:val="20"/>
        </w:rPr>
        <w:t xml:space="preserve"> </w:t>
      </w:r>
      <w:r>
        <w:rPr>
          <w:rFonts w:ascii="Arial" w:hAnsi="Arial"/>
          <w:sz w:val="20"/>
        </w:rPr>
        <w:t xml:space="preserve">— 0.10</w:t>
      </w:r>
    </w:p>
    <w:p>
      <w:pPr>
        <w:pStyle w:val="Compact"/>
        <w:numPr>
          <w:ilvl w:val="0"/>
          <w:numId w:val="1004"/>
        </w:numPr>
        <w:spacing w:lineRule="auto" w:line="480"/>
        <w:jc w:val="left"/>
      </w:pPr>
      <w:r>
        <w:rPr>
          <w:rFonts w:ascii="Arial" w:hAnsi="Arial"/>
          <w:b/>
          <w:bCs/>
          <w:sz w:val="20"/>
        </w:rPr>
        <w:t xml:space="preserve">JRC water permanence</w:t>
      </w:r>
      <w:r>
        <w:rPr>
          <w:rFonts w:ascii="Arial" w:hAnsi="Arial"/>
          <w:sz w:val="20"/>
        </w:rPr>
        <w:t xml:space="preserve"> </w:t>
      </w:r>
      <w:r>
        <w:rPr>
          <w:rFonts w:ascii="Arial" w:hAnsi="Arial"/>
          <w:sz w:val="20"/>
        </w:rPr>
        <w:t xml:space="preserve">— 0.06</w:t>
      </w:r>
    </w:p>
    <w:p>
      <w:pPr>
        <w:pStyle w:val="Compact"/>
        <w:numPr>
          <w:ilvl w:val="0"/>
          <w:numId w:val="1004"/>
        </w:numPr>
        <w:spacing w:lineRule="auto" w:line="480"/>
        <w:jc w:val="left"/>
      </w:pPr>
      <w:r>
        <w:rPr>
          <w:rFonts w:ascii="Arial" w:hAnsi="Arial"/>
          <w:b/>
          <w:bCs/>
          <w:sz w:val="20"/>
        </w:rPr>
        <w:t xml:space="preserve">NDWI maximum during event window</w:t>
      </w:r>
      <w:r>
        <w:rPr>
          <w:rFonts w:ascii="Arial" w:hAnsi="Arial"/>
          <w:sz w:val="20"/>
        </w:rPr>
        <w:t xml:space="preserve"> </w:t>
      </w:r>
      <w:r>
        <w:rPr>
          <w:rFonts w:ascii="Arial" w:hAnsi="Arial"/>
          <w:sz w:val="20"/>
        </w:rPr>
        <w:t xml:space="preserve">— 0.04</w:t>
      </w:r>
    </w:p>
    <w:p>
      <w:pPr>
        <w:pStyle w:val="FirstParagraph"/>
        <w:spacing w:lineRule="auto" w:line="480"/>
        <w:jc w:val="both"/>
      </w:pPr>
      <w:r>
        <w:rPr>
          <w:rFonts w:ascii="Arial" w:hAnsi="Arial"/>
          <w:sz w:val="20"/>
        </w:rPr>
        <w:t xml:space="preserve">(The exact numbers are written by Module 02 to</w:t>
      </w:r>
      <w:r>
        <w:rPr>
          <w:rFonts w:ascii="Arial" w:hAnsi="Arial"/>
          <w:sz w:val="20"/>
        </w:rPr>
        <w:t xml:space="preserve"> </w:t>
      </w:r>
      <w:r>
        <w:rPr>
          <w:rStyle w:val="VerbatimChar"/>
          <w:rFonts w:ascii="Arial" w:hAnsi="Arial"/>
          <w:sz w:val="20"/>
        </w:rPr>
        <w:t xml:space="preserve">analysis/results/rf_feature_importance.csv</w:t>
      </w:r>
      <w:r>
        <w:rPr>
          <w:rFonts w:ascii="Arial" w:hAnsi="Arial"/>
          <w:sz w:val="20"/>
        </w:rPr>
        <w:t xml:space="preserve"> </w:t>
      </w:r>
      <w:r>
        <w:rPr>
          <w:rFonts w:ascii="Arial" w:hAnsi="Arial"/>
          <w:sz w:val="20"/>
        </w:rPr>
        <w:t xml:space="preserve">and reproduced here verbatim. Numbers above are the locked v0.2.5 baseline.) Sentinel-1-derived features (ranks 1, 2, 3, plus ΔCR which is also S1-derived) carry 0.66 of total importance — consistent with the design assumption that radar, not optical, carries the discriminating information for inundation under cloud and at sub-daily latency. The ERA5 wind feature carries the cyclonic-event filter; without it, mechanism (A) (transplanting) and mechanism (B) (surge) become harder to separate at the very low ΔVH end.</w:t>
      </w:r>
    </w:p>
    <w:p>
      <w:pPr>
        <w:spacing w:line="240" w:lineRule="auto"/>
      </w:pPr>
      <w:r>
        <w:rPr>
          <w:rFonts w:ascii="Arial" w:hAnsi="Arial"/>
          <w:sz w:val="20"/>
        </w:rPr>
        <w:pict>
          <v:rect style="width:0;height:1.5pt" o:hralign="center" o:hrstd="t" o:hr="t"/>
        </w:pict>
      </w:r>
    </w:p>
    <w:bookmarkEnd w:id="28"/>
    <w:bookmarkStart w:id="29" w:name="s3.7-falsifiability-and-limitations"/>
    <w:p>
      <w:pPr>
        <w:pStyle w:val="Heading2"/>
        <w:spacing w:lineRule="auto" w:line="360"/>
      </w:pPr>
      <w:r>
        <w:rPr>
          <w:rFonts w:ascii="Arial" w:hAnsi="Arial"/>
        </w:rPr>
        <w:t xml:space="preserve">§S3.7 Falsifiability and limitations</w:t>
      </w:r>
    </w:p>
    <w:p>
      <w:pPr>
        <w:pStyle w:val="FirstParagraph"/>
        <w:spacing w:lineRule="auto" w:line="480"/>
        <w:jc w:val="left"/>
      </w:pPr>
      <w:r>
        <w:rPr>
          <w:rFonts w:ascii="Arial" w:hAnsi="Arial"/>
          <w:sz w:val="20"/>
        </w:rPr>
        <w:t xml:space="preserve">The discriminator is rejected — and the entire identification strategy with it — under any of the following conditions:</w:t>
      </w:r>
    </w:p>
    <w:p>
      <w:pPr>
        <w:pStyle w:val="Compact"/>
        <w:numPr>
          <w:ilvl w:val="0"/>
          <w:numId w:val="1005"/>
        </w:numPr>
        <w:spacing w:lineRule="auto" w:line="480"/>
        <w:jc w:val="both"/>
      </w:pPr>
      <w:r>
        <w:rPr>
          <w:rFonts w:ascii="Arial" w:hAnsi="Arial"/>
          <w:b/>
          <w:bCs/>
          <w:sz w:val="20"/>
        </w:rPr>
        <w:t xml:space="preserve">Insufficient ΔVH separation.</w:t>
      </w:r>
      <w:r>
        <w:rPr>
          <w:rFonts w:ascii="Arial" w:hAnsi="Arial"/>
          <w:sz w:val="20"/>
        </w:rPr>
        <w:t xml:space="preserve"> </w:t>
      </w:r>
      <w:r>
        <w:rPr>
          <w:rFonts w:ascii="Arial" w:hAnsi="Arial"/>
          <w:sz w:val="20"/>
        </w:rPr>
        <w:t xml:space="preserve">If, on the empirical Sentinel-1 record, the median ΔVH for confirmed surge events does not exceed the median ΔVH for transplanting events by at least 3 dB, the cross-pol channel is uninformative for our problem.</w:t>
      </w:r>
    </w:p>
    <w:p>
      <w:pPr>
        <w:pStyle w:val="Compact"/>
        <w:numPr>
          <w:ilvl w:val="0"/>
          <w:numId w:val="1005"/>
        </w:numPr>
        <w:spacing w:lineRule="auto" w:line="480"/>
        <w:jc w:val="both"/>
      </w:pPr>
      <w:r>
        <w:rPr>
          <w:rFonts w:ascii="Arial" w:hAnsi="Arial"/>
          <w:b/>
          <w:bCs/>
          <w:sz w:val="20"/>
        </w:rPr>
        <w:t xml:space="preserve">Onset-rate confound.</w:t>
      </w:r>
      <w:r>
        <w:rPr>
          <w:rFonts w:ascii="Arial" w:hAnsi="Arial"/>
          <w:sz w:val="20"/>
        </w:rPr>
        <w:t xml:space="preserve"> </w:t>
      </w:r>
      <w:r>
        <w:rPr>
          <w:rFonts w:ascii="Arial" w:hAnsi="Arial"/>
          <w:sz w:val="20"/>
        </w:rPr>
        <w:t xml:space="preserve">If transplanting and surge events cannot be separated by their fitted onset-rate constant (canonical 12 d vs. 1 d), the time-domain feature is degenerate.</w:t>
      </w:r>
    </w:p>
    <w:p>
      <w:pPr>
        <w:pStyle w:val="Compact"/>
        <w:numPr>
          <w:ilvl w:val="0"/>
          <w:numId w:val="1005"/>
        </w:numPr>
        <w:spacing w:lineRule="auto" w:line="480"/>
        <w:jc w:val="both"/>
      </w:pPr>
      <w:r>
        <w:rPr>
          <w:rFonts w:ascii="Arial" w:hAnsi="Arial"/>
          <w:b/>
          <w:bCs/>
          <w:sz w:val="20"/>
        </w:rPr>
        <w:t xml:space="preserve">Wind co-variation.</w:t>
      </w:r>
      <w:r>
        <w:rPr>
          <w:rFonts w:ascii="Arial" w:hAnsi="Arial"/>
          <w:sz w:val="20"/>
        </w:rPr>
        <w:t xml:space="preserve"> </w:t>
      </w:r>
      <w:r>
        <w:rPr>
          <w:rFonts w:ascii="Arial" w:hAnsi="Arial"/>
          <w:sz w:val="20"/>
        </w:rPr>
        <w:t xml:space="preserve">If ERA5 3-day max wind correlates with transplanting onset above r = 0.3 (e.g., because monsoon onset and cyclones share wind regimes), the wind filter is invalid.</w:t>
      </w:r>
    </w:p>
    <w:p>
      <w:pPr>
        <w:pStyle w:val="Compact"/>
        <w:numPr>
          <w:ilvl w:val="0"/>
          <w:numId w:val="1005"/>
        </w:numPr>
        <w:spacing w:lineRule="auto" w:line="480"/>
        <w:jc w:val="both"/>
      </w:pPr>
      <w:r>
        <w:rPr>
          <w:rFonts w:ascii="Arial" w:hAnsi="Arial"/>
          <w:b/>
          <w:bCs/>
          <w:sz w:val="20"/>
        </w:rPr>
        <w:t xml:space="preserve">No persistent post-event deficit.</w:t>
      </w:r>
      <w:r>
        <w:rPr>
          <w:rFonts w:ascii="Arial" w:hAnsi="Arial"/>
          <w:sz w:val="20"/>
        </w:rPr>
        <w:t xml:space="preserve"> </w:t>
      </w:r>
      <w:r>
        <w:rPr>
          <w:rFonts w:ascii="Arial" w:hAnsi="Arial"/>
          <w:sz w:val="20"/>
        </w:rPr>
        <w:t xml:space="preserve">If salt-damaged pixels recover to within 1 dB of pre-event VH within 30 days post-recovery, mechanism (B) is indistinguishable from mechanism (C) downstream and the DiD identification fails on the canopy phenology channel.</w:t>
      </w:r>
    </w:p>
    <w:p>
      <w:pPr>
        <w:pStyle w:val="FirstParagraph"/>
        <w:spacing w:lineRule="auto" w:line="480"/>
        <w:jc w:val="both"/>
      </w:pPr>
      <w:r>
        <w:rPr>
          <w:rFonts w:ascii="Arial" w:hAnsi="Arial"/>
          <w:sz w:val="20"/>
        </w:rPr>
        <w:t xml:space="preserve">Conditions (1)–(4) are</w:t>
      </w:r>
      <w:r>
        <w:rPr>
          <w:rFonts w:ascii="Arial" w:hAnsi="Arial"/>
          <w:sz w:val="20"/>
        </w:rPr>
        <w:t xml:space="preserve"> </w:t>
      </w:r>
      <w:r>
        <w:rPr>
          <w:rFonts w:ascii="Arial" w:hAnsi="Arial"/>
          <w:i/>
          <w:iCs/>
          <w:sz w:val="20"/>
        </w:rPr>
        <w:t xml:space="preserve">all</w:t>
      </w:r>
      <w:r>
        <w:rPr>
          <w:rFonts w:ascii="Arial" w:hAnsi="Arial"/>
          <w:sz w:val="20"/>
        </w:rPr>
        <w:t xml:space="preserve"> </w:t>
      </w:r>
      <w:r>
        <w:rPr>
          <w:rFonts w:ascii="Arial" w:hAnsi="Arial"/>
          <w:sz w:val="20"/>
        </w:rPr>
        <w:t xml:space="preserve">checked empirically by Module 02 on the labelled training set. The locked v0.2.5 baseline passes all four with the following observed margins:</w:t>
      </w:r>
    </w:p>
    <w:tbl>
      <w:tblPr>
        <w:tblStyle w:val="Table"/>
        <w:tblW w:type="pct" w:w="5000"/>
        <w:jc w:val="left"/>
        <w:tblLayout w:type="fixed"/>
        <w:tblLook w:firstRow="1" w:lastRow="0" w:firstColumn="0" w:lastColumn="0" w:noHBand="0" w:noVBand="0" w:val="0020"/>
      </w:tblPr>
      <w:tblGrid>
        <w:gridCol w:w="1232"/>
        <w:gridCol w:w="1936"/>
        <w:gridCol w:w="1760"/>
        <w:gridCol w:w="1408"/>
        <w:gridCol w:w="1584"/>
      </w:tblGrid>
      <w:tr>
        <w:trPr>
          <w:tblHeader w:val="on"/>
        </w:trPr>
        <w:tc>
          <w:tcPr/>
          <w:p>
            <w:pPr>
              <w:pStyle w:val="Compact"/>
              <w:spacing w:lineRule="auto" w:line="360"/>
              <w:jc w:val="left"/>
            </w:pPr>
            <w:r>
              <w:rPr>
                <w:rFonts w:ascii="Arial" w:hAnsi="Arial"/>
                <w:sz w:val="18"/>
              </w:rPr>
              <w:t xml:space="preserve">Check</w:t>
            </w:r>
          </w:p>
        </w:tc>
        <w:tc>
          <w:tcPr/>
          <w:p>
            <w:pPr>
              <w:pStyle w:val="Compact"/>
              <w:spacing w:lineRule="auto" w:line="360"/>
              <w:jc w:val="left"/>
            </w:pPr>
            <w:r>
              <w:rPr>
                <w:rFonts w:ascii="Arial" w:hAnsi="Arial"/>
                <w:sz w:val="18"/>
              </w:rPr>
              <w:t xml:space="preserve">Threshold</w:t>
            </w:r>
          </w:p>
        </w:tc>
        <w:tc>
          <w:tcPr/>
          <w:p>
            <w:pPr>
              <w:pStyle w:val="Compact"/>
              <w:spacing w:lineRule="auto" w:line="360"/>
              <w:jc w:val="left"/>
            </w:pPr>
            <w:r>
              <w:rPr>
                <w:rFonts w:ascii="Arial" w:hAnsi="Arial"/>
                <w:sz w:val="18"/>
              </w:rPr>
              <w:t xml:space="preserve">Observed</w:t>
            </w:r>
          </w:p>
        </w:tc>
        <w:tc>
          <w:tcPr/>
          <w:p>
            <w:pPr>
              <w:pStyle w:val="Compact"/>
              <w:spacing w:lineRule="auto" w:line="360"/>
              <w:jc w:val="left"/>
            </w:pPr>
            <w:r>
              <w:rPr>
                <w:rFonts w:ascii="Arial" w:hAnsi="Arial"/>
                <w:sz w:val="18"/>
              </w:rPr>
              <w:t xml:space="preserve">Margin</w:t>
            </w:r>
          </w:p>
        </w:tc>
        <w:tc>
          <w:tcPr/>
          <w:p>
            <w:pPr>
              <w:pStyle w:val="Compact"/>
              <w:spacing w:lineRule="auto" w:line="360"/>
              <w:jc w:val="left"/>
            </w:pPr>
            <w:r>
              <w:rPr>
                <w:rFonts w:ascii="Arial" w:hAnsi="Arial"/>
                <w:sz w:val="18"/>
              </w:rPr>
              <w:t xml:space="preserve">Verdict</w:t>
            </w:r>
          </w:p>
        </w:tc>
      </w:tr>
      <w:tr>
        <w:tc>
          <w:tcPr/>
          <w:p>
            <w:pPr>
              <w:pStyle w:val="Compact"/>
              <w:spacing w:lineRule="auto" w:line="360"/>
              <w:jc w:val="left"/>
            </w:pPr>
            <w:r>
              <w:rPr>
                <w:rFonts w:ascii="Arial" w:hAnsi="Arial"/>
                <w:sz w:val="18"/>
              </w:rPr>
              <w:t xml:space="preserve">F1 — ΔVH gap (surge − transplanting)</w:t>
            </w:r>
          </w:p>
        </w:tc>
        <w:tc>
          <w:tcPr/>
          <w:p>
            <w:pPr>
              <w:pStyle w:val="Compact"/>
              <w:spacing w:lineRule="auto" w:line="360"/>
              <w:jc w:val="left"/>
            </w:pPr>
            <w:r>
              <w:rPr>
                <w:rFonts w:ascii="Arial" w:hAnsi="Arial"/>
                <w:sz w:val="18"/>
              </w:rPr>
              <w:t xml:space="preserve">≥ 3.0 dB</w:t>
            </w:r>
          </w:p>
        </w:tc>
        <w:tc>
          <w:tcPr/>
          <w:p>
            <w:pPr>
              <w:pStyle w:val="Compact"/>
              <w:spacing w:lineRule="auto" w:line="360"/>
              <w:jc w:val="left"/>
            </w:pPr>
            <w:r>
              <w:rPr>
                <w:rFonts w:ascii="Arial" w:hAnsi="Arial"/>
                <w:sz w:val="18"/>
              </w:rPr>
              <w:t xml:space="preserve">4.0 dB</w:t>
            </w:r>
          </w:p>
        </w:tc>
        <w:tc>
          <w:tcPr/>
          <w:p>
            <w:pPr>
              <w:pStyle w:val="Compact"/>
              <w:spacing w:lineRule="auto" w:line="360"/>
              <w:jc w:val="left"/>
            </w:pPr>
            <w:r>
              <w:rPr>
                <w:rFonts w:ascii="Arial" w:hAnsi="Arial"/>
                <w:sz w:val="18"/>
              </w:rPr>
              <w:t xml:space="preserve">+1.0 dB</w:t>
            </w:r>
          </w:p>
        </w:tc>
        <w:tc>
          <w:tcPr/>
          <w:p>
            <w:pPr>
              <w:pStyle w:val="Compact"/>
              <w:spacing w:lineRule="auto" w:line="360"/>
              <w:jc w:val="left"/>
            </w:pPr>
            <w:r>
              <w:rPr>
                <w:rFonts w:ascii="Arial" w:hAnsi="Arial"/>
                <w:sz w:val="18"/>
              </w:rPr>
              <w:t xml:space="preserve">pass</w:t>
            </w:r>
          </w:p>
        </w:tc>
      </w:tr>
      <w:tr>
        <w:tc>
          <w:tcPr/>
          <w:p>
            <w:pPr>
              <w:pStyle w:val="Compact"/>
              <w:spacing w:lineRule="auto" w:line="360"/>
              <w:jc w:val="left"/>
            </w:pPr>
            <w:r>
              <w:rPr>
                <w:rFonts w:ascii="Arial" w:hAnsi="Arial"/>
                <w:sz w:val="18"/>
              </w:rPr>
              <w:t xml:space="preserve">F2 — onset-rate separation</w:t>
            </w:r>
          </w:p>
        </w:tc>
        <w:tc>
          <w:tcPr/>
          <w:p>
            <w:pPr>
              <w:pStyle w:val="Compact"/>
              <w:spacing w:lineRule="auto" w:line="360"/>
              <w:jc w:val="left"/>
            </w:pPr>
            <w:r>
              <w:rPr>
                <w:rFonts w:ascii="Arial" w:hAnsi="Arial"/>
                <w:sz w:val="18"/>
              </w:rPr>
              <w:t xml:space="preserve">≥ 4×</w:t>
            </w:r>
          </w:p>
        </w:tc>
        <w:tc>
          <w:tcPr/>
          <w:p>
            <w:pPr>
              <w:pStyle w:val="Compact"/>
              <w:spacing w:lineRule="auto" w:line="360"/>
              <w:jc w:val="left"/>
            </w:pPr>
            <w:r>
              <w:rPr>
                <w:rFonts w:ascii="Arial" w:hAnsi="Arial"/>
                <w:sz w:val="18"/>
              </w:rPr>
              <w:t xml:space="preserve">12×</w:t>
            </w:r>
          </w:p>
        </w:tc>
        <w:tc>
          <w:tcPr/>
          <w:p>
            <w:pPr>
              <w:pStyle w:val="Compact"/>
              <w:spacing w:lineRule="auto" w:line="360"/>
              <w:jc w:val="left"/>
            </w:pPr>
            <w:r>
              <w:rPr>
                <w:rFonts w:ascii="Arial" w:hAnsi="Arial"/>
                <w:sz w:val="18"/>
              </w:rPr>
              <w:t xml:space="preserve">+8×</w:t>
            </w:r>
          </w:p>
        </w:tc>
        <w:tc>
          <w:tcPr/>
          <w:p>
            <w:pPr>
              <w:pStyle w:val="Compact"/>
              <w:spacing w:lineRule="auto" w:line="360"/>
              <w:jc w:val="left"/>
            </w:pPr>
            <w:r>
              <w:rPr>
                <w:rFonts w:ascii="Arial" w:hAnsi="Arial"/>
                <w:sz w:val="18"/>
              </w:rPr>
              <w:t xml:space="preserve">pass</w:t>
            </w:r>
          </w:p>
        </w:tc>
      </w:tr>
      <w:tr>
        <w:tc>
          <w:tcPr/>
          <w:p>
            <w:pPr>
              <w:pStyle w:val="Compact"/>
              <w:spacing w:lineRule="auto" w:line="360"/>
              <w:jc w:val="left"/>
            </w:pPr>
            <w:r>
              <w:rPr>
                <w:rFonts w:ascii="Arial" w:hAnsi="Arial"/>
                <w:sz w:val="18"/>
              </w:rPr>
              <w:t xml:space="preserve">F3 — wind ⊥ transplanting onset</w:t>
            </w:r>
          </w:p>
        </w:tc>
        <w:tc>
          <w:tcPr/>
          <w:p>
            <w:pPr>
              <w:pStyle w:val="Compact"/>
              <w:spacing w:lineRule="auto" w:line="360"/>
              <w:jc w:val="left"/>
            </w:pPr>
            <w:r>
              <w:rPr>
                <w:rFonts w:ascii="Arial" w:hAnsi="Arial"/>
                <w:sz w:val="18"/>
              </w:rPr>
              <w:t xml:space="preserve">|r| ≤ 0.30</w:t>
            </w:r>
          </w:p>
        </w:tc>
        <w:tc>
          <w:tcPr/>
          <w:p>
            <w:pPr>
              <w:pStyle w:val="Compact"/>
              <w:spacing w:lineRule="auto" w:line="360"/>
              <w:jc w:val="left"/>
            </w:pPr>
            <w:r>
              <w:rPr>
                <w:rFonts w:ascii="Arial" w:hAnsi="Arial"/>
                <w:sz w:val="18"/>
              </w:rPr>
              <w:t xml:space="preserve">r = 0.08</w:t>
            </w:r>
          </w:p>
        </w:tc>
        <w:tc>
          <w:tcPr/>
          <w:p>
            <w:pPr>
              <w:pStyle w:val="Compact"/>
              <w:spacing w:lineRule="auto" w:line="360"/>
              <w:jc w:val="left"/>
            </w:pPr>
            <w:r>
              <w:rPr>
                <w:rFonts w:ascii="Arial" w:hAnsi="Arial"/>
                <w:sz w:val="18"/>
              </w:rPr>
              <w:t xml:space="preserve">+0.22</w:t>
            </w:r>
          </w:p>
        </w:tc>
        <w:tc>
          <w:tcPr/>
          <w:p>
            <w:pPr>
              <w:pStyle w:val="Compact"/>
              <w:spacing w:lineRule="auto" w:line="360"/>
              <w:jc w:val="left"/>
            </w:pPr>
            <w:r>
              <w:rPr>
                <w:rFonts w:ascii="Arial" w:hAnsi="Arial"/>
                <w:sz w:val="18"/>
              </w:rPr>
              <w:t xml:space="preserve">pass</w:t>
            </w:r>
          </w:p>
        </w:tc>
      </w:tr>
      <w:tr>
        <w:tc>
          <w:tcPr/>
          <w:p>
            <w:pPr>
              <w:pStyle w:val="Compact"/>
              <w:spacing w:lineRule="auto" w:line="360"/>
              <w:jc w:val="left"/>
            </w:pPr>
            <w:r>
              <w:rPr>
                <w:rFonts w:ascii="Arial" w:hAnsi="Arial"/>
                <w:sz w:val="18"/>
              </w:rPr>
              <w:t xml:space="preserve">F4 — persistent post-event VH deficit</w:t>
            </w:r>
          </w:p>
        </w:tc>
        <w:tc>
          <w:tcPr/>
          <w:p>
            <w:pPr>
              <w:pStyle w:val="Compact"/>
              <w:spacing w:lineRule="auto" w:line="360"/>
              <w:jc w:val="left"/>
            </w:pPr>
            <w:r>
              <w:rPr>
                <w:rFonts w:ascii="Arial" w:hAnsi="Arial"/>
                <w:sz w:val="18"/>
              </w:rPr>
              <w:t xml:space="preserve">≥ 1.0 dB at +30 d</w:t>
            </w:r>
          </w:p>
        </w:tc>
        <w:tc>
          <w:tcPr/>
          <w:p>
            <w:pPr>
              <w:pStyle w:val="Compact"/>
              <w:spacing w:lineRule="auto" w:line="360"/>
              <w:jc w:val="left"/>
            </w:pPr>
            <w:r>
              <w:rPr>
                <w:rFonts w:ascii="Arial" w:hAnsi="Arial"/>
                <w:sz w:val="18"/>
              </w:rPr>
              <w:t xml:space="preserve">1.8 dB</w:t>
            </w:r>
          </w:p>
        </w:tc>
        <w:tc>
          <w:tcPr/>
          <w:p>
            <w:pPr>
              <w:pStyle w:val="Compact"/>
              <w:spacing w:lineRule="auto" w:line="360"/>
              <w:jc w:val="left"/>
            </w:pPr>
            <w:r>
              <w:rPr>
                <w:rFonts w:ascii="Arial" w:hAnsi="Arial"/>
                <w:sz w:val="18"/>
              </w:rPr>
              <w:t xml:space="preserve">+0.8 dB</w:t>
            </w:r>
          </w:p>
        </w:tc>
        <w:tc>
          <w:tcPr/>
          <w:p>
            <w:pPr>
              <w:pStyle w:val="Compact"/>
              <w:spacing w:lineRule="auto" w:line="360"/>
              <w:jc w:val="left"/>
            </w:pPr>
            <w:r>
              <w:rPr>
                <w:rFonts w:ascii="Arial" w:hAnsi="Arial"/>
                <w:sz w:val="18"/>
              </w:rPr>
              <w:t xml:space="preserve">pass</w:t>
            </w:r>
          </w:p>
        </w:tc>
      </w:tr>
    </w:tbl>
    <w:p>
      <w:pPr>
        <w:spacing w:before="0" w:after="120" w:line="276" w:lineRule="auto"/>
      </w:pPr>
      <w:r>
        <w:rPr>
          <w:rFonts w:ascii="Arial" w:hAnsi="Arial"/>
          <w:i/>
          <w:sz w:val="19"/>
          <w:szCs w:val="19"/>
          <w:color w:val="595959"/>
        </w:rPr>
        <w:t xml:space="preserve">Abbreviations: VH = Vertical-transmit Horizontal-receive polarisation.</w:t>
      </w:r>
    </w:p>
    <w:p>
      <w:pPr>
        <w:pStyle w:val="BodyText"/>
        <w:spacing w:lineRule="auto" w:line="480"/>
        <w:jc w:val="both"/>
      </w:pPr>
      <w:r>
        <w:rPr>
          <w:rFonts w:ascii="Arial" w:hAnsi="Arial"/>
          <w:sz w:val="20"/>
        </w:rPr>
        <w:t xml:space="preserve">The numbers and pass/fail margins are written to</w:t>
      </w:r>
      <w:r>
        <w:rPr>
          <w:rFonts w:ascii="Arial" w:hAnsi="Arial"/>
          <w:sz w:val="20"/>
        </w:rPr>
        <w:t xml:space="preserve"> </w:t>
      </w:r>
      <w:r>
        <w:rPr>
          <w:rStyle w:val="VerbatimChar"/>
          <w:rFonts w:ascii="Arial" w:hAnsi="Arial"/>
          <w:sz w:val="20"/>
        </w:rPr>
        <w:t xml:space="preserve">analysis/results/rf_falsifiability_checks.csv</w:t>
      </w:r>
      <w:r>
        <w:rPr>
          <w:rFonts w:ascii="Arial" w:hAnsi="Arial"/>
          <w:sz w:val="20"/>
        </w:rPr>
        <w:t xml:space="preserve"> </w:t>
      </w:r>
      <w:r>
        <w:rPr>
          <w:rFonts w:ascii="Arial" w:hAnsi="Arial"/>
          <w:sz w:val="20"/>
        </w:rPr>
        <w:t xml:space="preserve">(emitted by Module 02 on every harness run).</w:t>
      </w:r>
    </w:p>
    <w:p>
      <w:pPr>
        <w:pStyle w:val="BodyText"/>
        <w:spacing w:lineRule="auto" w:line="480"/>
        <w:jc w:val="left"/>
      </w:pPr>
      <w:r>
        <w:rPr>
          <w:rFonts w:ascii="Arial" w:hAnsi="Arial"/>
          <w:b/>
          <w:bCs/>
          <w:sz w:val="20"/>
        </w:rPr>
        <w:t xml:space="preserve">Limitations</w:t>
      </w:r>
      <w:r>
        <w:rPr>
          <w:rFonts w:ascii="Arial" w:hAnsi="Arial"/>
          <w:sz w:val="20"/>
        </w:rPr>
        <w:t xml:space="preserve"> </w:t>
      </w:r>
      <w:r>
        <w:rPr>
          <w:rFonts w:ascii="Arial" w:hAnsi="Arial"/>
          <w:sz w:val="20"/>
        </w:rPr>
        <w:t xml:space="preserve">(declared up front for the reviewer):</w:t>
      </w:r>
    </w:p>
    <w:p>
      <w:pPr>
        <w:pStyle w:val="Compact"/>
        <w:numPr>
          <w:ilvl w:val="0"/>
          <w:numId w:val="1006"/>
        </w:numPr>
        <w:spacing w:lineRule="auto" w:line="480"/>
        <w:jc w:val="both"/>
      </w:pPr>
      <w:r>
        <w:rPr>
          <w:rFonts w:ascii="Arial" w:hAnsi="Arial"/>
          <w:sz w:val="20"/>
        </w:rPr>
        <w:t xml:space="preserve">C-band Sentinel-1 IW GRD is 6–12 d revisit; sub-daily surge dynamics are partially aliased. Mitigation: we use</w:t>
      </w:r>
      <w:r>
        <w:rPr>
          <w:rFonts w:ascii="Arial" w:hAnsi="Arial"/>
          <w:sz w:val="20"/>
        </w:rPr>
        <w:t xml:space="preserve"> </w:t>
      </w:r>
      <w:r>
        <w:rPr>
          <w:rFonts w:ascii="Arial" w:hAnsi="Arial"/>
          <w:i/>
          <w:iCs/>
          <w:sz w:val="20"/>
        </w:rPr>
        <w:t xml:space="preserve">event-window</w:t>
      </w:r>
      <w:r>
        <w:rPr>
          <w:rFonts w:ascii="Arial" w:hAnsi="Arial"/>
          <w:sz w:val="20"/>
        </w:rPr>
        <w:t xml:space="preserve"> </w:t>
      </w:r>
      <w:r>
        <w:rPr>
          <w:rFonts w:ascii="Arial" w:hAnsi="Arial"/>
          <w:sz w:val="20"/>
        </w:rPr>
        <w:t xml:space="preserve">aggregates (min, mean, ΔVH from baseline), not single-overpass values.</w:t>
      </w:r>
    </w:p>
    <w:p>
      <w:pPr>
        <w:pStyle w:val="Compact"/>
        <w:numPr>
          <w:ilvl w:val="0"/>
          <w:numId w:val="1006"/>
        </w:numPr>
        <w:spacing w:lineRule="auto" w:line="480"/>
        <w:jc w:val="both"/>
      </w:pPr>
      <w:r>
        <w:rPr>
          <w:rFonts w:ascii="Arial" w:hAnsi="Arial"/>
          <w:sz w:val="20"/>
        </w:rPr>
        <w:t xml:space="preserve">Incidence-angle range across IW swaths (29°–46°) modulates Bragg vs. specular regimes; we apply the standard incidence-angle correction (Filipponi 2019) before computing baselines. The correction residual is &lt; 0.5 dB and does not affect class separation.</w:t>
      </w:r>
    </w:p>
    <w:p>
      <w:pPr>
        <w:pStyle w:val="Compact"/>
        <w:numPr>
          <w:ilvl w:val="0"/>
          <w:numId w:val="1006"/>
        </w:numPr>
        <w:spacing w:lineRule="auto" w:line="480"/>
        <w:jc w:val="both"/>
      </w:pPr>
      <w:r>
        <w:rPr>
          <w:rFonts w:ascii="Arial" w:hAnsi="Arial"/>
          <w:sz w:val="20"/>
        </w:rPr>
        <w:t xml:space="preserve">Speckle noise on individual GRD scenes ≈ 1.5 dB; we apply a 5-look multilooking and a 30-day temporal Lee filter on the baseline channel.</w:t>
      </w:r>
    </w:p>
    <w:p>
      <w:pPr>
        <w:pStyle w:val="Compact"/>
        <w:numPr>
          <w:ilvl w:val="0"/>
          <w:numId w:val="1006"/>
        </w:numPr>
        <w:spacing w:lineRule="auto" w:line="480"/>
        <w:jc w:val="both"/>
      </w:pPr>
      <w:r>
        <w:rPr>
          <w:rFonts w:ascii="Arial" w:hAnsi="Arial"/>
          <w:sz w:val="20"/>
        </w:rPr>
        <w:t xml:space="preserve">Bulbul-class events at the very shallow end (≤ 5 cm pond depth, ≤ 3 d dwell) are at the radar sensitivity floor; the Module 02 confidence threshold (posterior &gt; 0.6) excludes the lowest-confidence positives, biasing toward false negatives at this boundary. This is conservative for the cyclonic-loss estimand: we under-, not over-, attribute damage to mechanism (B).</w:t>
      </w:r>
    </w:p>
    <w:p>
      <w:pPr>
        <w:spacing w:line="240" w:lineRule="auto"/>
      </w:pPr>
      <w:r>
        <w:rPr>
          <w:rFonts w:ascii="Arial" w:hAnsi="Arial"/>
          <w:sz w:val="20"/>
        </w:rPr>
        <w:pict>
          <v:rect style="width:0;height:1.5pt" o:hralign="center" o:hrstd="t" o:hr="t"/>
        </w:pict>
      </w:r>
    </w:p>
    <w:bookmarkEnd w:id="29"/>
    <w:bookmarkStart w:id="30" w:name="s3.8-pre-registration-trail"/>
    <w:p>
      <w:pPr>
        <w:pStyle w:val="Heading2"/>
        <w:spacing w:lineRule="auto" w:line="360"/>
      </w:pPr>
      <w:r>
        <w:rPr>
          <w:rFonts w:ascii="Arial" w:hAnsi="Arial"/>
        </w:rPr>
        <w:t xml:space="preserve">§S3.8 Pre-registration trail</w:t>
      </w:r>
    </w:p>
    <w:p>
      <w:pPr>
        <w:pStyle w:val="FirstParagraph"/>
        <w:spacing w:lineRule="auto" w:line="480"/>
        <w:jc w:val="both"/>
      </w:pPr>
      <w:r>
        <w:rPr>
          <w:rFonts w:ascii="Arial" w:hAnsi="Arial"/>
          <w:sz w:val="20"/>
        </w:rPr>
        <w:t xml:space="preserve">This note is the</w:t>
      </w:r>
      <w:r>
        <w:rPr>
          <w:rFonts w:ascii="Arial" w:hAnsi="Arial"/>
          <w:sz w:val="20"/>
        </w:rPr>
        <w:t xml:space="preserve"> </w:t>
      </w:r>
      <w:r>
        <w:rPr>
          <w:rFonts w:ascii="Arial" w:hAnsi="Arial"/>
          <w:i/>
          <w:iCs/>
          <w:sz w:val="20"/>
        </w:rPr>
        <w:t xml:space="preserve">post-hoc</w:t>
      </w:r>
      <w:r>
        <w:rPr>
          <w:rFonts w:ascii="Arial" w:hAnsi="Arial"/>
          <w:sz w:val="20"/>
        </w:rPr>
        <w:t xml:space="preserve"> </w:t>
      </w:r>
      <w:r>
        <w:rPr>
          <w:rFonts w:ascii="Arial" w:hAnsi="Arial"/>
          <w:sz w:val="20"/>
        </w:rPr>
        <w:t xml:space="preserve">rationale-and-calibration document for the saline-flood feature space declared in OSF pre-registration §2.3 (</w:t>
      </w:r>
      <w:r>
        <w:rPr>
          <w:rFonts w:ascii="Arial" w:hAnsi="Arial"/>
          <w:sz w:val="20"/>
        </w:rPr>
        <w:t xml:space="preserve">“</w:t>
      </w:r>
      <w:r>
        <w:rPr>
          <w:rFonts w:ascii="Arial" w:hAnsi="Arial"/>
          <w:sz w:val="20"/>
        </w:rPr>
        <w:t xml:space="preserve">Sentinel-1 dual-polarisation backscatter, with cross-ratio CR, will be used as the primary inundation discriminator; ERA5 wind will gate cyclonic events; JRC water mask will exclude permanent water</w:t>
      </w:r>
      <w:r>
        <w:rPr>
          <w:rFonts w:ascii="Arial" w:hAnsi="Arial"/>
          <w:sz w:val="20"/>
        </w:rPr>
        <w:t xml:space="preserve">”</w:t>
      </w:r>
      <w:r>
        <w:rPr>
          <w:rFonts w:ascii="Arial" w:hAnsi="Arial"/>
          <w:sz w:val="20"/>
        </w:rPr>
        <w:t xml:space="preserve">). The pre-registration committed to the</w:t>
      </w:r>
      <w:r>
        <w:rPr>
          <w:rFonts w:ascii="Arial" w:hAnsi="Arial"/>
          <w:sz w:val="20"/>
        </w:rPr>
        <w:t xml:space="preserve"> </w:t>
      </w:r>
      <w:r>
        <w:rPr>
          <w:rFonts w:ascii="Arial" w:hAnsi="Arial"/>
          <w:i/>
          <w:iCs/>
          <w:sz w:val="20"/>
        </w:rPr>
        <w:t xml:space="preserve">features</w:t>
      </w:r>
      <w:r>
        <w:rPr>
          <w:rFonts w:ascii="Arial" w:hAnsi="Arial"/>
          <w:sz w:val="20"/>
        </w:rPr>
        <w:t xml:space="preserve"> </w:t>
      </w:r>
      <w:r>
        <w:rPr>
          <w:rFonts w:ascii="Arial" w:hAnsi="Arial"/>
          <w:sz w:val="20"/>
        </w:rPr>
        <w:t xml:space="preserve">and the</w:t>
      </w:r>
      <w:r>
        <w:rPr>
          <w:rFonts w:ascii="Arial" w:hAnsi="Arial"/>
          <w:sz w:val="20"/>
        </w:rPr>
        <w:t xml:space="preserve"> </w:t>
      </w:r>
      <w:r>
        <w:rPr>
          <w:rFonts w:ascii="Arial" w:hAnsi="Arial"/>
          <w:i/>
          <w:iCs/>
          <w:sz w:val="20"/>
        </w:rPr>
        <w:t xml:space="preserve">gating logic</w:t>
      </w:r>
      <w:r>
        <w:rPr>
          <w:rFonts w:ascii="Arial" w:hAnsi="Arial"/>
          <w:sz w:val="20"/>
        </w:rPr>
        <w:t xml:space="preserve">. It did not commit to the canonical signatures in Table S9 — those are calibrated values, derived after pre-registration from the published radar literature, and pinned in v0.2.5. Any change to Table S9 in future versions will be flagged as a scope amendment on the OSF Wiki.</w:t>
      </w:r>
    </w:p>
    <w:p>
      <w:pPr>
        <w:pStyle w:val="BodyText"/>
        <w:spacing w:lineRule="auto" w:line="480"/>
        <w:jc w:val="left"/>
      </w:pPr>
      <w:r>
        <w:rPr>
          <w:rFonts w:ascii="Arial" w:hAnsi="Arial"/>
          <w:sz w:val="20"/>
        </w:rPr>
        <w:t xml:space="preserve">The OSF working project (</w:t>
      </w:r>
      <w:r>
        <w:rPr>
          <w:rStyle w:val="VerbatimChar"/>
          <w:rFonts w:ascii="Arial" w:hAnsi="Arial"/>
          <w:sz w:val="20"/>
        </w:rPr>
        <w:t xml:space="preserve">https://osf.io/3vua4</w:t>
      </w:r>
      <w:r>
        <w:rPr>
          <w:rFonts w:ascii="Arial" w:hAnsi="Arial"/>
          <w:sz w:val="20"/>
        </w:rPr>
        <w:t xml:space="preserve">) carries:</w:t>
      </w:r>
    </w:p>
    <w:p>
      <w:pPr>
        <w:pStyle w:val="Compact"/>
        <w:numPr>
          <w:ilvl w:val="0"/>
          <w:numId w:val="1007"/>
        </w:numPr>
        <w:spacing w:lineRule="auto" w:line="480"/>
        <w:jc w:val="left"/>
      </w:pPr>
      <w:r>
        <w:rPr>
          <w:rFonts w:ascii="Arial" w:hAnsi="Arial"/>
          <w:sz w:val="20"/>
        </w:rPr>
        <w:t xml:space="preserve">the locked Module 12 source (</w:t>
      </w:r>
      <w:r>
        <w:rPr>
          <w:rStyle w:val="VerbatimChar"/>
          <w:rFonts w:ascii="Arial" w:hAnsi="Arial"/>
          <w:sz w:val="20"/>
        </w:rPr>
        <w:t xml:space="preserve">analysis/12_backscatter_signatures.py</w:t>
      </w:r>
      <w:r>
        <w:rPr>
          <w:rFonts w:ascii="Arial" w:hAnsi="Arial"/>
          <w:sz w:val="20"/>
        </w:rPr>
        <w:t xml:space="preserve">);</w:t>
      </w:r>
    </w:p>
    <w:p>
      <w:pPr>
        <w:pStyle w:val="Compact"/>
        <w:numPr>
          <w:ilvl w:val="0"/>
          <w:numId w:val="1007"/>
        </w:numPr>
        <w:spacing w:lineRule="auto" w:line="480"/>
        <w:jc w:val="left"/>
      </w:pPr>
      <w:r>
        <w:rPr>
          <w:rFonts w:ascii="Arial" w:hAnsi="Arial"/>
          <w:sz w:val="20"/>
        </w:rPr>
        <w:t xml:space="preserve">this note (</w:t>
      </w:r>
      <w:r>
        <w:rPr>
          <w:rStyle w:val="VerbatimChar"/>
          <w:rFonts w:ascii="Arial" w:hAnsi="Arial"/>
          <w:sz w:val="20"/>
        </w:rPr>
        <w:t xml:space="preserve">manuscript/supplement/methods_module12_backscatter.md</w:t>
      </w:r>
      <w:r>
        <w:rPr>
          <w:rFonts w:ascii="Arial" w:hAnsi="Arial"/>
          <w:sz w:val="20"/>
        </w:rPr>
        <w:t xml:space="preserve">);</w:t>
      </w:r>
    </w:p>
    <w:p>
      <w:pPr>
        <w:pStyle w:val="Compact"/>
        <w:numPr>
          <w:ilvl w:val="0"/>
          <w:numId w:val="1007"/>
        </w:numPr>
        <w:spacing w:lineRule="auto" w:line="480"/>
        <w:jc w:val="left"/>
      </w:pPr>
      <w:r>
        <w:rPr>
          <w:rFonts w:ascii="Arial" w:hAnsi="Arial"/>
          <w:sz w:val="20"/>
        </w:rPr>
        <w:t xml:space="preserve">the canonical signature CSV (</w:t>
      </w:r>
      <w:r>
        <w:rPr>
          <w:rStyle w:val="VerbatimChar"/>
          <w:rFonts w:ascii="Arial" w:hAnsi="Arial"/>
          <w:sz w:val="20"/>
        </w:rPr>
        <w:t xml:space="preserve">analysis/results/backscatter_signatures.csv</w:t>
      </w:r>
      <w:r>
        <w:rPr>
          <w:rFonts w:ascii="Arial" w:hAnsi="Arial"/>
          <w:sz w:val="20"/>
        </w:rPr>
        <w:t xml:space="preserve">);</w:t>
      </w:r>
    </w:p>
    <w:p>
      <w:pPr>
        <w:pStyle w:val="Compact"/>
        <w:numPr>
          <w:ilvl w:val="0"/>
          <w:numId w:val="1007"/>
        </w:numPr>
        <w:spacing w:line="276" w:lineRule="auto"/>
        <w:jc w:val="both"/>
      </w:pPr>
      <w:r>
        <w:rPr>
          <w:rFonts w:ascii="Arial" w:hAnsi="Arial"/>
          <w:sz w:val="20"/>
        </w:rPr>
        <w:t xml:space="preserve">Table S9 docx and Figure S2 PDF/PNG;</w:t>
      </w:r>
    </w:p>
    <w:p>
      <w:pPr>
        <w:pStyle w:val="Compact"/>
        <w:numPr>
          <w:ilvl w:val="0"/>
          <w:numId w:val="1007"/>
        </w:numPr>
        <w:spacing w:lineRule="auto" w:line="480"/>
        <w:jc w:val="both"/>
      </w:pPr>
      <w:r>
        <w:rPr>
          <w:rFonts w:ascii="Arial" w:hAnsi="Arial"/>
          <w:sz w:val="20"/>
        </w:rPr>
        <w:t xml:space="preserve">the Module 02 random-forest feature-importance CSV and falsifiability-check CSV (</w:t>
      </w:r>
      <w:r>
        <w:rPr>
          <w:rStyle w:val="VerbatimChar"/>
          <w:rFonts w:ascii="Arial" w:hAnsi="Arial"/>
          <w:sz w:val="20"/>
        </w:rPr>
        <w:t xml:space="preserve">rf_feature_importance.csv</w:t>
      </w:r>
      <w:r>
        <w:rPr>
          <w:rFonts w:ascii="Arial" w:hAnsi="Arial"/>
          <w:sz w:val="20"/>
        </w:rPr>
        <w:t xml:space="preserve">,</w:t>
      </w:r>
      <w:r>
        <w:rPr>
          <w:rFonts w:ascii="Arial" w:hAnsi="Arial"/>
          <w:sz w:val="20"/>
        </w:rPr>
        <w:t xml:space="preserve"> </w:t>
      </w:r>
      <w:r>
        <w:rPr>
          <w:rStyle w:val="VerbatimChar"/>
          <w:rFonts w:ascii="Arial" w:hAnsi="Arial"/>
          <w:sz w:val="20"/>
        </w:rPr>
        <w:t xml:space="preserve">rf_falsifiability_checks.csv</w:t>
      </w:r>
      <w:r>
        <w:rPr>
          <w:rFonts w:ascii="Arial" w:hAnsi="Arial"/>
          <w:sz w:val="20"/>
        </w:rPr>
        <w:t xml:space="preserve">), emitted on every harness run (Stage 02).</w:t>
      </w:r>
    </w:p>
    <w:p>
      <w:pPr>
        <w:spacing w:line="240" w:lineRule="auto"/>
      </w:pPr>
      <w:r>
        <w:rPr>
          <w:rFonts w:ascii="Arial" w:hAnsi="Arial"/>
          <w:sz w:val="20"/>
        </w:rPr>
        <w:pict>
          <v:rect style="width:0;height:1.5pt" o:hralign="center" o:hrstd="t" o:hr="t"/>
        </w:pict>
      </w:r>
    </w:p>
    <w:p>
      <w:pPr>
        <w:pStyle w:val="FirstParagraph"/>
        <w:spacing w:lineRule="auto" w:line="480"/>
        <w:jc w:val="left"/>
      </w:pPr>
      <w:r>
        <w:rPr>
          <w:rFonts w:ascii="Arial" w:hAnsi="Arial"/>
          <w:b/>
          <w:bCs/>
          <w:sz w:val="20"/>
        </w:rPr>
        <w:t xml:space="preserve">References</w:t>
      </w:r>
      <w:r>
        <w:rPr>
          <w:rFonts w:ascii="Arial" w:hAnsi="Arial"/>
          <w:sz w:val="20"/>
        </w:rPr>
        <w:t xml:space="preserve"> </w:t>
      </w:r>
      <w:r>
        <w:rPr>
          <w:rFonts w:ascii="Arial" w:hAnsi="Arial"/>
          <w:sz w:val="20"/>
        </w:rPr>
        <w:t xml:space="preserve">(full reference list in the main manuscript):</w:t>
      </w:r>
    </w:p>
    <w:p>
      <w:pPr>
        <w:pStyle w:val="Compact"/>
        <w:numPr>
          <w:ilvl w:val="0"/>
          <w:numId w:val="1008"/>
        </w:numPr>
        <w:spacing w:lineRule="auto" w:line="480"/>
        <w:jc w:val="left"/>
      </w:pPr>
      <w:r>
        <w:rPr>
          <w:rFonts w:ascii="Arial" w:hAnsi="Arial"/>
          <w:sz w:val="20"/>
        </w:rPr>
        <w:t xml:space="preserve">Filipponi, F. (2019).</w:t>
      </w:r>
      <w:r>
        <w:rPr>
          <w:rFonts w:ascii="Arial" w:hAnsi="Arial"/>
          <w:sz w:val="20"/>
        </w:rPr>
        <w:t xml:space="preserve"> </w:t>
      </w:r>
      <w:r>
        <w:rPr>
          <w:rFonts w:ascii="Arial" w:hAnsi="Arial"/>
          <w:i/>
          <w:iCs/>
          <w:sz w:val="20"/>
        </w:rPr>
        <w:t xml:space="preserve">Sentinel-1 GRD Preprocessing Workflow.</w:t>
      </w:r>
      <w:r>
        <w:rPr>
          <w:rFonts w:ascii="Arial" w:hAnsi="Arial"/>
          <w:sz w:val="20"/>
        </w:rPr>
        <w:t xml:space="preserve"> </w:t>
      </w:r>
      <w:r>
        <w:rPr>
          <w:rFonts w:ascii="Arial" w:hAnsi="Arial"/>
          <w:sz w:val="20"/>
        </w:rPr>
        <w:t xml:space="preserve">Proceedings 18(1):11.</w:t>
      </w:r>
    </w:p>
    <w:p>
      <w:pPr>
        <w:pStyle w:val="Compact"/>
        <w:numPr>
          <w:ilvl w:val="0"/>
          <w:numId w:val="1008"/>
        </w:numPr>
        <w:spacing w:lineRule="auto" w:line="480"/>
        <w:jc w:val="both"/>
      </w:pPr>
      <w:r>
        <w:rPr>
          <w:rFonts w:ascii="Arial" w:hAnsi="Arial"/>
          <w:sz w:val="20"/>
        </w:rPr>
        <w:t xml:space="preserve">Hoshikawa, K., Fujihara, Y., Siev, S., et al. (2023).</w:t>
      </w:r>
      <w:r>
        <w:rPr>
          <w:rFonts w:ascii="Arial" w:hAnsi="Arial"/>
          <w:sz w:val="20"/>
        </w:rPr>
        <w:t xml:space="preserve"> </w:t>
      </w:r>
      <w:r>
        <w:rPr>
          <w:rFonts w:ascii="Arial" w:hAnsi="Arial"/>
          <w:i/>
          <w:iCs/>
          <w:sz w:val="20"/>
        </w:rPr>
        <w:t xml:space="preserve">Mapping rice paddy inundation under monsoon-flood and irrigation-flood regimes using dual-polarimetric Sentinel-1 in the Mekong Delta.</w:t>
      </w:r>
      <w:r>
        <w:rPr>
          <w:rFonts w:ascii="Arial" w:hAnsi="Arial"/>
          <w:sz w:val="20"/>
        </w:rPr>
        <w:t xml:space="preserve"> </w:t>
      </w:r>
      <w:r>
        <w:rPr>
          <w:rFonts w:ascii="Arial" w:hAnsi="Arial"/>
          <w:sz w:val="20"/>
        </w:rPr>
        <w:t xml:space="preserve">Remote Sensing of Environment 286:113417.</w:t>
      </w:r>
    </w:p>
    <w:p>
      <w:pPr>
        <w:pStyle w:val="Compact"/>
        <w:numPr>
          <w:ilvl w:val="0"/>
          <w:numId w:val="1008"/>
        </w:numPr>
        <w:spacing w:lineRule="auto" w:line="480"/>
        <w:jc w:val="both"/>
      </w:pPr>
      <w:r>
        <w:rPr>
          <w:rFonts w:ascii="Arial" w:hAnsi="Arial"/>
          <w:sz w:val="20"/>
        </w:rPr>
        <w:t xml:space="preserve">Konkathi, P., Shetty, A., Kolluru, V. (2024).</w:t>
      </w:r>
      <w:r>
        <w:rPr>
          <w:rFonts w:ascii="Arial" w:hAnsi="Arial"/>
          <w:sz w:val="20"/>
        </w:rPr>
        <w:t xml:space="preserve"> </w:t>
      </w:r>
      <w:r>
        <w:rPr>
          <w:rFonts w:ascii="Arial" w:hAnsi="Arial"/>
          <w:i/>
          <w:iCs/>
          <w:sz w:val="20"/>
        </w:rPr>
        <w:t xml:space="preserve">Saline-water inundation detection from Sentinel-1 SAR: a Bay of Bengal case study.</w:t>
      </w:r>
      <w:r>
        <w:rPr>
          <w:rFonts w:ascii="Arial" w:hAnsi="Arial"/>
          <w:sz w:val="20"/>
        </w:rPr>
        <w:t xml:space="preserve"> </w:t>
      </w:r>
      <w:r>
        <w:rPr>
          <w:rFonts w:ascii="Arial" w:hAnsi="Arial"/>
          <w:sz w:val="20"/>
        </w:rPr>
        <w:t xml:space="preserve">International Journal of Applied Earth Observation and Geoinformation 128:103745.</w:t>
      </w:r>
    </w:p>
    <w:p>
      <w:pPr>
        <w:pStyle w:val="Compact"/>
        <w:numPr>
          <w:ilvl w:val="0"/>
          <w:numId w:val="1008"/>
        </w:numPr>
        <w:spacing w:lineRule="auto" w:line="480"/>
        <w:jc w:val="left"/>
      </w:pPr>
      <w:r>
        <w:rPr>
          <w:rFonts w:ascii="Arial" w:hAnsi="Arial"/>
          <w:sz w:val="20"/>
        </w:rPr>
        <w:t xml:space="preserve">Lee, J.-S., Pottier, E. (2009).</w:t>
      </w:r>
      <w:r>
        <w:rPr>
          <w:rFonts w:ascii="Arial" w:hAnsi="Arial"/>
          <w:sz w:val="20"/>
        </w:rPr>
        <w:t xml:space="preserve"> </w:t>
      </w:r>
      <w:r>
        <w:rPr>
          <w:rFonts w:ascii="Arial" w:hAnsi="Arial"/>
          <w:i/>
          <w:iCs/>
          <w:sz w:val="20"/>
        </w:rPr>
        <w:t xml:space="preserve">Polarimetric Radar Imaging: From Basics to Applications.</w:t>
      </w:r>
      <w:r>
        <w:rPr>
          <w:rFonts w:ascii="Arial" w:hAnsi="Arial"/>
          <w:sz w:val="20"/>
        </w:rPr>
        <w:t xml:space="preserve"> </w:t>
      </w:r>
      <w:r>
        <w:rPr>
          <w:rFonts w:ascii="Arial" w:hAnsi="Arial"/>
          <w:sz w:val="20"/>
        </w:rPr>
        <w:t xml:space="preserve">CRC Press.</w:t>
      </w:r>
    </w:p>
    <w:p>
      <w:pPr>
        <w:pStyle w:val="Compact"/>
        <w:numPr>
          <w:ilvl w:val="0"/>
          <w:numId w:val="1008"/>
        </w:numPr>
        <w:spacing w:lineRule="auto" w:line="480"/>
        <w:jc w:val="both"/>
      </w:pPr>
      <w:r>
        <w:rPr>
          <w:rFonts w:ascii="Arial" w:hAnsi="Arial"/>
          <w:sz w:val="20"/>
        </w:rPr>
        <w:t xml:space="preserve">Wali, E., Jain, M., Mondal, P. (2020).</w:t>
      </w:r>
      <w:r>
        <w:rPr>
          <w:rFonts w:ascii="Arial" w:hAnsi="Arial"/>
          <w:sz w:val="20"/>
        </w:rPr>
        <w:t xml:space="preserve"> </w:t>
      </w:r>
      <w:r>
        <w:rPr>
          <w:rFonts w:ascii="Arial" w:hAnsi="Arial"/>
          <w:i/>
          <w:iCs/>
          <w:sz w:val="20"/>
        </w:rPr>
        <w:t xml:space="preserve">Detecting flooded rice with synthetic aperture radar in cyclone-affected coastal Bangladesh.</w:t>
      </w:r>
      <w:r>
        <w:rPr>
          <w:rFonts w:ascii="Arial" w:hAnsi="Arial"/>
          <w:sz w:val="20"/>
        </w:rPr>
        <w:t xml:space="preserve"> </w:t>
      </w:r>
      <w:r>
        <w:rPr>
          <w:rFonts w:ascii="Arial" w:hAnsi="Arial"/>
          <w:sz w:val="20"/>
        </w:rPr>
        <w:t xml:space="preserve">Remote Sensing of Environment 251:112063.</w:t>
      </w:r>
    </w:p>
    <w:bookmarkEnd w:id="30"/>
    <w:bookmarkEnd w:id="31"/>
    <w:p>
      <w:pPr>
        <w:spacing w:lineRule="auto" w:line="480"/>
        <w:jc w:val="left"/>
      </w:pPr>
      <w:r>
        <w:rPr>
          <w:rFonts w:ascii="Arial" w:hAnsi="Arial"/>
          <w:sz w:val="20"/>
        </w:rPr>
        <w:br w:type="page"/>
      </w:r>
    </w:p>
    <w:p>
      <w:pPr>
        <w:keepNext/>
        <w:spacing w:before="240" w:after="120" w:line="276" w:lineRule="auto"/>
        <w:jc w:val="both"/>
      </w:pPr>
      <w:bookmarkStart w:id="58150" w:name="table_s1"/>
      <w:r>
        <w:rPr>
          <w:rFonts w:ascii="Arial" w:hAnsi="Arial"/>
          <w:b/>
          <w:color w:val="1F3A5F"/>
          <w:sz w:val="32"/>
        </w:rPr>
        <w:t>Table S1 — Static TWFE-DiD point estimates</w:t>
      </w:r>
      <w:bookmarkEnd w:id="58150"/>
    </w:p>
    <w:p>
      <w:pPr>
        <w:spacing w:line="276" w:lineRule="auto"/>
        <w:jc w:val="both"/>
      </w:pPr>
      <w:r>
        <w:rPr>
          <w:rFonts w:ascii="Arial" w:hAnsi="Arial"/>
          <w:b/>
          <w:sz w:val="20"/>
        </w:rPr>
        <w:t xml:space="preserve">Table S1.  Static difference-in-differences estimates of pre-Kharif cyclone effect on rice phenology (8 districts × 8 years; SEs clustered at the district-level).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spacing w:lineRule="auto" w:line="360"/>
              <w:jc w:val="left"/>
            </w:pPr>
            <w:r>
              <w:rPr>
                <w:rFonts w:ascii="Arial" w:hAnsi="Arial"/>
                <w:b/>
                <w:sz w:val="20"/>
              </w:rPr>
              <w:t>Pipeline</w:t>
            </w:r>
          </w:p>
        </w:tc>
        <w:tc>
          <w:tcPr>
            <w:tcW w:type="dxa" w:w="785"/>
          </w:tcPr>
          <w:p>
            <w:pPr>
              <w:spacing w:lineRule="auto" w:line="360"/>
              <w:jc w:val="left"/>
            </w:pPr>
            <w:r>
              <w:rPr>
                <w:rFonts w:ascii="Arial" w:hAnsi="Arial"/>
                <w:b/>
                <w:sz w:val="20"/>
              </w:rPr>
              <w:t>Metric</w:t>
            </w:r>
          </w:p>
        </w:tc>
        <w:tc>
          <w:tcPr>
            <w:tcW w:type="dxa" w:w="785"/>
          </w:tcPr>
          <w:p>
            <w:pPr>
              <w:spacing w:lineRule="auto" w:line="360"/>
              <w:jc w:val="left"/>
            </w:pPr>
            <w:r>
              <w:rPr>
                <w:rFonts w:ascii="Arial" w:hAnsi="Arial"/>
                <w:b/>
                <w:sz w:val="20"/>
              </w:rPr>
              <w:t>N obs</w:t>
            </w:r>
          </w:p>
        </w:tc>
        <w:tc>
          <w:tcPr>
            <w:tcW w:type="dxa" w:w="785"/>
          </w:tcPr>
          <w:p>
            <w:pPr>
              <w:spacing w:lineRule="auto" w:line="360"/>
              <w:jc w:val="left"/>
            </w:pPr>
            <w:r>
              <w:rPr>
                <w:rFonts w:ascii="Arial" w:hAnsi="Arial"/>
                <w:b/>
                <w:sz w:val="20"/>
              </w:rPr>
              <w:t>N dist.</w:t>
            </w:r>
          </w:p>
        </w:tc>
        <w:tc>
          <w:tcPr>
            <w:tcW w:type="dxa" w:w="785"/>
          </w:tcPr>
          <w:p>
            <w:pPr>
              <w:spacing w:lineRule="auto" w:line="360"/>
              <w:jc w:val="left"/>
            </w:pPr>
            <w:r>
              <w:rPr>
                <w:rFonts w:ascii="Arial" w:hAnsi="Arial"/>
                <w:b/>
                <w:sz w:val="20"/>
              </w:rPr>
              <w:t>τ (d)</w:t>
            </w:r>
          </w:p>
        </w:tc>
        <w:tc>
          <w:tcPr>
            <w:tcW w:type="dxa" w:w="785"/>
          </w:tcPr>
          <w:p>
            <w:pPr>
              <w:spacing w:lineRule="auto" w:line="360"/>
              <w:jc w:val="left"/>
            </w:pPr>
            <w:r>
              <w:rPr>
                <w:rFonts w:ascii="Arial" w:hAnsi="Arial"/>
                <w:b/>
                <w:sz w:val="20"/>
              </w:rPr>
              <w:t>SE</w:t>
            </w:r>
          </w:p>
        </w:tc>
        <w:tc>
          <w:tcPr>
            <w:tcW w:type="dxa" w:w="785"/>
          </w:tcPr>
          <w:p>
            <w:pPr>
              <w:spacing w:lineRule="auto" w:line="360"/>
              <w:jc w:val="left"/>
            </w:pPr>
            <w:r>
              <w:rPr>
                <w:rFonts w:ascii="Arial" w:hAnsi="Arial"/>
                <w:b/>
                <w:sz w:val="20"/>
              </w:rPr>
              <w:t>t</w:t>
            </w:r>
          </w:p>
        </w:tc>
        <w:tc>
          <w:tcPr>
            <w:tcW w:type="dxa" w:w="785"/>
          </w:tcPr>
          <w:p>
            <w:pPr>
              <w:spacing w:lineRule="auto" w:line="360"/>
              <w:jc w:val="left"/>
            </w:pPr>
            <w:r>
              <w:rPr>
                <w:rFonts w:ascii="Arial" w:hAnsi="Arial"/>
                <w:b/>
                <w:sz w:val="20"/>
              </w:rPr>
              <w:t>p</w:t>
            </w:r>
          </w:p>
        </w:tc>
        <w:tc>
          <w:tcPr>
            <w:tcW w:type="dxa" w:w="785"/>
          </w:tcPr>
          <w:p>
            <w:pPr>
              <w:spacing w:lineRule="auto" w:line="360"/>
              <w:jc w:val="left"/>
            </w:pPr>
            <w:r>
              <w:rPr>
                <w:rFonts w:ascii="Arial" w:hAnsi="Arial"/>
                <w:b/>
                <w:sz w:val="20"/>
              </w:rPr>
              <w:t>CI₂.₅</w:t>
            </w:r>
          </w:p>
        </w:tc>
        <w:tc>
          <w:tcPr>
            <w:tcW w:type="dxa" w:w="785"/>
          </w:tcPr>
          <w:p>
            <w:pPr>
              <w:spacing w:lineRule="auto" w:line="360"/>
              <w:jc w:val="left"/>
            </w:pPr>
            <w:r>
              <w:rPr>
                <w:rFonts w:ascii="Arial" w:hAnsi="Arial"/>
                <w:b/>
                <w:sz w:val="20"/>
              </w:rPr>
              <w:t>CI₉₇.₅</w:t>
            </w:r>
          </w:p>
        </w:tc>
        <w:tc>
          <w:tcPr>
            <w:tcW w:type="dxa" w:w="785"/>
          </w:tcPr>
          <w:p>
            <w:pPr>
              <w:spacing w:lineRule="auto" w:line="360"/>
              <w:jc w:val="left"/>
            </w:pPr>
            <w:r>
              <w:rPr>
                <w:rFonts w:ascii="Arial" w:hAnsi="Arial"/>
                <w:b/>
                <w:sz w:val="20"/>
              </w:rPr>
              <w:t>R²ᵥᵥ</w:t>
            </w:r>
          </w:p>
        </w:tc>
      </w:tr>
      <w:tr>
        <w:tc>
          <w:tcPr>
            <w:tcW w:type="dxa" w:w="785"/>
          </w:tcPr>
          <w:p>
            <w:pPr>
              <w:spacing w:lineRule="auto" w:line="360"/>
              <w:jc w:val="left"/>
            </w:pPr>
            <w:r>
              <w:rPr>
                <w:rFonts w:ascii="Arial" w:hAnsi="Arial"/>
                <w:sz w:val="20"/>
              </w:rPr>
              <w:t>raw</w:t>
            </w:r>
          </w:p>
        </w:tc>
        <w:tc>
          <w:tcPr>
            <w:tcW w:type="dxa" w:w="785"/>
          </w:tcPr>
          <w:p>
            <w:pPr>
              <w:spacing w:lineRule="auto" w:line="360"/>
              <w:jc w:val="left"/>
            </w:pPr>
            <w:r>
              <w:rPr>
                <w:rFonts w:ascii="Arial" w:hAnsi="Arial"/>
                <w:sz w:val="20"/>
              </w:rPr>
              <w:t>SOS</w:t>
            </w:r>
          </w:p>
        </w:tc>
        <w:tc>
          <w:tcPr>
            <w:tcW w:type="dxa" w:w="785"/>
          </w:tcPr>
          <w:p>
            <w:pPr>
              <w:spacing w:lineRule="auto" w:line="360"/>
              <w:jc w:val="left"/>
            </w:pPr>
            <w:r>
              <w:rPr>
                <w:rFonts w:ascii="Arial" w:hAnsi="Arial"/>
                <w:sz w:val="20"/>
              </w:rPr>
              <w:t>64</w:t>
            </w:r>
          </w:p>
        </w:tc>
        <w:tc>
          <w:tcPr>
            <w:tcW w:type="dxa" w:w="785"/>
          </w:tcPr>
          <w:p>
            <w:pPr>
              <w:spacing w:lineRule="auto" w:line="360"/>
              <w:jc w:val="left"/>
            </w:pPr>
            <w:r>
              <w:rPr>
                <w:rFonts w:ascii="Arial" w:hAnsi="Arial"/>
                <w:sz w:val="20"/>
              </w:rPr>
              <w:t>8</w:t>
            </w:r>
          </w:p>
        </w:tc>
        <w:tc>
          <w:tcPr>
            <w:tcW w:type="dxa" w:w="785"/>
          </w:tcPr>
          <w:p>
            <w:pPr>
              <w:spacing w:lineRule="auto" w:line="360"/>
              <w:jc w:val="left"/>
            </w:pPr>
            <w:r>
              <w:rPr>
                <w:rFonts w:ascii="Arial" w:hAnsi="Arial"/>
                <w:sz w:val="20"/>
              </w:rPr>
              <w:t>+15.289</w:t>
            </w:r>
          </w:p>
        </w:tc>
        <w:tc>
          <w:tcPr>
            <w:tcW w:type="dxa" w:w="785"/>
          </w:tcPr>
          <w:p>
            <w:pPr>
              <w:spacing w:lineRule="auto" w:line="360"/>
              <w:jc w:val="left"/>
            </w:pPr>
            <w:r>
              <w:rPr>
                <w:rFonts w:ascii="Arial" w:hAnsi="Arial"/>
                <w:sz w:val="20"/>
              </w:rPr>
              <w:t>17.328</w:t>
            </w:r>
          </w:p>
        </w:tc>
        <w:tc>
          <w:tcPr>
            <w:tcW w:type="dxa" w:w="785"/>
          </w:tcPr>
          <w:p>
            <w:pPr>
              <w:spacing w:lineRule="auto" w:line="360"/>
              <w:jc w:val="left"/>
            </w:pPr>
            <w:r>
              <w:rPr>
                <w:rFonts w:ascii="Arial" w:hAnsi="Arial"/>
                <w:sz w:val="20"/>
              </w:rPr>
              <w:t>0.882</w:t>
            </w:r>
          </w:p>
        </w:tc>
        <w:tc>
          <w:tcPr>
            <w:tcW w:type="dxa" w:w="785"/>
          </w:tcPr>
          <w:p>
            <w:pPr>
              <w:spacing w:lineRule="auto" w:line="360"/>
              <w:jc w:val="left"/>
            </w:pPr>
            <w:r>
              <w:rPr>
                <w:rFonts w:ascii="Arial" w:hAnsi="Arial"/>
                <w:sz w:val="20"/>
              </w:rPr>
              <w:t>0.378</w:t>
            </w:r>
          </w:p>
        </w:tc>
        <w:tc>
          <w:tcPr>
            <w:tcW w:type="dxa" w:w="785"/>
          </w:tcPr>
          <w:p>
            <w:pPr>
              <w:spacing w:lineRule="auto" w:line="360"/>
              <w:jc w:val="left"/>
            </w:pPr>
            <w:r>
              <w:rPr>
                <w:rFonts w:ascii="Arial" w:hAnsi="Arial"/>
                <w:sz w:val="20"/>
              </w:rPr>
              <w:t>-18.673</w:t>
            </w:r>
          </w:p>
        </w:tc>
        <w:tc>
          <w:tcPr>
            <w:tcW w:type="dxa" w:w="785"/>
          </w:tcPr>
          <w:p>
            <w:pPr>
              <w:spacing w:lineRule="auto" w:line="360"/>
              <w:jc w:val="left"/>
            </w:pPr>
            <w:r>
              <w:rPr>
                <w:rFonts w:ascii="Arial" w:hAnsi="Arial"/>
                <w:sz w:val="20"/>
              </w:rPr>
              <w:t>49.250</w:t>
            </w:r>
          </w:p>
        </w:tc>
        <w:tc>
          <w:tcPr>
            <w:tcW w:type="dxa" w:w="785"/>
          </w:tcPr>
          <w:p>
            <w:pPr>
              <w:spacing w:lineRule="auto" w:line="360"/>
              <w:jc w:val="left"/>
            </w:pPr>
            <w:r>
              <w:rPr>
                <w:rFonts w:ascii="Arial" w:hAnsi="Arial"/>
                <w:sz w:val="20"/>
              </w:rPr>
              <w:t>0.013</w:t>
            </w:r>
          </w:p>
        </w:tc>
      </w:tr>
      <w:tr>
        <w:tc>
          <w:tcPr>
            <w:tcW w:type="dxa" w:w="785"/>
          </w:tcPr>
          <w:p>
            <w:pPr>
              <w:spacing w:lineRule="auto" w:line="360"/>
              <w:jc w:val="left"/>
            </w:pPr>
            <w:r>
              <w:rPr>
                <w:rFonts w:ascii="Arial" w:hAnsi="Arial"/>
                <w:sz w:val="20"/>
              </w:rPr>
              <w:t>raw</w:t>
            </w:r>
          </w:p>
        </w:tc>
        <w:tc>
          <w:tcPr>
            <w:tcW w:type="dxa" w:w="785"/>
          </w:tcPr>
          <w:p>
            <w:pPr>
              <w:spacing w:lineRule="auto" w:line="360"/>
              <w:jc w:val="left"/>
            </w:pPr>
            <w:r>
              <w:rPr>
                <w:rFonts w:ascii="Arial" w:hAnsi="Arial"/>
                <w:sz w:val="20"/>
              </w:rPr>
              <w:t>POS</w:t>
            </w:r>
          </w:p>
        </w:tc>
        <w:tc>
          <w:tcPr>
            <w:tcW w:type="dxa" w:w="785"/>
          </w:tcPr>
          <w:p>
            <w:pPr>
              <w:spacing w:lineRule="auto" w:line="360"/>
              <w:jc w:val="left"/>
            </w:pPr>
            <w:r>
              <w:rPr>
                <w:rFonts w:ascii="Arial" w:hAnsi="Arial"/>
                <w:sz w:val="20"/>
              </w:rPr>
              <w:t>64</w:t>
            </w:r>
          </w:p>
        </w:tc>
        <w:tc>
          <w:tcPr>
            <w:tcW w:type="dxa" w:w="785"/>
          </w:tcPr>
          <w:p>
            <w:pPr>
              <w:spacing w:lineRule="auto" w:line="360"/>
              <w:jc w:val="left"/>
            </w:pPr>
            <w:r>
              <w:rPr>
                <w:rFonts w:ascii="Arial" w:hAnsi="Arial"/>
                <w:sz w:val="20"/>
              </w:rPr>
              <w:t>8</w:t>
            </w:r>
          </w:p>
        </w:tc>
        <w:tc>
          <w:tcPr>
            <w:tcW w:type="dxa" w:w="785"/>
          </w:tcPr>
          <w:p>
            <w:pPr>
              <w:spacing w:lineRule="auto" w:line="360"/>
              <w:jc w:val="left"/>
            </w:pPr>
            <w:r>
              <w:rPr>
                <w:rFonts w:ascii="Arial" w:hAnsi="Arial"/>
                <w:sz w:val="20"/>
              </w:rPr>
              <w:t>-3.587</w:t>
            </w:r>
          </w:p>
        </w:tc>
        <w:tc>
          <w:tcPr>
            <w:tcW w:type="dxa" w:w="785"/>
          </w:tcPr>
          <w:p>
            <w:pPr>
              <w:spacing w:lineRule="auto" w:line="360"/>
              <w:jc w:val="left"/>
            </w:pPr>
            <w:r>
              <w:rPr>
                <w:rFonts w:ascii="Arial" w:hAnsi="Arial"/>
                <w:sz w:val="20"/>
              </w:rPr>
              <w:t>2.882</w:t>
            </w:r>
          </w:p>
        </w:tc>
        <w:tc>
          <w:tcPr>
            <w:tcW w:type="dxa" w:w="785"/>
          </w:tcPr>
          <w:p>
            <w:pPr>
              <w:spacing w:lineRule="auto" w:line="360"/>
              <w:jc w:val="left"/>
            </w:pPr>
            <w:r>
              <w:rPr>
                <w:rFonts w:ascii="Arial" w:hAnsi="Arial"/>
                <w:sz w:val="20"/>
              </w:rPr>
              <w:t>-1.245</w:t>
            </w:r>
          </w:p>
        </w:tc>
        <w:tc>
          <w:tcPr>
            <w:tcW w:type="dxa" w:w="785"/>
          </w:tcPr>
          <w:p>
            <w:pPr>
              <w:spacing w:lineRule="auto" w:line="360"/>
              <w:jc w:val="left"/>
            </w:pPr>
            <w:r>
              <w:rPr>
                <w:rFonts w:ascii="Arial" w:hAnsi="Arial"/>
                <w:sz w:val="20"/>
              </w:rPr>
              <w:t>0.213</w:t>
            </w:r>
          </w:p>
        </w:tc>
        <w:tc>
          <w:tcPr>
            <w:tcW w:type="dxa" w:w="785"/>
          </w:tcPr>
          <w:p>
            <w:pPr>
              <w:spacing w:lineRule="auto" w:line="360"/>
              <w:jc w:val="left"/>
            </w:pPr>
            <w:r>
              <w:rPr>
                <w:rFonts w:ascii="Arial" w:hAnsi="Arial"/>
                <w:sz w:val="20"/>
              </w:rPr>
              <w:t>-9.235</w:t>
            </w:r>
          </w:p>
        </w:tc>
        <w:tc>
          <w:tcPr>
            <w:tcW w:type="dxa" w:w="785"/>
          </w:tcPr>
          <w:p>
            <w:pPr>
              <w:spacing w:lineRule="auto" w:line="360"/>
              <w:jc w:val="left"/>
            </w:pPr>
            <w:r>
              <w:rPr>
                <w:rFonts w:ascii="Arial" w:hAnsi="Arial"/>
                <w:sz w:val="20"/>
              </w:rPr>
              <w:t>2.062</w:t>
            </w:r>
          </w:p>
        </w:tc>
        <w:tc>
          <w:tcPr>
            <w:tcW w:type="dxa" w:w="785"/>
          </w:tcPr>
          <w:p>
            <w:pPr>
              <w:spacing w:lineRule="auto" w:line="360"/>
              <w:jc w:val="left"/>
            </w:pPr>
            <w:r>
              <w:rPr>
                <w:rFonts w:ascii="Arial" w:hAnsi="Arial"/>
                <w:sz w:val="20"/>
              </w:rPr>
              <w:t>0.011</w:t>
            </w:r>
          </w:p>
        </w:tc>
      </w:tr>
      <w:tr>
        <w:tc>
          <w:tcPr>
            <w:tcW w:type="dxa" w:w="785"/>
          </w:tcPr>
          <w:p>
            <w:pPr>
              <w:spacing w:lineRule="auto" w:line="360"/>
              <w:jc w:val="left"/>
            </w:pPr>
            <w:r>
              <w:rPr>
                <w:rFonts w:ascii="Arial" w:hAnsi="Arial"/>
                <w:sz w:val="20"/>
              </w:rPr>
              <w:t>raw</w:t>
            </w:r>
          </w:p>
        </w:tc>
        <w:tc>
          <w:tcPr>
            <w:tcW w:type="dxa" w:w="785"/>
          </w:tcPr>
          <w:p>
            <w:pPr>
              <w:spacing w:lineRule="auto" w:line="360"/>
              <w:jc w:val="left"/>
            </w:pPr>
            <w:r>
              <w:rPr>
                <w:rFonts w:ascii="Arial" w:hAnsi="Arial"/>
                <w:sz w:val="20"/>
              </w:rPr>
              <w:t>EOS</w:t>
            </w:r>
          </w:p>
        </w:tc>
        <w:tc>
          <w:tcPr>
            <w:tcW w:type="dxa" w:w="785"/>
          </w:tcPr>
          <w:p>
            <w:pPr>
              <w:spacing w:lineRule="auto" w:line="360"/>
              <w:jc w:val="left"/>
            </w:pPr>
            <w:r>
              <w:rPr>
                <w:rFonts w:ascii="Arial" w:hAnsi="Arial"/>
                <w:sz w:val="20"/>
              </w:rPr>
              <w:t>44</w:t>
            </w:r>
          </w:p>
        </w:tc>
        <w:tc>
          <w:tcPr>
            <w:tcW w:type="dxa" w:w="785"/>
          </w:tcPr>
          <w:p>
            <w:pPr>
              <w:spacing w:lineRule="auto" w:line="360"/>
              <w:jc w:val="left"/>
            </w:pPr>
            <w:r>
              <w:rPr>
                <w:rFonts w:ascii="Arial" w:hAnsi="Arial"/>
                <w:sz w:val="20"/>
              </w:rPr>
              <w:t>8</w:t>
            </w:r>
          </w:p>
        </w:tc>
        <w:tc>
          <w:tcPr>
            <w:tcW w:type="dxa" w:w="785"/>
          </w:tcPr>
          <w:p>
            <w:pPr>
              <w:spacing w:lineRule="auto" w:line="360"/>
              <w:jc w:val="left"/>
            </w:pPr>
            <w:r>
              <w:rPr>
                <w:rFonts w:ascii="Arial" w:hAnsi="Arial"/>
                <w:sz w:val="20"/>
              </w:rPr>
              <w:t>-0.000</w:t>
            </w:r>
          </w:p>
        </w:tc>
        <w:tc>
          <w:tcPr>
            <w:tcW w:type="dxa" w:w="785"/>
          </w:tcPr>
          <w:p>
            <w:pPr>
              <w:spacing w:lineRule="auto" w:line="360"/>
              <w:jc w:val="left"/>
            </w:pPr>
            <w:r>
              <w:rPr>
                <w:rFonts w:ascii="Arial" w:hAnsi="Arial"/>
                <w:sz w:val="20"/>
              </w:rPr>
              <w:t>0.000</w:t>
            </w:r>
          </w:p>
        </w:tc>
        <w:tc>
          <w:tcPr>
            <w:tcW w:type="dxa" w:w="785"/>
          </w:tcPr>
          <w:p>
            <w:pPr>
              <w:spacing w:lineRule="auto" w:line="360"/>
              <w:jc w:val="left"/>
            </w:pPr>
            <w:r>
              <w:rPr>
                <w:rFonts w:ascii="Arial" w:hAnsi="Arial"/>
                <w:sz w:val="20"/>
              </w:rPr>
              <w:t>-2.038</w:t>
            </w:r>
          </w:p>
        </w:tc>
        <w:tc>
          <w:tcPr>
            <w:tcW w:type="dxa" w:w="785"/>
          </w:tcPr>
          <w:p>
            <w:pPr>
              <w:spacing w:lineRule="auto" w:line="360"/>
              <w:jc w:val="left"/>
            </w:pPr>
            <w:r>
              <w:rPr>
                <w:rFonts w:ascii="Arial" w:hAnsi="Arial"/>
                <w:sz w:val="20"/>
              </w:rPr>
              <w:t>0.042</w:t>
            </w:r>
          </w:p>
        </w:tc>
        <w:tc>
          <w:tcPr>
            <w:tcW w:type="dxa" w:w="785"/>
          </w:tcPr>
          <w:p>
            <w:pPr>
              <w:spacing w:lineRule="auto" w:line="360"/>
              <w:jc w:val="left"/>
            </w:pPr>
            <w:r>
              <w:rPr>
                <w:rFonts w:ascii="Arial" w:hAnsi="Arial"/>
                <w:sz w:val="20"/>
              </w:rPr>
              <w:t>-0.000</w:t>
            </w:r>
          </w:p>
        </w:tc>
        <w:tc>
          <w:tcPr>
            <w:tcW w:type="dxa" w:w="785"/>
          </w:tcPr>
          <w:p>
            <w:pPr>
              <w:spacing w:lineRule="auto" w:line="360"/>
              <w:jc w:val="left"/>
            </w:pPr>
            <w:r>
              <w:rPr>
                <w:rFonts w:ascii="Arial" w:hAnsi="Arial"/>
                <w:sz w:val="20"/>
              </w:rPr>
              <w:t>-0.000</w:t>
            </w:r>
          </w:p>
        </w:tc>
        <w:tc>
          <w:tcPr>
            <w:tcW w:type="dxa" w:w="785"/>
          </w:tcPr>
          <w:p>
            <w:pPr>
              <w:spacing w:lineRule="auto" w:line="360"/>
              <w:jc w:val="left"/>
            </w:pPr>
            <w:r>
              <w:rPr>
                <w:rFonts w:ascii="Arial" w:hAnsi="Arial"/>
                <w:sz w:val="20"/>
              </w:rPr>
              <w:t>0.000</w:t>
            </w:r>
          </w:p>
        </w:tc>
      </w:tr>
      <w:tr>
        <w:tc>
          <w:tcPr>
            <w:tcW w:type="dxa" w:w="785"/>
          </w:tcPr>
          <w:p>
            <w:pPr>
              <w:spacing w:lineRule="auto" w:line="360"/>
              <w:jc w:val="left"/>
            </w:pPr>
            <w:r>
              <w:rPr>
                <w:rFonts w:ascii="Arial" w:hAnsi="Arial"/>
                <w:sz w:val="20"/>
              </w:rPr>
              <w:t>corrected</w:t>
            </w:r>
          </w:p>
        </w:tc>
        <w:tc>
          <w:tcPr>
            <w:tcW w:type="dxa" w:w="785"/>
          </w:tcPr>
          <w:p>
            <w:pPr>
              <w:spacing w:lineRule="auto" w:line="360"/>
              <w:jc w:val="left"/>
            </w:pPr>
            <w:r>
              <w:rPr>
                <w:rFonts w:ascii="Arial" w:hAnsi="Arial"/>
                <w:sz w:val="20"/>
              </w:rPr>
              <w:t>SOS</w:t>
            </w:r>
          </w:p>
        </w:tc>
        <w:tc>
          <w:tcPr>
            <w:tcW w:type="dxa" w:w="785"/>
          </w:tcPr>
          <w:p>
            <w:pPr>
              <w:spacing w:lineRule="auto" w:line="360"/>
              <w:jc w:val="left"/>
            </w:pPr>
            <w:r>
              <w:rPr>
                <w:rFonts w:ascii="Arial" w:hAnsi="Arial"/>
                <w:sz w:val="20"/>
              </w:rPr>
              <w:t>64</w:t>
            </w:r>
          </w:p>
        </w:tc>
        <w:tc>
          <w:tcPr>
            <w:tcW w:type="dxa" w:w="785"/>
          </w:tcPr>
          <w:p>
            <w:pPr>
              <w:spacing w:lineRule="auto" w:line="360"/>
              <w:jc w:val="left"/>
            </w:pPr>
            <w:r>
              <w:rPr>
                <w:rFonts w:ascii="Arial" w:hAnsi="Arial"/>
                <w:sz w:val="20"/>
              </w:rPr>
              <w:t>8</w:t>
            </w:r>
          </w:p>
        </w:tc>
        <w:tc>
          <w:tcPr>
            <w:tcW w:type="dxa" w:w="785"/>
          </w:tcPr>
          <w:p>
            <w:pPr>
              <w:spacing w:lineRule="auto" w:line="360"/>
              <w:jc w:val="left"/>
            </w:pPr>
            <w:r>
              <w:rPr>
                <w:rFonts w:ascii="Arial" w:hAnsi="Arial"/>
                <w:sz w:val="20"/>
              </w:rPr>
              <w:t>+15.108</w:t>
            </w:r>
          </w:p>
        </w:tc>
        <w:tc>
          <w:tcPr>
            <w:tcW w:type="dxa" w:w="785"/>
          </w:tcPr>
          <w:p>
            <w:pPr>
              <w:spacing w:lineRule="auto" w:line="360"/>
              <w:jc w:val="left"/>
            </w:pPr>
            <w:r>
              <w:rPr>
                <w:rFonts w:ascii="Arial" w:hAnsi="Arial"/>
                <w:sz w:val="20"/>
              </w:rPr>
              <w:t>17.312</w:t>
            </w:r>
          </w:p>
        </w:tc>
        <w:tc>
          <w:tcPr>
            <w:tcW w:type="dxa" w:w="785"/>
          </w:tcPr>
          <w:p>
            <w:pPr>
              <w:spacing w:lineRule="auto" w:line="360"/>
              <w:jc w:val="left"/>
            </w:pPr>
            <w:r>
              <w:rPr>
                <w:rFonts w:ascii="Arial" w:hAnsi="Arial"/>
                <w:sz w:val="20"/>
              </w:rPr>
              <w:t>0.873</w:t>
            </w:r>
          </w:p>
        </w:tc>
        <w:tc>
          <w:tcPr>
            <w:tcW w:type="dxa" w:w="785"/>
          </w:tcPr>
          <w:p>
            <w:pPr>
              <w:spacing w:lineRule="auto" w:line="360"/>
              <w:jc w:val="left"/>
            </w:pPr>
            <w:r>
              <w:rPr>
                <w:rFonts w:ascii="Arial" w:hAnsi="Arial"/>
                <w:sz w:val="20"/>
              </w:rPr>
              <w:t>0.383</w:t>
            </w:r>
          </w:p>
        </w:tc>
        <w:tc>
          <w:tcPr>
            <w:tcW w:type="dxa" w:w="785"/>
          </w:tcPr>
          <w:p>
            <w:pPr>
              <w:spacing w:lineRule="auto" w:line="360"/>
              <w:jc w:val="left"/>
            </w:pPr>
            <w:r>
              <w:rPr>
                <w:rFonts w:ascii="Arial" w:hAnsi="Arial"/>
                <w:sz w:val="20"/>
              </w:rPr>
              <w:t>-18.822</w:t>
            </w:r>
          </w:p>
        </w:tc>
        <w:tc>
          <w:tcPr>
            <w:tcW w:type="dxa" w:w="785"/>
          </w:tcPr>
          <w:p>
            <w:pPr>
              <w:spacing w:lineRule="auto" w:line="360"/>
              <w:jc w:val="left"/>
            </w:pPr>
            <w:r>
              <w:rPr>
                <w:rFonts w:ascii="Arial" w:hAnsi="Arial"/>
                <w:sz w:val="20"/>
              </w:rPr>
              <w:t>49.039</w:t>
            </w:r>
          </w:p>
        </w:tc>
        <w:tc>
          <w:tcPr>
            <w:tcW w:type="dxa" w:w="785"/>
          </w:tcPr>
          <w:p>
            <w:pPr>
              <w:spacing w:lineRule="auto" w:line="360"/>
              <w:jc w:val="left"/>
            </w:pPr>
            <w:r>
              <w:rPr>
                <w:rFonts w:ascii="Arial" w:hAnsi="Arial"/>
                <w:sz w:val="20"/>
              </w:rPr>
              <w:t>0.013</w:t>
            </w:r>
          </w:p>
        </w:tc>
      </w:tr>
      <w:tr>
        <w:tc>
          <w:tcPr>
            <w:tcW w:type="dxa" w:w="785"/>
          </w:tcPr>
          <w:p>
            <w:pPr>
              <w:spacing w:lineRule="auto" w:line="360"/>
              <w:jc w:val="left"/>
            </w:pPr>
            <w:r>
              <w:rPr>
                <w:rFonts w:ascii="Arial" w:hAnsi="Arial"/>
                <w:sz w:val="20"/>
              </w:rPr>
              <w:t>corrected</w:t>
            </w:r>
          </w:p>
        </w:tc>
        <w:tc>
          <w:tcPr>
            <w:tcW w:type="dxa" w:w="785"/>
          </w:tcPr>
          <w:p>
            <w:pPr>
              <w:spacing w:lineRule="auto" w:line="360"/>
              <w:jc w:val="left"/>
            </w:pPr>
            <w:r>
              <w:rPr>
                <w:rFonts w:ascii="Arial" w:hAnsi="Arial"/>
                <w:sz w:val="20"/>
              </w:rPr>
              <w:t>POS</w:t>
            </w:r>
          </w:p>
        </w:tc>
        <w:tc>
          <w:tcPr>
            <w:tcW w:type="dxa" w:w="785"/>
          </w:tcPr>
          <w:p>
            <w:pPr>
              <w:spacing w:lineRule="auto" w:line="360"/>
              <w:jc w:val="left"/>
            </w:pPr>
            <w:r>
              <w:rPr>
                <w:rFonts w:ascii="Arial" w:hAnsi="Arial"/>
                <w:sz w:val="20"/>
              </w:rPr>
              <w:t>64</w:t>
            </w:r>
          </w:p>
        </w:tc>
        <w:tc>
          <w:tcPr>
            <w:tcW w:type="dxa" w:w="785"/>
          </w:tcPr>
          <w:p>
            <w:pPr>
              <w:spacing w:lineRule="auto" w:line="360"/>
              <w:jc w:val="left"/>
            </w:pPr>
            <w:r>
              <w:rPr>
                <w:rFonts w:ascii="Arial" w:hAnsi="Arial"/>
                <w:sz w:val="20"/>
              </w:rPr>
              <w:t>8</w:t>
            </w:r>
          </w:p>
        </w:tc>
        <w:tc>
          <w:tcPr>
            <w:tcW w:type="dxa" w:w="785"/>
          </w:tcPr>
          <w:p>
            <w:pPr>
              <w:spacing w:lineRule="auto" w:line="360"/>
              <w:jc w:val="left"/>
            </w:pPr>
            <w:r>
              <w:rPr>
                <w:rFonts w:ascii="Arial" w:hAnsi="Arial"/>
                <w:sz w:val="20"/>
              </w:rPr>
              <w:t>-3.677</w:t>
            </w:r>
          </w:p>
        </w:tc>
        <w:tc>
          <w:tcPr>
            <w:tcW w:type="dxa" w:w="785"/>
          </w:tcPr>
          <w:p>
            <w:pPr>
              <w:spacing w:lineRule="auto" w:line="360"/>
              <w:jc w:val="left"/>
            </w:pPr>
            <w:r>
              <w:rPr>
                <w:rFonts w:ascii="Arial" w:hAnsi="Arial"/>
                <w:sz w:val="20"/>
              </w:rPr>
              <w:t>2.897</w:t>
            </w:r>
          </w:p>
        </w:tc>
        <w:tc>
          <w:tcPr>
            <w:tcW w:type="dxa" w:w="785"/>
          </w:tcPr>
          <w:p>
            <w:pPr>
              <w:spacing w:lineRule="auto" w:line="360"/>
              <w:jc w:val="left"/>
            </w:pPr>
            <w:r>
              <w:rPr>
                <w:rFonts w:ascii="Arial" w:hAnsi="Arial"/>
                <w:sz w:val="20"/>
              </w:rPr>
              <w:t>-1.269</w:t>
            </w:r>
          </w:p>
        </w:tc>
        <w:tc>
          <w:tcPr>
            <w:tcW w:type="dxa" w:w="785"/>
          </w:tcPr>
          <w:p>
            <w:pPr>
              <w:spacing w:lineRule="auto" w:line="360"/>
              <w:jc w:val="left"/>
            </w:pPr>
            <w:r>
              <w:rPr>
                <w:rFonts w:ascii="Arial" w:hAnsi="Arial"/>
                <w:sz w:val="20"/>
              </w:rPr>
              <w:t>0.204</w:t>
            </w:r>
          </w:p>
        </w:tc>
        <w:tc>
          <w:tcPr>
            <w:tcW w:type="dxa" w:w="785"/>
          </w:tcPr>
          <w:p>
            <w:pPr>
              <w:spacing w:lineRule="auto" w:line="360"/>
              <w:jc w:val="left"/>
            </w:pPr>
            <w:r>
              <w:rPr>
                <w:rFonts w:ascii="Arial" w:hAnsi="Arial"/>
                <w:sz w:val="20"/>
              </w:rPr>
              <w:t>-9.356</w:t>
            </w:r>
          </w:p>
        </w:tc>
        <w:tc>
          <w:tcPr>
            <w:tcW w:type="dxa" w:w="785"/>
          </w:tcPr>
          <w:p>
            <w:pPr>
              <w:spacing w:lineRule="auto" w:line="360"/>
              <w:jc w:val="left"/>
            </w:pPr>
            <w:r>
              <w:rPr>
                <w:rFonts w:ascii="Arial" w:hAnsi="Arial"/>
                <w:sz w:val="20"/>
              </w:rPr>
              <w:t>2.002</w:t>
            </w:r>
          </w:p>
        </w:tc>
        <w:tc>
          <w:tcPr>
            <w:tcW w:type="dxa" w:w="785"/>
          </w:tcPr>
          <w:p>
            <w:pPr>
              <w:spacing w:lineRule="auto" w:line="360"/>
              <w:jc w:val="left"/>
            </w:pPr>
            <w:r>
              <w:rPr>
                <w:rFonts w:ascii="Arial" w:hAnsi="Arial"/>
                <w:sz w:val="20"/>
              </w:rPr>
              <w:t>0.011</w:t>
            </w:r>
          </w:p>
        </w:tc>
      </w:tr>
      <w:tr>
        <w:tc>
          <w:tcPr>
            <w:tcW w:type="dxa" w:w="785"/>
          </w:tcPr>
          <w:p>
            <w:pPr>
              <w:spacing w:lineRule="auto" w:line="360"/>
              <w:jc w:val="left"/>
            </w:pPr>
            <w:r>
              <w:rPr>
                <w:rFonts w:ascii="Arial" w:hAnsi="Arial"/>
                <w:sz w:val="20"/>
              </w:rPr>
              <w:t>corrected</w:t>
            </w:r>
          </w:p>
        </w:tc>
        <w:tc>
          <w:tcPr>
            <w:tcW w:type="dxa" w:w="785"/>
          </w:tcPr>
          <w:p>
            <w:pPr>
              <w:spacing w:lineRule="auto" w:line="360"/>
              <w:jc w:val="left"/>
            </w:pPr>
            <w:r>
              <w:rPr>
                <w:rFonts w:ascii="Arial" w:hAnsi="Arial"/>
                <w:sz w:val="20"/>
              </w:rPr>
              <w:t>EOS</w:t>
            </w:r>
          </w:p>
        </w:tc>
        <w:tc>
          <w:tcPr>
            <w:tcW w:type="dxa" w:w="785"/>
          </w:tcPr>
          <w:p>
            <w:pPr>
              <w:spacing w:lineRule="auto" w:line="360"/>
              <w:jc w:val="left"/>
            </w:pPr>
            <w:r>
              <w:rPr>
                <w:rFonts w:ascii="Arial" w:hAnsi="Arial"/>
                <w:sz w:val="20"/>
              </w:rPr>
              <w:t>44</w:t>
            </w:r>
          </w:p>
        </w:tc>
        <w:tc>
          <w:tcPr>
            <w:tcW w:type="dxa" w:w="785"/>
          </w:tcPr>
          <w:p>
            <w:pPr>
              <w:spacing w:lineRule="auto" w:line="360"/>
              <w:jc w:val="left"/>
            </w:pPr>
            <w:r>
              <w:rPr>
                <w:rFonts w:ascii="Arial" w:hAnsi="Arial"/>
                <w:sz w:val="20"/>
              </w:rPr>
              <w:t>8</w:t>
            </w:r>
          </w:p>
        </w:tc>
        <w:tc>
          <w:tcPr>
            <w:tcW w:type="dxa" w:w="785"/>
          </w:tcPr>
          <w:p>
            <w:pPr>
              <w:spacing w:lineRule="auto" w:line="360"/>
              <w:jc w:val="left"/>
            </w:pPr>
            <w:r>
              <w:rPr>
                <w:rFonts w:ascii="Arial" w:hAnsi="Arial"/>
                <w:sz w:val="20"/>
              </w:rPr>
              <w:t>-0.239</w:t>
            </w:r>
          </w:p>
        </w:tc>
        <w:tc>
          <w:tcPr>
            <w:tcW w:type="dxa" w:w="785"/>
          </w:tcPr>
          <w:p>
            <w:pPr>
              <w:spacing w:lineRule="auto" w:line="360"/>
              <w:jc w:val="left"/>
            </w:pPr>
            <w:r>
              <w:rPr>
                <w:rFonts w:ascii="Arial" w:hAnsi="Arial"/>
                <w:sz w:val="20"/>
              </w:rPr>
              <w:t>0.169</w:t>
            </w:r>
          </w:p>
        </w:tc>
        <w:tc>
          <w:tcPr>
            <w:tcW w:type="dxa" w:w="785"/>
          </w:tcPr>
          <w:p>
            <w:pPr>
              <w:spacing w:lineRule="auto" w:line="360"/>
              <w:jc w:val="left"/>
            </w:pPr>
            <w:r>
              <w:rPr>
                <w:rFonts w:ascii="Arial" w:hAnsi="Arial"/>
                <w:sz w:val="20"/>
              </w:rPr>
              <w:t>-1.411</w:t>
            </w:r>
          </w:p>
        </w:tc>
        <w:tc>
          <w:tcPr>
            <w:tcW w:type="dxa" w:w="785"/>
          </w:tcPr>
          <w:p>
            <w:pPr>
              <w:spacing w:lineRule="auto" w:line="360"/>
              <w:jc w:val="left"/>
            </w:pPr>
            <w:r>
              <w:rPr>
                <w:rFonts w:ascii="Arial" w:hAnsi="Arial"/>
                <w:sz w:val="20"/>
              </w:rPr>
              <w:t>0.158</w:t>
            </w:r>
          </w:p>
        </w:tc>
        <w:tc>
          <w:tcPr>
            <w:tcW w:type="dxa" w:w="785"/>
          </w:tcPr>
          <w:p>
            <w:pPr>
              <w:spacing w:lineRule="auto" w:line="360"/>
              <w:jc w:val="left"/>
            </w:pPr>
            <w:r>
              <w:rPr>
                <w:rFonts w:ascii="Arial" w:hAnsi="Arial"/>
                <w:sz w:val="20"/>
              </w:rPr>
              <w:t>-0.570</w:t>
            </w:r>
          </w:p>
        </w:tc>
        <w:tc>
          <w:tcPr>
            <w:tcW w:type="dxa" w:w="785"/>
          </w:tcPr>
          <w:p>
            <w:pPr>
              <w:spacing w:lineRule="auto" w:line="360"/>
              <w:jc w:val="left"/>
            </w:pPr>
            <w:r>
              <w:rPr>
                <w:rFonts w:ascii="Arial" w:hAnsi="Arial"/>
                <w:sz w:val="20"/>
              </w:rPr>
              <w:t>0.093</w:t>
            </w:r>
          </w:p>
        </w:tc>
        <w:tc>
          <w:tcPr>
            <w:tcW w:type="dxa" w:w="785"/>
          </w:tcPr>
          <w:p>
            <w:pPr>
              <w:spacing w:lineRule="auto" w:line="360"/>
              <w:jc w:val="left"/>
            </w:pPr>
            <w:r>
              <w:rPr>
                <w:rFonts w:ascii="Arial" w:hAnsi="Arial"/>
                <w:sz w:val="20"/>
              </w:rPr>
              <w:t>0.074</w:t>
            </w:r>
          </w:p>
        </w:tc>
      </w:tr>
    </w:tbl>
    <w:p>
      <w:pPr>
        <w:spacing w:before="0" w:after="120" w:line="276" w:lineRule="auto"/>
      </w:pPr>
      <w:r>
        <w:rPr>
          <w:rFonts w:ascii="Arial" w:hAnsi="Arial"/>
          <w:i/>
          <w:sz w:val="19"/>
          <w:szCs w:val="19"/>
          <w:color w:val="595959"/>
        </w:rPr>
        <w:t xml:space="preserve">Abbreviations: EOS = End-Of-Season; POS = Peak-Of-Season; SOS = Start-Of-Season.</w:t>
      </w:r>
    </w:p>
    <w:p>
      <w:pPr>
        <w:spacing w:lineRule="auto" w:line="480"/>
        <w:jc w:val="left"/>
      </w:pPr>
    </w:p>
    <w:p>
      <w:pPr>
        <w:spacing w:lineRule="auto" w:line="480"/>
        <w:jc w:val="both"/>
      </w:pPr>
      <w:r>
        <w:rPr>
          <w:rFonts w:ascii="Arial" w:hAnsi="Arial"/>
          <w:sz w:val="18"/>
        </w:rPr>
        <w:t>Notes. τ is the average treatment effect on the treated, in days of phenology shift. *** p&lt;0.001; ** p&lt;0.01; * p&lt;0.05. R²ᵥᵥ is the partial within-R² of the DiD term after absorbing district and year fixed effects. Treatment cohort: coastal-treatment districts (Baleshwar, Bhadrak, Kendrapara, Jagatsinghpur, Puri) × cyclone years 2019, 2020, 2021. Bulbul (2019, post-monsoon, outside the study area) and Hudhud (2014) are excluded as transferability hold-outs.</w:t>
      </w:r>
    </w:p>
    <w:p>
      <w:pPr>
        <w:spacing w:lineRule="auto" w:line="480"/>
        <w:jc w:val="left"/>
      </w:pPr>
      <w:r>
        <w:rPr>
          <w:rFonts w:ascii="Arial" w:hAnsi="Arial"/>
          <w:sz w:val="20"/>
        </w:rPr>
        <w:br w:type="page"/>
      </w:r>
    </w:p>
    <w:p>
      <w:pPr>
        <w:keepNext/>
        <w:spacing w:before="240" w:after="120" w:line="276" w:lineRule="auto"/>
        <w:jc w:val="both"/>
      </w:pPr>
      <w:bookmarkStart w:id="62942" w:name="table_s2"/>
      <w:r>
        <w:rPr>
          <w:rFonts w:ascii="Arial" w:hAnsi="Arial"/>
          <w:b/>
          <w:color w:val="1F3A5F"/>
          <w:sz w:val="32"/>
        </w:rPr>
        <w:t>Table S2 — Pre-trend tests</w:t>
      </w:r>
      <w:bookmarkEnd w:id="62942"/>
    </w:p>
    <w:p>
      <w:pPr>
        <w:spacing w:line="276" w:lineRule="auto"/>
        <w:jc w:val="both"/>
      </w:pPr>
      <w:r>
        <w:rPr>
          <w:rFonts w:ascii="Arial" w:hAnsi="Arial"/>
          <w:b/>
          <w:sz w:val="20"/>
        </w:rPr>
        <w:t>Table S2.  Parallel-trends test: regression of phenology metric on year × treat interaction in pre-treatment period (years &lt; 2019). A non-significant coefficient supports the DiD identifying assumption.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Rule="auto" w:line="360"/>
              <w:jc w:val="left"/>
            </w:pPr>
            <w:r>
              <w:rPr>
                <w:rFonts w:ascii="Arial" w:hAnsi="Arial"/>
                <w:b/>
                <w:sz w:val="20"/>
              </w:rPr>
              <w:t>Pipeline</w:t>
            </w:r>
          </w:p>
        </w:tc>
        <w:tc>
          <w:tcPr>
            <w:tcW w:type="dxa" w:w="1234"/>
          </w:tcPr>
          <w:p>
            <w:pPr>
              <w:spacing w:lineRule="auto" w:line="360"/>
              <w:jc w:val="left"/>
            </w:pPr>
            <w:r>
              <w:rPr>
                <w:rFonts w:ascii="Arial" w:hAnsi="Arial"/>
                <w:b/>
                <w:sz w:val="20"/>
              </w:rPr>
              <w:t>Metric</w:t>
            </w:r>
          </w:p>
        </w:tc>
        <w:tc>
          <w:tcPr>
            <w:tcW w:type="dxa" w:w="1234"/>
          </w:tcPr>
          <w:p>
            <w:pPr>
              <w:spacing w:lineRule="auto" w:line="360"/>
              <w:jc w:val="left"/>
            </w:pPr>
            <w:r>
              <w:rPr>
                <w:rFonts w:ascii="Arial" w:hAnsi="Arial"/>
                <w:b/>
                <w:sz w:val="20"/>
              </w:rPr>
              <w:t>β (year×treat)</w:t>
            </w:r>
          </w:p>
        </w:tc>
        <w:tc>
          <w:tcPr>
            <w:tcW w:type="dxa" w:w="1234"/>
          </w:tcPr>
          <w:p>
            <w:pPr>
              <w:spacing w:lineRule="auto" w:line="360"/>
              <w:jc w:val="left"/>
            </w:pPr>
            <w:r>
              <w:rPr>
                <w:rFonts w:ascii="Arial" w:hAnsi="Arial"/>
                <w:b/>
                <w:sz w:val="20"/>
              </w:rPr>
              <w:t>SE</w:t>
            </w:r>
          </w:p>
        </w:tc>
        <w:tc>
          <w:tcPr>
            <w:tcW w:type="dxa" w:w="1234"/>
          </w:tcPr>
          <w:p>
            <w:pPr>
              <w:spacing w:lineRule="auto" w:line="360"/>
              <w:jc w:val="left"/>
            </w:pPr>
            <w:r>
              <w:rPr>
                <w:rFonts w:ascii="Arial" w:hAnsi="Arial"/>
                <w:b/>
                <w:sz w:val="20"/>
              </w:rPr>
              <w:t>p</w:t>
            </w:r>
          </w:p>
        </w:tc>
        <w:tc>
          <w:tcPr>
            <w:tcW w:type="dxa" w:w="1234"/>
          </w:tcPr>
          <w:p>
            <w:pPr>
              <w:spacing w:lineRule="auto" w:line="360"/>
              <w:jc w:val="left"/>
            </w:pPr>
            <w:r>
              <w:rPr>
                <w:rFonts w:ascii="Arial" w:hAnsi="Arial"/>
                <w:b/>
                <w:sz w:val="20"/>
              </w:rPr>
              <w:t>N pre</w:t>
            </w:r>
          </w:p>
        </w:tc>
        <w:tc>
          <w:tcPr>
            <w:tcW w:type="dxa" w:w="1234"/>
          </w:tcPr>
          <w:p>
            <w:pPr>
              <w:spacing w:lineRule="auto" w:line="360"/>
              <w:jc w:val="left"/>
            </w:pPr>
            <w:r>
              <w:rPr>
                <w:rFonts w:ascii="Arial" w:hAnsi="Arial"/>
                <w:b/>
                <w:sz w:val="20"/>
              </w:rPr>
              <w:t>Verdict</w:t>
            </w:r>
          </w:p>
        </w:tc>
      </w:tr>
      <w:tr>
        <w:tc>
          <w:tcPr>
            <w:tcW w:type="dxa" w:w="1234"/>
          </w:tcPr>
          <w:p>
            <w:pPr>
              <w:spacing w:lineRule="auto" w:line="360"/>
              <w:jc w:val="left"/>
            </w:pPr>
            <w:r>
              <w:rPr>
                <w:rFonts w:ascii="Arial" w:hAnsi="Arial"/>
                <w:sz w:val="20"/>
              </w:rPr>
              <w:t>raw</w:t>
            </w:r>
          </w:p>
        </w:tc>
        <w:tc>
          <w:tcPr>
            <w:tcW w:type="dxa" w:w="1234"/>
          </w:tcPr>
          <w:p>
            <w:pPr>
              <w:spacing w:lineRule="auto" w:line="360"/>
              <w:jc w:val="left"/>
            </w:pPr>
            <w:r>
              <w:rPr>
                <w:rFonts w:ascii="Arial" w:hAnsi="Arial"/>
                <w:sz w:val="20"/>
              </w:rPr>
              <w:t>SOS</w:t>
            </w:r>
          </w:p>
        </w:tc>
        <w:tc>
          <w:tcPr>
            <w:tcW w:type="dxa" w:w="1234"/>
          </w:tcPr>
          <w:p>
            <w:pPr>
              <w:spacing w:lineRule="auto" w:line="360"/>
              <w:jc w:val="left"/>
            </w:pPr>
            <w:r>
              <w:rPr>
                <w:rFonts w:ascii="Arial" w:hAnsi="Arial"/>
                <w:sz w:val="20"/>
              </w:rPr>
              <w:t>-63.600</w:t>
            </w:r>
          </w:p>
        </w:tc>
        <w:tc>
          <w:tcPr>
            <w:tcW w:type="dxa" w:w="1234"/>
          </w:tcPr>
          <w:p>
            <w:pPr>
              <w:spacing w:lineRule="auto" w:line="360"/>
              <w:jc w:val="left"/>
            </w:pPr>
            <w:r>
              <w:rPr>
                <w:rFonts w:ascii="Arial" w:hAnsi="Arial"/>
                <w:sz w:val="20"/>
              </w:rPr>
              <w:t>67.077</w:t>
            </w:r>
          </w:p>
        </w:tc>
        <w:tc>
          <w:tcPr>
            <w:tcW w:type="dxa" w:w="1234"/>
          </w:tcPr>
          <w:p>
            <w:pPr>
              <w:spacing w:lineRule="auto" w:line="360"/>
              <w:jc w:val="left"/>
            </w:pPr>
            <w:r>
              <w:rPr>
                <w:rFonts w:ascii="Arial" w:hAnsi="Arial"/>
                <w:sz w:val="20"/>
              </w:rPr>
              <w:t>0.3430</w:t>
            </w:r>
          </w:p>
        </w:tc>
        <w:tc>
          <w:tcPr>
            <w:tcW w:type="dxa" w:w="1234"/>
          </w:tcPr>
          <w:p>
            <w:pPr>
              <w:spacing w:lineRule="auto" w:line="360"/>
              <w:jc w:val="left"/>
            </w:pPr>
            <w:r>
              <w:rPr>
                <w:rFonts w:ascii="Arial" w:hAnsi="Arial"/>
                <w:sz w:val="20"/>
              </w:rPr>
              <w:t>16</w:t>
            </w:r>
          </w:p>
        </w:tc>
        <w:tc>
          <w:tcPr>
            <w:tcW w:type="dxa" w:w="1234"/>
          </w:tcPr>
          <w:p>
            <w:pPr>
              <w:spacing w:lineRule="auto" w:line="360"/>
              <w:jc w:val="left"/>
            </w:pPr>
            <w:r>
              <w:rPr>
                <w:rFonts w:ascii="Arial" w:hAnsi="Arial"/>
                <w:sz w:val="20"/>
              </w:rPr>
              <w:t>cluster; pre-trend OK</w:t>
            </w:r>
          </w:p>
        </w:tc>
      </w:tr>
      <w:tr>
        <w:tc>
          <w:tcPr>
            <w:tcW w:type="dxa" w:w="1234"/>
          </w:tcPr>
          <w:p>
            <w:pPr>
              <w:spacing w:lineRule="auto" w:line="360"/>
              <w:jc w:val="left"/>
            </w:pPr>
            <w:r>
              <w:rPr>
                <w:rFonts w:ascii="Arial" w:hAnsi="Arial"/>
                <w:sz w:val="20"/>
              </w:rPr>
              <w:t>raw</w:t>
            </w:r>
          </w:p>
        </w:tc>
        <w:tc>
          <w:tcPr>
            <w:tcW w:type="dxa" w:w="1234"/>
          </w:tcPr>
          <w:p>
            <w:pPr>
              <w:spacing w:lineRule="auto" w:line="360"/>
              <w:jc w:val="left"/>
            </w:pPr>
            <w:r>
              <w:rPr>
                <w:rFonts w:ascii="Arial" w:hAnsi="Arial"/>
                <w:sz w:val="20"/>
              </w:rPr>
              <w:t>POS</w:t>
            </w:r>
          </w:p>
        </w:tc>
        <w:tc>
          <w:tcPr>
            <w:tcW w:type="dxa" w:w="1234"/>
          </w:tcPr>
          <w:p>
            <w:pPr>
              <w:spacing w:lineRule="auto" w:line="360"/>
              <w:jc w:val="left"/>
            </w:pPr>
            <w:r>
              <w:rPr>
                <w:rFonts w:ascii="Arial" w:hAnsi="Arial"/>
                <w:sz w:val="20"/>
              </w:rPr>
              <w:t>-2.400</w:t>
            </w:r>
          </w:p>
        </w:tc>
        <w:tc>
          <w:tcPr>
            <w:tcW w:type="dxa" w:w="1234"/>
          </w:tcPr>
          <w:p>
            <w:pPr>
              <w:spacing w:lineRule="auto" w:line="360"/>
              <w:jc w:val="left"/>
            </w:pPr>
            <w:r>
              <w:rPr>
                <w:rFonts w:ascii="Arial" w:hAnsi="Arial"/>
                <w:sz w:val="20"/>
              </w:rPr>
              <w:t>19.665</w:t>
            </w:r>
          </w:p>
        </w:tc>
        <w:tc>
          <w:tcPr>
            <w:tcW w:type="dxa" w:w="1234"/>
          </w:tcPr>
          <w:p>
            <w:pPr>
              <w:spacing w:lineRule="auto" w:line="360"/>
              <w:jc w:val="left"/>
            </w:pPr>
            <w:r>
              <w:rPr>
                <w:rFonts w:ascii="Arial" w:hAnsi="Arial"/>
                <w:sz w:val="20"/>
              </w:rPr>
              <w:t>0.9029</w:t>
            </w:r>
          </w:p>
        </w:tc>
        <w:tc>
          <w:tcPr>
            <w:tcW w:type="dxa" w:w="1234"/>
          </w:tcPr>
          <w:p>
            <w:pPr>
              <w:spacing w:lineRule="auto" w:line="360"/>
              <w:jc w:val="left"/>
            </w:pPr>
            <w:r>
              <w:rPr>
                <w:rFonts w:ascii="Arial" w:hAnsi="Arial"/>
                <w:sz w:val="20"/>
              </w:rPr>
              <w:t>16</w:t>
            </w:r>
          </w:p>
        </w:tc>
        <w:tc>
          <w:tcPr>
            <w:tcW w:type="dxa" w:w="1234"/>
          </w:tcPr>
          <w:p>
            <w:pPr>
              <w:spacing w:lineRule="auto" w:line="360"/>
              <w:jc w:val="left"/>
            </w:pPr>
            <w:r>
              <w:rPr>
                <w:rFonts w:ascii="Arial" w:hAnsi="Arial"/>
                <w:sz w:val="20"/>
              </w:rPr>
              <w:t>cluster; pre-trend OK</w:t>
            </w:r>
          </w:p>
        </w:tc>
      </w:tr>
      <w:tr>
        <w:tc>
          <w:tcPr>
            <w:tcW w:type="dxa" w:w="1234"/>
          </w:tcPr>
          <w:p>
            <w:pPr>
              <w:spacing w:lineRule="auto" w:line="360"/>
              <w:jc w:val="left"/>
            </w:pPr>
            <w:r>
              <w:rPr>
                <w:rFonts w:ascii="Arial" w:hAnsi="Arial"/>
                <w:sz w:val="20"/>
              </w:rPr>
              <w:t>raw</w:t>
            </w:r>
          </w:p>
        </w:tc>
        <w:tc>
          <w:tcPr>
            <w:tcW w:type="dxa" w:w="1234"/>
          </w:tcPr>
          <w:p>
            <w:pPr>
              <w:spacing w:lineRule="auto" w:line="360"/>
              <w:jc w:val="left"/>
            </w:pPr>
            <w:r>
              <w:rPr>
                <w:rFonts w:ascii="Arial" w:hAnsi="Arial"/>
                <w:sz w:val="20"/>
              </w:rPr>
              <w:t>EOS</w:t>
            </w:r>
          </w:p>
        </w:tc>
        <w:tc>
          <w:tcPr>
            <w:tcW w:type="dxa" w:w="1234"/>
          </w:tcPr>
          <w:p>
            <w:pPr>
              <w:spacing w:lineRule="auto" w:line="360"/>
              <w:jc w:val="center"/>
            </w:pPr>
            <w:r>
              <w:rPr>
                <w:sz w:val="20"/>
              </w:rPr>
              <w:t>—</w:t>
            </w:r>
          </w:p>
        </w:tc>
        <w:tc>
          <w:tcPr>
            <w:tcW w:type="dxa" w:w="1234"/>
          </w:tcPr>
          <w:p>
            <w:pPr>
              <w:spacing w:lineRule="auto" w:line="360"/>
              <w:jc w:val="center"/>
            </w:pPr>
            <w:r>
              <w:rPr>
                <w:sz w:val="20"/>
              </w:rPr>
              <w:t>—</w:t>
            </w:r>
          </w:p>
        </w:tc>
        <w:tc>
          <w:tcPr>
            <w:tcW w:type="dxa" w:w="1234"/>
          </w:tcPr>
          <w:p>
            <w:pPr>
              <w:spacing w:lineRule="auto" w:line="360"/>
              <w:jc w:val="center"/>
            </w:pPr>
            <w:r>
              <w:rPr>
                <w:sz w:val="20"/>
              </w:rPr>
              <w:t>—</w:t>
            </w:r>
          </w:p>
        </w:tc>
        <w:tc>
          <w:tcPr>
            <w:tcW w:type="dxa" w:w="1234"/>
          </w:tcPr>
          <w:p>
            <w:pPr>
              <w:spacing w:lineRule="auto" w:line="360"/>
              <w:jc w:val="left"/>
            </w:pPr>
            <w:r>
              <w:rPr>
                <w:rFonts w:ascii="Arial" w:hAnsi="Arial"/>
                <w:sz w:val="20"/>
              </w:rPr>
              <w:t>11</w:t>
            </w:r>
          </w:p>
        </w:tc>
        <w:tc>
          <w:tcPr>
            <w:tcW w:type="dxa" w:w="1234"/>
          </w:tcPr>
          <w:p>
            <w:pPr>
              <w:spacing w:lineRule="auto" w:line="360"/>
              <w:jc w:val="both"/>
            </w:pPr>
            <w:r>
              <w:rPr>
                <w:rFonts w:ascii="Arial" w:hAnsi="Arial"/>
                <w:sz w:val="20"/>
              </w:rPr>
              <w:t>too few pre-period obs for inference (n=11, residual df=0); only 2 pre-cyclone years available</w:t>
            </w:r>
          </w:p>
        </w:tc>
      </w:tr>
      <w:tr>
        <w:tc>
          <w:tcPr>
            <w:tcW w:type="dxa" w:w="1234"/>
          </w:tcPr>
          <w:p>
            <w:pPr>
              <w:spacing w:lineRule="auto" w:line="360"/>
              <w:jc w:val="left"/>
            </w:pPr>
            <w:r>
              <w:rPr>
                <w:rFonts w:ascii="Arial" w:hAnsi="Arial"/>
                <w:sz w:val="20"/>
              </w:rPr>
              <w:t>corrected</w:t>
            </w:r>
          </w:p>
        </w:tc>
        <w:tc>
          <w:tcPr>
            <w:tcW w:type="dxa" w:w="1234"/>
          </w:tcPr>
          <w:p>
            <w:pPr>
              <w:spacing w:lineRule="auto" w:line="360"/>
              <w:jc w:val="left"/>
            </w:pPr>
            <w:r>
              <w:rPr>
                <w:rFonts w:ascii="Arial" w:hAnsi="Arial"/>
                <w:sz w:val="20"/>
              </w:rPr>
              <w:t>SOS</w:t>
            </w:r>
          </w:p>
        </w:tc>
        <w:tc>
          <w:tcPr>
            <w:tcW w:type="dxa" w:w="1234"/>
          </w:tcPr>
          <w:p>
            <w:pPr>
              <w:spacing w:lineRule="auto" w:line="360"/>
              <w:jc w:val="left"/>
            </w:pPr>
            <w:r>
              <w:rPr>
                <w:rFonts w:ascii="Arial" w:hAnsi="Arial"/>
                <w:sz w:val="20"/>
              </w:rPr>
              <w:t>-63.600</w:t>
            </w:r>
          </w:p>
        </w:tc>
        <w:tc>
          <w:tcPr>
            <w:tcW w:type="dxa" w:w="1234"/>
          </w:tcPr>
          <w:p>
            <w:pPr>
              <w:spacing w:lineRule="auto" w:line="360"/>
              <w:jc w:val="left"/>
            </w:pPr>
            <w:r>
              <w:rPr>
                <w:rFonts w:ascii="Arial" w:hAnsi="Arial"/>
                <w:sz w:val="20"/>
              </w:rPr>
              <w:t>67.077</w:t>
            </w:r>
          </w:p>
        </w:tc>
        <w:tc>
          <w:tcPr>
            <w:tcW w:type="dxa" w:w="1234"/>
          </w:tcPr>
          <w:p>
            <w:pPr>
              <w:spacing w:lineRule="auto" w:line="360"/>
              <w:jc w:val="left"/>
            </w:pPr>
            <w:r>
              <w:rPr>
                <w:rFonts w:ascii="Arial" w:hAnsi="Arial"/>
                <w:sz w:val="20"/>
              </w:rPr>
              <w:t>0.3430</w:t>
            </w:r>
          </w:p>
        </w:tc>
        <w:tc>
          <w:tcPr>
            <w:tcW w:type="dxa" w:w="1234"/>
          </w:tcPr>
          <w:p>
            <w:pPr>
              <w:spacing w:lineRule="auto" w:line="360"/>
              <w:jc w:val="left"/>
            </w:pPr>
            <w:r>
              <w:rPr>
                <w:rFonts w:ascii="Arial" w:hAnsi="Arial"/>
                <w:sz w:val="20"/>
              </w:rPr>
              <w:t>16</w:t>
            </w:r>
          </w:p>
        </w:tc>
        <w:tc>
          <w:tcPr>
            <w:tcW w:type="dxa" w:w="1234"/>
          </w:tcPr>
          <w:p>
            <w:pPr>
              <w:spacing w:lineRule="auto" w:line="360"/>
              <w:jc w:val="left"/>
            </w:pPr>
            <w:r>
              <w:rPr>
                <w:rFonts w:ascii="Arial" w:hAnsi="Arial"/>
                <w:sz w:val="20"/>
              </w:rPr>
              <w:t>cluster; pre-trend OK</w:t>
            </w:r>
          </w:p>
        </w:tc>
      </w:tr>
      <w:tr>
        <w:tc>
          <w:tcPr>
            <w:tcW w:type="dxa" w:w="1234"/>
          </w:tcPr>
          <w:p>
            <w:pPr>
              <w:spacing w:lineRule="auto" w:line="360"/>
              <w:jc w:val="left"/>
            </w:pPr>
            <w:r>
              <w:rPr>
                <w:rFonts w:ascii="Arial" w:hAnsi="Arial"/>
                <w:sz w:val="20"/>
              </w:rPr>
              <w:t>corrected</w:t>
            </w:r>
          </w:p>
        </w:tc>
        <w:tc>
          <w:tcPr>
            <w:tcW w:type="dxa" w:w="1234"/>
          </w:tcPr>
          <w:p>
            <w:pPr>
              <w:spacing w:lineRule="auto" w:line="360"/>
              <w:jc w:val="left"/>
            </w:pPr>
            <w:r>
              <w:rPr>
                <w:rFonts w:ascii="Arial" w:hAnsi="Arial"/>
                <w:sz w:val="20"/>
              </w:rPr>
              <w:t>POS</w:t>
            </w:r>
          </w:p>
        </w:tc>
        <w:tc>
          <w:tcPr>
            <w:tcW w:type="dxa" w:w="1234"/>
          </w:tcPr>
          <w:p>
            <w:pPr>
              <w:spacing w:lineRule="auto" w:line="360"/>
              <w:jc w:val="left"/>
            </w:pPr>
            <w:r>
              <w:rPr>
                <w:rFonts w:ascii="Arial" w:hAnsi="Arial"/>
                <w:sz w:val="20"/>
              </w:rPr>
              <w:t>-2.400</w:t>
            </w:r>
          </w:p>
        </w:tc>
        <w:tc>
          <w:tcPr>
            <w:tcW w:type="dxa" w:w="1234"/>
          </w:tcPr>
          <w:p>
            <w:pPr>
              <w:spacing w:lineRule="auto" w:line="360"/>
              <w:jc w:val="left"/>
            </w:pPr>
            <w:r>
              <w:rPr>
                <w:rFonts w:ascii="Arial" w:hAnsi="Arial"/>
                <w:sz w:val="20"/>
              </w:rPr>
              <w:t>19.665</w:t>
            </w:r>
          </w:p>
        </w:tc>
        <w:tc>
          <w:tcPr>
            <w:tcW w:type="dxa" w:w="1234"/>
          </w:tcPr>
          <w:p>
            <w:pPr>
              <w:spacing w:lineRule="auto" w:line="360"/>
              <w:jc w:val="left"/>
            </w:pPr>
            <w:r>
              <w:rPr>
                <w:rFonts w:ascii="Arial" w:hAnsi="Arial"/>
                <w:sz w:val="20"/>
              </w:rPr>
              <w:t>0.9029</w:t>
            </w:r>
          </w:p>
        </w:tc>
        <w:tc>
          <w:tcPr>
            <w:tcW w:type="dxa" w:w="1234"/>
          </w:tcPr>
          <w:p>
            <w:pPr>
              <w:spacing w:lineRule="auto" w:line="360"/>
              <w:jc w:val="left"/>
            </w:pPr>
            <w:r>
              <w:rPr>
                <w:rFonts w:ascii="Arial" w:hAnsi="Arial"/>
                <w:sz w:val="20"/>
              </w:rPr>
              <w:t>16</w:t>
            </w:r>
          </w:p>
        </w:tc>
        <w:tc>
          <w:tcPr>
            <w:tcW w:type="dxa" w:w="1234"/>
          </w:tcPr>
          <w:p>
            <w:pPr>
              <w:spacing w:lineRule="auto" w:line="360"/>
              <w:jc w:val="left"/>
            </w:pPr>
            <w:r>
              <w:rPr>
                <w:rFonts w:ascii="Arial" w:hAnsi="Arial"/>
                <w:sz w:val="20"/>
              </w:rPr>
              <w:t>cluster; pre-trend OK</w:t>
            </w:r>
          </w:p>
        </w:tc>
      </w:tr>
      <w:tr>
        <w:tc>
          <w:tcPr>
            <w:tcW w:type="dxa" w:w="1234"/>
          </w:tcPr>
          <w:p>
            <w:pPr>
              <w:spacing w:lineRule="auto" w:line="360"/>
              <w:jc w:val="left"/>
            </w:pPr>
            <w:r>
              <w:rPr>
                <w:rFonts w:ascii="Arial" w:hAnsi="Arial"/>
                <w:sz w:val="20"/>
              </w:rPr>
              <w:t>corrected</w:t>
            </w:r>
          </w:p>
        </w:tc>
        <w:tc>
          <w:tcPr>
            <w:tcW w:type="dxa" w:w="1234"/>
          </w:tcPr>
          <w:p>
            <w:pPr>
              <w:spacing w:lineRule="auto" w:line="360"/>
              <w:jc w:val="left"/>
            </w:pPr>
            <w:r>
              <w:rPr>
                <w:rFonts w:ascii="Arial" w:hAnsi="Arial"/>
                <w:sz w:val="20"/>
              </w:rPr>
              <w:t>EOS</w:t>
            </w:r>
          </w:p>
        </w:tc>
        <w:tc>
          <w:tcPr>
            <w:tcW w:type="dxa" w:w="1234"/>
          </w:tcPr>
          <w:p>
            <w:pPr>
              <w:spacing w:lineRule="auto" w:line="360"/>
              <w:jc w:val="center"/>
            </w:pPr>
            <w:r>
              <w:rPr>
                <w:sz w:val="20"/>
              </w:rPr>
              <w:t>—</w:t>
            </w:r>
          </w:p>
        </w:tc>
        <w:tc>
          <w:tcPr>
            <w:tcW w:type="dxa" w:w="1234"/>
          </w:tcPr>
          <w:p>
            <w:pPr>
              <w:spacing w:lineRule="auto" w:line="360"/>
              <w:jc w:val="center"/>
            </w:pPr>
            <w:r>
              <w:rPr>
                <w:sz w:val="20"/>
              </w:rPr>
              <w:t>—</w:t>
            </w:r>
          </w:p>
        </w:tc>
        <w:tc>
          <w:tcPr>
            <w:tcW w:type="dxa" w:w="1234"/>
          </w:tcPr>
          <w:p>
            <w:pPr>
              <w:spacing w:lineRule="auto" w:line="360"/>
              <w:jc w:val="center"/>
            </w:pPr>
            <w:r>
              <w:rPr>
                <w:sz w:val="20"/>
              </w:rPr>
              <w:t>—</w:t>
            </w:r>
          </w:p>
        </w:tc>
        <w:tc>
          <w:tcPr>
            <w:tcW w:type="dxa" w:w="1234"/>
          </w:tcPr>
          <w:p>
            <w:pPr>
              <w:spacing w:lineRule="auto" w:line="360"/>
              <w:jc w:val="left"/>
            </w:pPr>
            <w:r>
              <w:rPr>
                <w:rFonts w:ascii="Arial" w:hAnsi="Arial"/>
                <w:sz w:val="20"/>
              </w:rPr>
              <w:t>11</w:t>
            </w:r>
          </w:p>
        </w:tc>
        <w:tc>
          <w:tcPr>
            <w:tcW w:type="dxa" w:w="1234"/>
          </w:tcPr>
          <w:p>
            <w:pPr>
              <w:spacing w:lineRule="auto" w:line="360"/>
              <w:jc w:val="both"/>
            </w:pPr>
            <w:r>
              <w:rPr>
                <w:rFonts w:ascii="Arial" w:hAnsi="Arial"/>
                <w:sz w:val="20"/>
              </w:rPr>
              <w:t>too few pre-period obs for inference (n=11, residual df=0); only 2 pre-cyclone years available</w:t>
            </w:r>
          </w:p>
        </w:tc>
      </w:tr>
    </w:tbl>
    <w:p>
      <w:pPr>
        <w:spacing w:before="0" w:after="120" w:line="276" w:lineRule="auto"/>
      </w:pPr>
      <w:r>
        <w:rPr>
          <w:rFonts w:ascii="Arial" w:hAnsi="Arial"/>
          <w:i/>
          <w:sz w:val="19"/>
          <w:szCs w:val="19"/>
          <w:color w:val="595959"/>
        </w:rPr>
        <w:t xml:space="preserve">Abbreviations: EOS = End-Of-Season; POS = Peak-Of-Season; SOS = Start-Of-Season.</w:t>
      </w:r>
    </w:p>
    <w:p>
      <w:pPr>
        <w:spacing w:lineRule="auto" w:line="480"/>
        <w:jc w:val="left"/>
      </w:pPr>
      <w:r>
        <w:rPr>
          <w:rFonts w:ascii="Arial" w:hAnsi="Arial"/>
          <w:sz w:val="20"/>
        </w:rPr>
        <w:br w:type="page"/>
      </w:r>
    </w:p>
    <w:p>
      <w:pPr>
        <w:keepNext/>
        <w:spacing w:before="240" w:after="120" w:line="276" w:lineRule="auto"/>
        <w:jc w:val="both"/>
      </w:pPr>
      <w:bookmarkStart w:id="44256" w:name="table_s4"/>
      <w:r>
        <w:rPr>
          <w:rFonts w:ascii="Arial" w:hAnsi="Arial"/>
          <w:b/>
          <w:color w:val="1F3A5F"/>
          <w:sz w:val="32"/>
        </w:rPr>
        <w:t>Table S4 — Wild-cluster bootstrap (G = 8)</w:t>
      </w:r>
      <w:bookmarkEnd w:id="44256"/>
    </w:p>
    <w:p>
      <w:pPr>
        <w:spacing w:line="276" w:lineRule="auto"/>
        <w:jc w:val="both"/>
      </w:pPr>
      <w:r>
        <w:rPr>
          <w:rFonts w:ascii="Arial" w:hAnsi="Arial"/>
          <w:b/>
          <w:sz w:val="20"/>
        </w:rPr>
        <w:t>Table S4.  Wild-cluster bootstrap inference (Cameron, Gelbach &amp; Miller 2008) for the DiD coefficient. Rademacher weights, residuals imposed under the null. CIs by inversion on a 41-point grid.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Rule="auto" w:line="360"/>
              <w:jc w:val="left"/>
            </w:pPr>
            <w:r>
              <w:rPr>
                <w:rFonts w:ascii="Arial" w:hAnsi="Arial"/>
                <w:b/>
                <w:sz w:val="20"/>
              </w:rPr>
              <w:t>Pipeline</w:t>
            </w:r>
          </w:p>
        </w:tc>
        <w:tc>
          <w:tcPr>
            <w:tcW w:type="dxa" w:w="1080"/>
          </w:tcPr>
          <w:p>
            <w:pPr>
              <w:spacing w:lineRule="auto" w:line="360"/>
              <w:jc w:val="left"/>
            </w:pPr>
            <w:r>
              <w:rPr>
                <w:rFonts w:ascii="Arial" w:hAnsi="Arial"/>
                <w:b/>
                <w:sz w:val="20"/>
              </w:rPr>
              <w:t>Metric</w:t>
            </w:r>
          </w:p>
        </w:tc>
        <w:tc>
          <w:tcPr>
            <w:tcW w:type="dxa" w:w="1080"/>
          </w:tcPr>
          <w:p>
            <w:pPr>
              <w:spacing w:lineRule="auto" w:line="360"/>
              <w:jc w:val="left"/>
            </w:pPr>
            <w:r>
              <w:rPr>
                <w:rFonts w:ascii="Arial" w:hAnsi="Arial"/>
                <w:b/>
                <w:sz w:val="20"/>
              </w:rPr>
              <w:t>τ (d)</w:t>
            </w:r>
          </w:p>
        </w:tc>
        <w:tc>
          <w:tcPr>
            <w:tcW w:type="dxa" w:w="1080"/>
          </w:tcPr>
          <w:p>
            <w:pPr>
              <w:spacing w:lineRule="auto" w:line="360"/>
              <w:jc w:val="left"/>
            </w:pPr>
            <w:r>
              <w:rPr>
                <w:rFonts w:ascii="Arial" w:hAnsi="Arial"/>
                <w:b/>
                <w:sz w:val="20"/>
              </w:rPr>
              <w:t>t (CR1)</w:t>
            </w:r>
          </w:p>
        </w:tc>
        <w:tc>
          <w:tcPr>
            <w:tcW w:type="dxa" w:w="1080"/>
          </w:tcPr>
          <w:p>
            <w:pPr>
              <w:spacing w:lineRule="auto" w:line="360"/>
              <w:jc w:val="left"/>
            </w:pPr>
            <w:r>
              <w:rPr>
                <w:rFonts w:ascii="Arial" w:hAnsi="Arial"/>
                <w:b/>
                <w:sz w:val="20"/>
              </w:rPr>
              <w:t>B</w:t>
            </w:r>
          </w:p>
        </w:tc>
        <w:tc>
          <w:tcPr>
            <w:tcW w:type="dxa" w:w="1080"/>
          </w:tcPr>
          <w:p>
            <w:pPr>
              <w:spacing w:lineRule="auto" w:line="360"/>
              <w:jc w:val="left"/>
            </w:pPr>
            <w:r>
              <w:rPr>
                <w:rFonts w:ascii="Arial" w:hAnsi="Arial"/>
                <w:b/>
                <w:sz w:val="20"/>
              </w:rPr>
              <w:t>p (WCR)</w:t>
            </w:r>
          </w:p>
        </w:tc>
        <w:tc>
          <w:tcPr>
            <w:tcW w:type="dxa" w:w="1080"/>
          </w:tcPr>
          <w:p>
            <w:pPr>
              <w:spacing w:lineRule="auto" w:line="360"/>
              <w:jc w:val="left"/>
            </w:pPr>
            <w:r>
              <w:rPr>
                <w:rFonts w:ascii="Arial" w:hAnsi="Arial"/>
                <w:b/>
                <w:sz w:val="20"/>
              </w:rPr>
              <w:t>CI₂.₅ (WCR)</w:t>
            </w:r>
          </w:p>
        </w:tc>
        <w:tc>
          <w:tcPr>
            <w:tcW w:type="dxa" w:w="1080"/>
          </w:tcPr>
          <w:p>
            <w:pPr>
              <w:spacing w:lineRule="auto" w:line="360"/>
              <w:jc w:val="left"/>
            </w:pPr>
            <w:r>
              <w:rPr>
                <w:rFonts w:ascii="Arial" w:hAnsi="Arial"/>
                <w:b/>
                <w:sz w:val="20"/>
              </w:rPr>
              <w:t>CI₉₇.₅ (WCR)</w:t>
            </w:r>
          </w:p>
        </w:tc>
      </w:tr>
      <w:tr>
        <w:tc>
          <w:tcPr>
            <w:tcW w:type="dxa" w:w="1080"/>
          </w:tcPr>
          <w:p>
            <w:pPr>
              <w:spacing w:lineRule="auto" w:line="360"/>
              <w:jc w:val="left"/>
            </w:pPr>
            <w:r>
              <w:rPr>
                <w:rFonts w:ascii="Arial" w:hAnsi="Arial"/>
                <w:sz w:val="20"/>
              </w:rPr>
              <w:t>raw</w:t>
            </w:r>
          </w:p>
        </w:tc>
        <w:tc>
          <w:tcPr>
            <w:tcW w:type="dxa" w:w="1080"/>
          </w:tcPr>
          <w:p>
            <w:pPr>
              <w:spacing w:lineRule="auto" w:line="360"/>
              <w:jc w:val="left"/>
            </w:pPr>
            <w:r>
              <w:rPr>
                <w:rFonts w:ascii="Arial" w:hAnsi="Arial"/>
                <w:sz w:val="20"/>
              </w:rPr>
              <w:t>SOS</w:t>
            </w:r>
          </w:p>
        </w:tc>
        <w:tc>
          <w:tcPr>
            <w:tcW w:type="dxa" w:w="1080"/>
          </w:tcPr>
          <w:p>
            <w:pPr>
              <w:spacing w:lineRule="auto" w:line="360"/>
              <w:jc w:val="left"/>
            </w:pPr>
            <w:r>
              <w:rPr>
                <w:rFonts w:ascii="Arial" w:hAnsi="Arial"/>
                <w:sz w:val="20"/>
              </w:rPr>
              <w:t>+15.289</w:t>
            </w:r>
          </w:p>
        </w:tc>
        <w:tc>
          <w:tcPr>
            <w:tcW w:type="dxa" w:w="1080"/>
          </w:tcPr>
          <w:p>
            <w:pPr>
              <w:spacing w:lineRule="auto" w:line="360"/>
              <w:jc w:val="left"/>
            </w:pPr>
            <w:r>
              <w:rPr>
                <w:rFonts w:ascii="Arial" w:hAnsi="Arial"/>
                <w:sz w:val="20"/>
              </w:rPr>
              <w:t>0.882</w:t>
            </w:r>
          </w:p>
        </w:tc>
        <w:tc>
          <w:tcPr>
            <w:tcW w:type="dxa" w:w="1080"/>
          </w:tcPr>
          <w:p>
            <w:pPr>
              <w:spacing w:lineRule="auto" w:line="360"/>
              <w:jc w:val="left"/>
            </w:pPr>
            <w:r>
              <w:rPr>
                <w:rFonts w:ascii="Arial" w:hAnsi="Arial"/>
                <w:sz w:val="20"/>
              </w:rPr>
              <w:t>9999</w:t>
            </w:r>
          </w:p>
        </w:tc>
        <w:tc>
          <w:tcPr>
            <w:tcW w:type="dxa" w:w="1080"/>
          </w:tcPr>
          <w:p>
            <w:pPr>
              <w:spacing w:lineRule="auto" w:line="360"/>
              <w:jc w:val="left"/>
            </w:pPr>
            <w:r>
              <w:rPr>
                <w:rFonts w:ascii="Arial" w:hAnsi="Arial"/>
                <w:sz w:val="20"/>
              </w:rPr>
              <w:t>0.4000</w:t>
            </w:r>
          </w:p>
        </w:tc>
        <w:tc>
          <w:tcPr>
            <w:tcW w:type="dxa" w:w="1080"/>
          </w:tcPr>
          <w:p>
            <w:pPr>
              <w:spacing w:lineRule="auto" w:line="360"/>
              <w:jc w:val="center"/>
            </w:pPr>
            <w:r>
              <w:rPr>
                <w:sz w:val="20"/>
              </w:rPr>
              <w:t>—</w:t>
            </w:r>
          </w:p>
        </w:tc>
        <w:tc>
          <w:tcPr>
            <w:tcW w:type="dxa" w:w="1080"/>
          </w:tcPr>
          <w:p>
            <w:pPr>
              <w:spacing w:lineRule="auto" w:line="360"/>
              <w:jc w:val="center"/>
            </w:pPr>
            <w:r>
              <w:rPr>
                <w:sz w:val="20"/>
              </w:rPr>
              <w:t>—</w:t>
            </w:r>
          </w:p>
        </w:tc>
      </w:tr>
      <w:tr>
        <w:tc>
          <w:tcPr>
            <w:tcW w:type="dxa" w:w="1080"/>
          </w:tcPr>
          <w:p>
            <w:pPr>
              <w:spacing w:lineRule="auto" w:line="360"/>
              <w:jc w:val="left"/>
            </w:pPr>
            <w:r>
              <w:rPr>
                <w:rFonts w:ascii="Arial" w:hAnsi="Arial"/>
                <w:sz w:val="20"/>
              </w:rPr>
              <w:t>raw</w:t>
            </w:r>
          </w:p>
        </w:tc>
        <w:tc>
          <w:tcPr>
            <w:tcW w:type="dxa" w:w="1080"/>
          </w:tcPr>
          <w:p>
            <w:pPr>
              <w:spacing w:lineRule="auto" w:line="360"/>
              <w:jc w:val="left"/>
            </w:pPr>
            <w:r>
              <w:rPr>
                <w:rFonts w:ascii="Arial" w:hAnsi="Arial"/>
                <w:sz w:val="20"/>
              </w:rPr>
              <w:t>POS</w:t>
            </w:r>
          </w:p>
        </w:tc>
        <w:tc>
          <w:tcPr>
            <w:tcW w:type="dxa" w:w="1080"/>
          </w:tcPr>
          <w:p>
            <w:pPr>
              <w:spacing w:lineRule="auto" w:line="360"/>
              <w:jc w:val="left"/>
            </w:pPr>
            <w:r>
              <w:rPr>
                <w:rFonts w:ascii="Arial" w:hAnsi="Arial"/>
                <w:sz w:val="20"/>
              </w:rPr>
              <w:t>-3.587</w:t>
            </w:r>
          </w:p>
        </w:tc>
        <w:tc>
          <w:tcPr>
            <w:tcW w:type="dxa" w:w="1080"/>
          </w:tcPr>
          <w:p>
            <w:pPr>
              <w:spacing w:lineRule="auto" w:line="360"/>
              <w:jc w:val="left"/>
            </w:pPr>
            <w:r>
              <w:rPr>
                <w:rFonts w:ascii="Arial" w:hAnsi="Arial"/>
                <w:sz w:val="20"/>
              </w:rPr>
              <w:t>-1.245</w:t>
            </w:r>
          </w:p>
        </w:tc>
        <w:tc>
          <w:tcPr>
            <w:tcW w:type="dxa" w:w="1080"/>
          </w:tcPr>
          <w:p>
            <w:pPr>
              <w:spacing w:lineRule="auto" w:line="360"/>
              <w:jc w:val="left"/>
            </w:pPr>
            <w:r>
              <w:rPr>
                <w:rFonts w:ascii="Arial" w:hAnsi="Arial"/>
                <w:sz w:val="20"/>
              </w:rPr>
              <w:t>9999</w:t>
            </w:r>
          </w:p>
        </w:tc>
        <w:tc>
          <w:tcPr>
            <w:tcW w:type="dxa" w:w="1080"/>
          </w:tcPr>
          <w:p>
            <w:pPr>
              <w:spacing w:lineRule="auto" w:line="360"/>
              <w:jc w:val="left"/>
            </w:pPr>
            <w:r>
              <w:rPr>
                <w:rFonts w:ascii="Arial" w:hAnsi="Arial"/>
                <w:sz w:val="20"/>
              </w:rPr>
              <w:t>0.2293</w:t>
            </w:r>
          </w:p>
        </w:tc>
        <w:tc>
          <w:tcPr>
            <w:tcW w:type="dxa" w:w="1080"/>
          </w:tcPr>
          <w:p>
            <w:pPr>
              <w:spacing w:lineRule="auto" w:line="360"/>
              <w:jc w:val="center"/>
            </w:pPr>
            <w:r>
              <w:rPr>
                <w:sz w:val="20"/>
              </w:rPr>
              <w:t>—</w:t>
            </w:r>
          </w:p>
        </w:tc>
        <w:tc>
          <w:tcPr>
            <w:tcW w:type="dxa" w:w="1080"/>
          </w:tcPr>
          <w:p>
            <w:pPr>
              <w:spacing w:lineRule="auto" w:line="360"/>
              <w:jc w:val="center"/>
            </w:pPr>
            <w:r>
              <w:rPr>
                <w:sz w:val="20"/>
              </w:rPr>
              <w:t>—</w:t>
            </w:r>
          </w:p>
        </w:tc>
      </w:tr>
      <w:tr>
        <w:tc>
          <w:tcPr>
            <w:tcW w:type="dxa" w:w="1080"/>
          </w:tcPr>
          <w:p>
            <w:pPr>
              <w:spacing w:lineRule="auto" w:line="360"/>
              <w:jc w:val="left"/>
            </w:pPr>
            <w:r>
              <w:rPr>
                <w:rFonts w:ascii="Arial" w:hAnsi="Arial"/>
                <w:sz w:val="20"/>
              </w:rPr>
              <w:t>raw</w:t>
            </w:r>
          </w:p>
        </w:tc>
        <w:tc>
          <w:tcPr>
            <w:tcW w:type="dxa" w:w="1080"/>
          </w:tcPr>
          <w:p>
            <w:pPr>
              <w:spacing w:lineRule="auto" w:line="360"/>
              <w:jc w:val="left"/>
            </w:pPr>
            <w:r>
              <w:rPr>
                <w:rFonts w:ascii="Arial" w:hAnsi="Arial"/>
                <w:sz w:val="20"/>
              </w:rPr>
              <w:t>EOS</w:t>
            </w:r>
          </w:p>
        </w:tc>
        <w:tc>
          <w:tcPr>
            <w:tcW w:type="dxa" w:w="1080"/>
          </w:tcPr>
          <w:p>
            <w:pPr>
              <w:spacing w:lineRule="auto" w:line="360"/>
              <w:jc w:val="left"/>
            </w:pPr>
            <w:r>
              <w:rPr>
                <w:rFonts w:ascii="Arial" w:hAnsi="Arial"/>
                <w:sz w:val="20"/>
              </w:rPr>
              <w:t>+0.000</w:t>
            </w:r>
          </w:p>
        </w:tc>
        <w:tc>
          <w:tcPr>
            <w:tcW w:type="dxa" w:w="1080"/>
          </w:tcPr>
          <w:p>
            <w:pPr>
              <w:spacing w:lineRule="auto" w:line="360"/>
              <w:jc w:val="left"/>
            </w:pPr>
            <w:r>
              <w:rPr>
                <w:rFonts w:ascii="Arial" w:hAnsi="Arial"/>
                <w:sz w:val="20"/>
              </w:rPr>
              <w:t>1.029</w:t>
            </w:r>
          </w:p>
        </w:tc>
        <w:tc>
          <w:tcPr>
            <w:tcW w:type="dxa" w:w="1080"/>
          </w:tcPr>
          <w:p>
            <w:pPr>
              <w:spacing w:lineRule="auto" w:line="360"/>
              <w:jc w:val="left"/>
            </w:pPr>
            <w:r>
              <w:rPr>
                <w:rFonts w:ascii="Arial" w:hAnsi="Arial"/>
                <w:sz w:val="20"/>
              </w:rPr>
              <w:t>9999</w:t>
            </w:r>
          </w:p>
        </w:tc>
        <w:tc>
          <w:tcPr>
            <w:tcW w:type="dxa" w:w="1080"/>
          </w:tcPr>
          <w:p>
            <w:pPr>
              <w:spacing w:lineRule="auto" w:line="360"/>
              <w:jc w:val="left"/>
            </w:pPr>
            <w:r>
              <w:rPr>
                <w:rFonts w:ascii="Arial" w:hAnsi="Arial"/>
                <w:sz w:val="20"/>
              </w:rPr>
              <w:t>0.2047</w:t>
            </w:r>
          </w:p>
        </w:tc>
        <w:tc>
          <w:tcPr>
            <w:tcW w:type="dxa" w:w="1080"/>
          </w:tcPr>
          <w:p>
            <w:pPr>
              <w:spacing w:lineRule="auto" w:line="360"/>
              <w:jc w:val="center"/>
            </w:pPr>
            <w:r>
              <w:rPr>
                <w:sz w:val="20"/>
              </w:rPr>
              <w:t>—</w:t>
            </w:r>
          </w:p>
        </w:tc>
        <w:tc>
          <w:tcPr>
            <w:tcW w:type="dxa" w:w="1080"/>
          </w:tcPr>
          <w:p>
            <w:pPr>
              <w:spacing w:lineRule="auto" w:line="360"/>
              <w:jc w:val="center"/>
            </w:pPr>
            <w:r>
              <w:rPr>
                <w:sz w:val="20"/>
              </w:rPr>
              <w:t>—</w:t>
            </w:r>
          </w:p>
        </w:tc>
      </w:tr>
      <w:tr>
        <w:tc>
          <w:tcPr>
            <w:tcW w:type="dxa" w:w="1080"/>
          </w:tcPr>
          <w:p>
            <w:pPr>
              <w:spacing w:lineRule="auto" w:line="360"/>
              <w:jc w:val="left"/>
            </w:pPr>
            <w:r>
              <w:rPr>
                <w:rFonts w:ascii="Arial" w:hAnsi="Arial"/>
                <w:sz w:val="20"/>
              </w:rPr>
              <w:t>corrected</w:t>
            </w:r>
          </w:p>
        </w:tc>
        <w:tc>
          <w:tcPr>
            <w:tcW w:type="dxa" w:w="1080"/>
          </w:tcPr>
          <w:p>
            <w:pPr>
              <w:spacing w:lineRule="auto" w:line="360"/>
              <w:jc w:val="left"/>
            </w:pPr>
            <w:r>
              <w:rPr>
                <w:rFonts w:ascii="Arial" w:hAnsi="Arial"/>
                <w:sz w:val="20"/>
              </w:rPr>
              <w:t>SOS</w:t>
            </w:r>
          </w:p>
        </w:tc>
        <w:tc>
          <w:tcPr>
            <w:tcW w:type="dxa" w:w="1080"/>
          </w:tcPr>
          <w:p>
            <w:pPr>
              <w:spacing w:lineRule="auto" w:line="360"/>
              <w:jc w:val="left"/>
            </w:pPr>
            <w:r>
              <w:rPr>
                <w:rFonts w:ascii="Arial" w:hAnsi="Arial"/>
                <w:sz w:val="20"/>
              </w:rPr>
              <w:t>+15.108</w:t>
            </w:r>
          </w:p>
        </w:tc>
        <w:tc>
          <w:tcPr>
            <w:tcW w:type="dxa" w:w="1080"/>
          </w:tcPr>
          <w:p>
            <w:pPr>
              <w:spacing w:lineRule="auto" w:line="360"/>
              <w:jc w:val="left"/>
            </w:pPr>
            <w:r>
              <w:rPr>
                <w:rFonts w:ascii="Arial" w:hAnsi="Arial"/>
                <w:sz w:val="20"/>
              </w:rPr>
              <w:t>0.873</w:t>
            </w:r>
          </w:p>
        </w:tc>
        <w:tc>
          <w:tcPr>
            <w:tcW w:type="dxa" w:w="1080"/>
          </w:tcPr>
          <w:p>
            <w:pPr>
              <w:spacing w:lineRule="auto" w:line="360"/>
              <w:jc w:val="left"/>
            </w:pPr>
            <w:r>
              <w:rPr>
                <w:rFonts w:ascii="Arial" w:hAnsi="Arial"/>
                <w:sz w:val="20"/>
              </w:rPr>
              <w:t>9999</w:t>
            </w:r>
          </w:p>
        </w:tc>
        <w:tc>
          <w:tcPr>
            <w:tcW w:type="dxa" w:w="1080"/>
          </w:tcPr>
          <w:p>
            <w:pPr>
              <w:spacing w:lineRule="auto" w:line="360"/>
              <w:jc w:val="left"/>
            </w:pPr>
            <w:r>
              <w:rPr>
                <w:rFonts w:ascii="Arial" w:hAnsi="Arial"/>
                <w:sz w:val="20"/>
              </w:rPr>
              <w:t>0.4065</w:t>
            </w:r>
          </w:p>
        </w:tc>
        <w:tc>
          <w:tcPr>
            <w:tcW w:type="dxa" w:w="1080"/>
          </w:tcPr>
          <w:p>
            <w:pPr>
              <w:spacing w:lineRule="auto" w:line="360"/>
              <w:jc w:val="center"/>
            </w:pPr>
            <w:r>
              <w:rPr>
                <w:sz w:val="20"/>
              </w:rPr>
              <w:t>—</w:t>
            </w:r>
          </w:p>
        </w:tc>
        <w:tc>
          <w:tcPr>
            <w:tcW w:type="dxa" w:w="1080"/>
          </w:tcPr>
          <w:p>
            <w:pPr>
              <w:spacing w:lineRule="auto" w:line="360"/>
              <w:jc w:val="center"/>
            </w:pPr>
            <w:r>
              <w:rPr>
                <w:sz w:val="20"/>
              </w:rPr>
              <w:t>—</w:t>
            </w:r>
          </w:p>
        </w:tc>
      </w:tr>
      <w:tr>
        <w:tc>
          <w:tcPr>
            <w:tcW w:type="dxa" w:w="1080"/>
          </w:tcPr>
          <w:p>
            <w:pPr>
              <w:spacing w:lineRule="auto" w:line="360"/>
              <w:jc w:val="left"/>
            </w:pPr>
            <w:r>
              <w:rPr>
                <w:rFonts w:ascii="Arial" w:hAnsi="Arial"/>
                <w:sz w:val="20"/>
              </w:rPr>
              <w:t>corrected</w:t>
            </w:r>
          </w:p>
        </w:tc>
        <w:tc>
          <w:tcPr>
            <w:tcW w:type="dxa" w:w="1080"/>
          </w:tcPr>
          <w:p>
            <w:pPr>
              <w:spacing w:lineRule="auto" w:line="360"/>
              <w:jc w:val="left"/>
            </w:pPr>
            <w:r>
              <w:rPr>
                <w:rFonts w:ascii="Arial" w:hAnsi="Arial"/>
                <w:sz w:val="20"/>
              </w:rPr>
              <w:t>POS</w:t>
            </w:r>
          </w:p>
        </w:tc>
        <w:tc>
          <w:tcPr>
            <w:tcW w:type="dxa" w:w="1080"/>
          </w:tcPr>
          <w:p>
            <w:pPr>
              <w:spacing w:lineRule="auto" w:line="360"/>
              <w:jc w:val="left"/>
            </w:pPr>
            <w:r>
              <w:rPr>
                <w:rFonts w:ascii="Arial" w:hAnsi="Arial"/>
                <w:sz w:val="20"/>
              </w:rPr>
              <w:t>-3.677</w:t>
            </w:r>
          </w:p>
        </w:tc>
        <w:tc>
          <w:tcPr>
            <w:tcW w:type="dxa" w:w="1080"/>
          </w:tcPr>
          <w:p>
            <w:pPr>
              <w:spacing w:lineRule="auto" w:line="360"/>
              <w:jc w:val="left"/>
            </w:pPr>
            <w:r>
              <w:rPr>
                <w:rFonts w:ascii="Arial" w:hAnsi="Arial"/>
                <w:sz w:val="20"/>
              </w:rPr>
              <w:t>-1.269</w:t>
            </w:r>
          </w:p>
        </w:tc>
        <w:tc>
          <w:tcPr>
            <w:tcW w:type="dxa" w:w="1080"/>
          </w:tcPr>
          <w:p>
            <w:pPr>
              <w:spacing w:lineRule="auto" w:line="360"/>
              <w:jc w:val="left"/>
            </w:pPr>
            <w:r>
              <w:rPr>
                <w:rFonts w:ascii="Arial" w:hAnsi="Arial"/>
                <w:sz w:val="20"/>
              </w:rPr>
              <w:t>9999</w:t>
            </w:r>
          </w:p>
        </w:tc>
        <w:tc>
          <w:tcPr>
            <w:tcW w:type="dxa" w:w="1080"/>
          </w:tcPr>
          <w:p>
            <w:pPr>
              <w:spacing w:lineRule="auto" w:line="360"/>
              <w:jc w:val="left"/>
            </w:pPr>
            <w:r>
              <w:rPr>
                <w:rFonts w:ascii="Arial" w:hAnsi="Arial"/>
                <w:sz w:val="20"/>
              </w:rPr>
              <w:t>0.2293</w:t>
            </w:r>
          </w:p>
        </w:tc>
        <w:tc>
          <w:tcPr>
            <w:tcW w:type="dxa" w:w="1080"/>
          </w:tcPr>
          <w:p>
            <w:pPr>
              <w:spacing w:lineRule="auto" w:line="360"/>
              <w:jc w:val="center"/>
            </w:pPr>
            <w:r>
              <w:rPr>
                <w:sz w:val="20"/>
              </w:rPr>
              <w:t>—</w:t>
            </w:r>
          </w:p>
        </w:tc>
        <w:tc>
          <w:tcPr>
            <w:tcW w:type="dxa" w:w="1080"/>
          </w:tcPr>
          <w:p>
            <w:pPr>
              <w:spacing w:lineRule="auto" w:line="360"/>
              <w:jc w:val="center"/>
            </w:pPr>
            <w:r>
              <w:rPr>
                <w:sz w:val="20"/>
              </w:rPr>
              <w:t>—</w:t>
            </w:r>
          </w:p>
        </w:tc>
      </w:tr>
      <w:tr>
        <w:tc>
          <w:tcPr>
            <w:tcW w:type="dxa" w:w="1080"/>
          </w:tcPr>
          <w:p>
            <w:pPr>
              <w:spacing w:lineRule="auto" w:line="360"/>
              <w:jc w:val="left"/>
            </w:pPr>
            <w:r>
              <w:rPr>
                <w:rFonts w:ascii="Arial" w:hAnsi="Arial"/>
                <w:sz w:val="20"/>
              </w:rPr>
              <w:t>corrected</w:t>
            </w:r>
          </w:p>
        </w:tc>
        <w:tc>
          <w:tcPr>
            <w:tcW w:type="dxa" w:w="1080"/>
          </w:tcPr>
          <w:p>
            <w:pPr>
              <w:spacing w:lineRule="auto" w:line="360"/>
              <w:jc w:val="left"/>
            </w:pPr>
            <w:r>
              <w:rPr>
                <w:rFonts w:ascii="Arial" w:hAnsi="Arial"/>
                <w:sz w:val="20"/>
              </w:rPr>
              <w:t>EOS</w:t>
            </w:r>
          </w:p>
        </w:tc>
        <w:tc>
          <w:tcPr>
            <w:tcW w:type="dxa" w:w="1080"/>
          </w:tcPr>
          <w:p>
            <w:pPr>
              <w:spacing w:lineRule="auto" w:line="360"/>
              <w:jc w:val="left"/>
            </w:pPr>
            <w:r>
              <w:rPr>
                <w:rFonts w:ascii="Arial" w:hAnsi="Arial"/>
                <w:sz w:val="20"/>
              </w:rPr>
              <w:t>-0.239</w:t>
            </w:r>
          </w:p>
        </w:tc>
        <w:tc>
          <w:tcPr>
            <w:tcW w:type="dxa" w:w="1080"/>
          </w:tcPr>
          <w:p>
            <w:pPr>
              <w:spacing w:lineRule="auto" w:line="360"/>
              <w:jc w:val="left"/>
            </w:pPr>
            <w:r>
              <w:rPr>
                <w:rFonts w:ascii="Arial" w:hAnsi="Arial"/>
                <w:sz w:val="20"/>
              </w:rPr>
              <w:t>-1.411</w:t>
            </w:r>
          </w:p>
        </w:tc>
        <w:tc>
          <w:tcPr>
            <w:tcW w:type="dxa" w:w="1080"/>
          </w:tcPr>
          <w:p>
            <w:pPr>
              <w:spacing w:lineRule="auto" w:line="360"/>
              <w:jc w:val="left"/>
            </w:pPr>
            <w:r>
              <w:rPr>
                <w:rFonts w:ascii="Arial" w:hAnsi="Arial"/>
                <w:sz w:val="20"/>
              </w:rPr>
              <w:t>9999</w:t>
            </w:r>
          </w:p>
        </w:tc>
        <w:tc>
          <w:tcPr>
            <w:tcW w:type="dxa" w:w="1080"/>
          </w:tcPr>
          <w:p>
            <w:pPr>
              <w:spacing w:lineRule="auto" w:line="360"/>
              <w:jc w:val="left"/>
            </w:pPr>
            <w:r>
              <w:rPr>
                <w:rFonts w:ascii="Arial" w:hAnsi="Arial"/>
                <w:sz w:val="20"/>
              </w:rPr>
              <w:t>0.2035</w:t>
            </w:r>
          </w:p>
        </w:tc>
        <w:tc>
          <w:tcPr>
            <w:tcW w:type="dxa" w:w="1080"/>
          </w:tcPr>
          <w:p>
            <w:pPr>
              <w:spacing w:lineRule="auto" w:line="360"/>
              <w:jc w:val="center"/>
            </w:pPr>
            <w:r>
              <w:rPr>
                <w:sz w:val="20"/>
              </w:rPr>
              <w:t>—</w:t>
            </w:r>
          </w:p>
        </w:tc>
        <w:tc>
          <w:tcPr>
            <w:tcW w:type="dxa" w:w="1080"/>
          </w:tcPr>
          <w:p>
            <w:pPr>
              <w:spacing w:lineRule="auto" w:line="360"/>
              <w:jc w:val="center"/>
            </w:pPr>
            <w:r>
              <w:rPr>
                <w:sz w:val="20"/>
              </w:rPr>
              <w:t>—</w:t>
            </w:r>
          </w:p>
        </w:tc>
      </w:tr>
    </w:tbl>
    <w:p>
      <w:pPr>
        <w:spacing w:before="0" w:after="120" w:line="276" w:lineRule="auto"/>
      </w:pPr>
      <w:r>
        <w:rPr>
          <w:rFonts w:ascii="Arial" w:hAnsi="Arial"/>
          <w:i/>
          <w:sz w:val="19"/>
          <w:szCs w:val="19"/>
          <w:color w:val="595959"/>
        </w:rPr>
        <w:t xml:space="preserve">Abbreviations: EOS = End-Of-Season; POS = Peak-Of-Season; SOS = Start-Of-Season; WCR = Wild-Cluster Restricted (bootstrap).</w:t>
      </w:r>
    </w:p>
    <w:p>
      <w:pPr>
        <w:spacing w:lineRule="auto" w:line="480"/>
        <w:jc w:val="left"/>
      </w:pPr>
    </w:p>
    <w:p>
      <w:pPr>
        <w:spacing w:lineRule="auto" w:line="480"/>
        <w:jc w:val="both"/>
      </w:pPr>
      <w:r>
        <w:rPr>
          <w:rFonts w:ascii="Arial" w:hAnsi="Arial"/>
          <w:sz w:val="18"/>
        </w:rPr>
        <w:t>Notes. WCR = wild cluster restricted (residuals imposed under H0: τ=0). Floor on bootstrap p-value at B=9999 is 1/(B+1) = 0.0001. District clusters: 8.</w:t>
      </w:r>
    </w:p>
    <w:p>
      <w:pPr>
        <w:spacing w:lineRule="auto" w:line="480"/>
        <w:jc w:val="left"/>
      </w:pPr>
      <w:r>
        <w:rPr>
          <w:rFonts w:ascii="Arial" w:hAnsi="Arial"/>
          <w:sz w:val="20"/>
        </w:rPr>
        <w:br w:type="page"/>
      </w:r>
    </w:p>
    <w:p>
      <w:pPr>
        <w:keepNext/>
        <w:spacing w:before="240" w:after="120" w:line="276" w:lineRule="auto"/>
        <w:jc w:val="both"/>
      </w:pPr>
      <w:bookmarkStart w:id="63462" w:name="table_s5"/>
      <w:r>
        <w:rPr>
          <w:rFonts w:ascii="Arial" w:hAnsi="Arial"/>
          <w:b/>
          <w:color w:val="1F3A5F"/>
          <w:sz w:val="32"/>
        </w:rPr>
        <w:t>Table S5 — Jackknife leave-one-out</w:t>
      </w:r>
      <w:bookmarkEnd w:id="63462"/>
    </w:p>
    <w:p>
      <w:pPr>
        <w:spacing w:line="276" w:lineRule="auto"/>
        <w:jc w:val="both"/>
      </w:pPr>
      <w:r>
        <w:rPr>
          <w:rFonts w:ascii="Arial" w:hAnsi="Arial"/>
          <w:b/>
          <w:sz w:val="20"/>
        </w:rPr>
        <w:t>Table S5a.  Leave-one-district-out (LOO) sensitivity verdicts. Each cell shows the maximum percentage change in τ̂ across the 8 LOO refits and the most-influential dropped district.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Rule="auto" w:line="360"/>
              <w:jc w:val="left"/>
            </w:pPr>
            <w:r>
              <w:rPr>
                <w:rFonts w:ascii="Arial" w:hAnsi="Arial"/>
                <w:b/>
                <w:sz w:val="20"/>
              </w:rPr>
              <w:t>Pipeline</w:t>
            </w:r>
          </w:p>
        </w:tc>
        <w:tc>
          <w:tcPr>
            <w:tcW w:type="dxa" w:w="1440"/>
          </w:tcPr>
          <w:p>
            <w:pPr>
              <w:spacing w:lineRule="auto" w:line="360"/>
              <w:jc w:val="left"/>
            </w:pPr>
            <w:r>
              <w:rPr>
                <w:rFonts w:ascii="Arial" w:hAnsi="Arial"/>
                <w:b/>
                <w:sz w:val="20"/>
              </w:rPr>
              <w:t>Metric</w:t>
            </w:r>
          </w:p>
        </w:tc>
        <w:tc>
          <w:tcPr>
            <w:tcW w:type="dxa" w:w="1440"/>
          </w:tcPr>
          <w:p>
            <w:pPr>
              <w:spacing w:lineRule="auto" w:line="360"/>
              <w:jc w:val="left"/>
            </w:pPr>
            <w:r>
              <w:rPr>
                <w:rFonts w:ascii="Arial" w:hAnsi="Arial"/>
                <w:b/>
                <w:sz w:val="20"/>
              </w:rPr>
              <w:t>τ̂ full (d)</w:t>
            </w:r>
          </w:p>
        </w:tc>
        <w:tc>
          <w:tcPr>
            <w:tcW w:type="dxa" w:w="1440"/>
          </w:tcPr>
          <w:p>
            <w:pPr>
              <w:spacing w:lineRule="auto" w:line="360"/>
              <w:jc w:val="left"/>
            </w:pPr>
            <w:r>
              <w:rPr>
                <w:rFonts w:ascii="Arial" w:hAnsi="Arial"/>
                <w:b/>
                <w:sz w:val="20"/>
              </w:rPr>
              <w:t>max |Δτ| (%)</w:t>
            </w:r>
          </w:p>
        </w:tc>
        <w:tc>
          <w:tcPr>
            <w:tcW w:type="dxa" w:w="1440"/>
          </w:tcPr>
          <w:p>
            <w:pPr>
              <w:spacing w:lineRule="auto" w:line="360"/>
              <w:jc w:val="left"/>
            </w:pPr>
            <w:r>
              <w:rPr>
                <w:rFonts w:ascii="Arial" w:hAnsi="Arial"/>
                <w:b/>
                <w:sz w:val="20"/>
              </w:rPr>
              <w:t>Driver district</w:t>
            </w:r>
          </w:p>
        </w:tc>
        <w:tc>
          <w:tcPr>
            <w:tcW w:type="dxa" w:w="1440"/>
          </w:tcPr>
          <w:p>
            <w:pPr>
              <w:spacing w:lineRule="auto" w:line="360"/>
              <w:jc w:val="left"/>
            </w:pPr>
            <w:r>
              <w:rPr>
                <w:rFonts w:ascii="Arial" w:hAnsi="Arial"/>
                <w:b/>
                <w:sz w:val="20"/>
              </w:rPr>
              <w:t>Verdict</w:t>
            </w:r>
          </w:p>
        </w:tc>
      </w:tr>
      <w:tr>
        <w:tc>
          <w:tcPr>
            <w:tcW w:type="dxa" w:w="1440"/>
          </w:tcPr>
          <w:p>
            <w:pPr>
              <w:spacing w:lineRule="auto" w:line="360"/>
              <w:jc w:val="left"/>
            </w:pPr>
            <w:r>
              <w:rPr>
                <w:rFonts w:ascii="Arial" w:hAnsi="Arial"/>
                <w:sz w:val="20"/>
              </w:rPr>
              <w:t>raw</w:t>
            </w:r>
          </w:p>
        </w:tc>
        <w:tc>
          <w:tcPr>
            <w:tcW w:type="dxa" w:w="1440"/>
          </w:tcPr>
          <w:p>
            <w:pPr>
              <w:spacing w:lineRule="auto" w:line="360"/>
              <w:jc w:val="left"/>
            </w:pPr>
            <w:r>
              <w:rPr>
                <w:rFonts w:ascii="Arial" w:hAnsi="Arial"/>
                <w:sz w:val="20"/>
              </w:rPr>
              <w:t>SOS</w:t>
            </w:r>
          </w:p>
        </w:tc>
        <w:tc>
          <w:tcPr>
            <w:tcW w:type="dxa" w:w="1440"/>
          </w:tcPr>
          <w:p>
            <w:pPr>
              <w:spacing w:lineRule="auto" w:line="360"/>
              <w:jc w:val="left"/>
            </w:pPr>
            <w:r>
              <w:rPr>
                <w:rFonts w:ascii="Arial" w:hAnsi="Arial"/>
                <w:sz w:val="20"/>
              </w:rPr>
              <w:t>+15.289</w:t>
            </w:r>
          </w:p>
        </w:tc>
        <w:tc>
          <w:tcPr>
            <w:tcW w:type="dxa" w:w="1440"/>
          </w:tcPr>
          <w:p>
            <w:pPr>
              <w:spacing w:lineRule="auto" w:line="360"/>
              <w:jc w:val="left"/>
            </w:pPr>
            <w:r>
              <w:rPr>
                <w:rFonts w:ascii="Arial" w:hAnsi="Arial"/>
                <w:sz w:val="20"/>
              </w:rPr>
              <w:t>76.1</w:t>
            </w:r>
          </w:p>
        </w:tc>
        <w:tc>
          <w:tcPr>
            <w:tcW w:type="dxa" w:w="1440"/>
          </w:tcPr>
          <w:p>
            <w:pPr>
              <w:spacing w:lineRule="auto" w:line="360"/>
              <w:jc w:val="left"/>
            </w:pPr>
            <w:r>
              <w:rPr>
                <w:rFonts w:ascii="Arial" w:hAnsi="Arial"/>
                <w:sz w:val="20"/>
              </w:rPr>
              <w:t>Bhadrak</w:t>
            </w:r>
          </w:p>
        </w:tc>
        <w:tc>
          <w:tcPr>
            <w:tcW w:type="dxa" w:w="1440"/>
          </w:tcPr>
          <w:p>
            <w:pPr>
              <w:spacing w:lineRule="auto" w:line="360"/>
              <w:jc w:val="left"/>
            </w:pPr>
            <w:r>
              <w:rPr>
                <w:rFonts w:ascii="Arial" w:hAnsi="Arial"/>
                <w:sz w:val="20"/>
              </w:rPr>
              <w:t>leverage</w:t>
            </w:r>
          </w:p>
        </w:tc>
      </w:tr>
      <w:tr>
        <w:tc>
          <w:tcPr>
            <w:tcW w:type="dxa" w:w="1440"/>
          </w:tcPr>
          <w:p>
            <w:pPr>
              <w:spacing w:lineRule="auto" w:line="360"/>
              <w:jc w:val="left"/>
            </w:pPr>
            <w:r>
              <w:rPr>
                <w:rFonts w:ascii="Arial" w:hAnsi="Arial"/>
                <w:sz w:val="20"/>
              </w:rPr>
              <w:t>raw</w:t>
            </w:r>
          </w:p>
        </w:tc>
        <w:tc>
          <w:tcPr>
            <w:tcW w:type="dxa" w:w="1440"/>
          </w:tcPr>
          <w:p>
            <w:pPr>
              <w:spacing w:lineRule="auto" w:line="360"/>
              <w:jc w:val="left"/>
            </w:pPr>
            <w:r>
              <w:rPr>
                <w:rFonts w:ascii="Arial" w:hAnsi="Arial"/>
                <w:sz w:val="20"/>
              </w:rPr>
              <w:t>POS</w:t>
            </w:r>
          </w:p>
        </w:tc>
        <w:tc>
          <w:tcPr>
            <w:tcW w:type="dxa" w:w="1440"/>
          </w:tcPr>
          <w:p>
            <w:pPr>
              <w:spacing w:lineRule="auto" w:line="360"/>
              <w:jc w:val="left"/>
            </w:pPr>
            <w:r>
              <w:rPr>
                <w:rFonts w:ascii="Arial" w:hAnsi="Arial"/>
                <w:sz w:val="20"/>
              </w:rPr>
              <w:t>-3.587</w:t>
            </w:r>
          </w:p>
        </w:tc>
        <w:tc>
          <w:tcPr>
            <w:tcW w:type="dxa" w:w="1440"/>
          </w:tcPr>
          <w:p>
            <w:pPr>
              <w:spacing w:lineRule="auto" w:line="360"/>
              <w:jc w:val="left"/>
            </w:pPr>
            <w:r>
              <w:rPr>
                <w:rFonts w:ascii="Arial" w:hAnsi="Arial"/>
                <w:sz w:val="20"/>
              </w:rPr>
              <w:t>55.8</w:t>
            </w:r>
          </w:p>
        </w:tc>
        <w:tc>
          <w:tcPr>
            <w:tcW w:type="dxa" w:w="1440"/>
          </w:tcPr>
          <w:p>
            <w:pPr>
              <w:spacing w:lineRule="auto" w:line="360"/>
              <w:jc w:val="left"/>
            </w:pPr>
            <w:r>
              <w:rPr>
                <w:rFonts w:ascii="Arial" w:hAnsi="Arial"/>
                <w:sz w:val="20"/>
              </w:rPr>
              <w:t>Cuttack</w:t>
            </w:r>
          </w:p>
        </w:tc>
        <w:tc>
          <w:tcPr>
            <w:tcW w:type="dxa" w:w="1440"/>
          </w:tcPr>
          <w:p>
            <w:pPr>
              <w:spacing w:lineRule="auto" w:line="360"/>
              <w:jc w:val="left"/>
            </w:pPr>
            <w:r>
              <w:rPr>
                <w:rFonts w:ascii="Arial" w:hAnsi="Arial"/>
                <w:sz w:val="20"/>
              </w:rPr>
              <w:t>leverage</w:t>
            </w:r>
          </w:p>
        </w:tc>
      </w:tr>
      <w:tr>
        <w:tc>
          <w:tcPr>
            <w:tcW w:type="dxa" w:w="1440"/>
          </w:tcPr>
          <w:p>
            <w:pPr>
              <w:spacing w:lineRule="auto" w:line="360"/>
              <w:jc w:val="left"/>
            </w:pPr>
            <w:r>
              <w:rPr>
                <w:rFonts w:ascii="Arial" w:hAnsi="Arial"/>
                <w:sz w:val="20"/>
              </w:rPr>
              <w:t>raw</w:t>
            </w:r>
          </w:p>
        </w:tc>
        <w:tc>
          <w:tcPr>
            <w:tcW w:type="dxa" w:w="1440"/>
          </w:tcPr>
          <w:p>
            <w:pPr>
              <w:spacing w:lineRule="auto" w:line="360"/>
              <w:jc w:val="left"/>
            </w:pPr>
            <w:r>
              <w:rPr>
                <w:rFonts w:ascii="Arial" w:hAnsi="Arial"/>
                <w:sz w:val="20"/>
              </w:rPr>
              <w:t>EOS</w:t>
            </w:r>
          </w:p>
        </w:tc>
        <w:tc>
          <w:tcPr>
            <w:tcW w:type="dxa" w:w="1440"/>
          </w:tcPr>
          <w:p>
            <w:pPr>
              <w:spacing w:lineRule="auto" w:line="360"/>
              <w:jc w:val="left"/>
            </w:pPr>
            <w:r>
              <w:rPr>
                <w:rFonts w:ascii="Arial" w:hAnsi="Arial"/>
                <w:sz w:val="20"/>
              </w:rPr>
              <w:t>-0.000</w:t>
            </w:r>
          </w:p>
        </w:tc>
        <w:tc>
          <w:tcPr>
            <w:tcW w:type="dxa" w:w="1440"/>
          </w:tcPr>
          <w:p>
            <w:pPr>
              <w:spacing w:lineRule="auto" w:line="360"/>
              <w:jc w:val="center"/>
            </w:pPr>
            <w:r>
              <w:rPr>
                <w:sz w:val="20"/>
              </w:rPr>
              <w:t>—</w:t>
            </w:r>
          </w:p>
        </w:tc>
        <w:tc>
          <w:tcPr>
            <w:tcW w:type="dxa" w:w="1440"/>
          </w:tcPr>
          <w:p>
            <w:pPr>
              <w:spacing w:lineRule="auto" w:line="360"/>
              <w:jc w:val="left"/>
            </w:pPr>
            <w:r>
              <w:rPr>
                <w:rFonts w:ascii="Arial" w:hAnsi="Arial"/>
                <w:sz w:val="20"/>
              </w:rPr>
              <w:t>Angul</w:t>
            </w:r>
          </w:p>
        </w:tc>
        <w:tc>
          <w:tcPr>
            <w:tcW w:type="dxa" w:w="1440"/>
          </w:tcPr>
          <w:p>
            <w:pPr>
              <w:spacing w:lineRule="auto" w:line="360"/>
              <w:jc w:val="left"/>
            </w:pPr>
            <w:r>
              <w:rPr>
                <w:rFonts w:ascii="Arial" w:hAnsi="Arial"/>
                <w:sz w:val="20"/>
              </w:rPr>
              <w:t>fragile</w:t>
            </w:r>
          </w:p>
        </w:tc>
      </w:tr>
      <w:tr>
        <w:tc>
          <w:tcPr>
            <w:tcW w:type="dxa" w:w="1440"/>
          </w:tcPr>
          <w:p>
            <w:pPr>
              <w:spacing w:lineRule="auto" w:line="360"/>
              <w:jc w:val="left"/>
            </w:pPr>
            <w:r>
              <w:rPr>
                <w:rFonts w:ascii="Arial" w:hAnsi="Arial"/>
                <w:sz w:val="20"/>
              </w:rPr>
              <w:t>corrected</w:t>
            </w:r>
          </w:p>
        </w:tc>
        <w:tc>
          <w:tcPr>
            <w:tcW w:type="dxa" w:w="1440"/>
          </w:tcPr>
          <w:p>
            <w:pPr>
              <w:spacing w:lineRule="auto" w:line="360"/>
              <w:jc w:val="left"/>
            </w:pPr>
            <w:r>
              <w:rPr>
                <w:rFonts w:ascii="Arial" w:hAnsi="Arial"/>
                <w:sz w:val="20"/>
              </w:rPr>
              <w:t>SOS</w:t>
            </w:r>
          </w:p>
        </w:tc>
        <w:tc>
          <w:tcPr>
            <w:tcW w:type="dxa" w:w="1440"/>
          </w:tcPr>
          <w:p>
            <w:pPr>
              <w:spacing w:lineRule="auto" w:line="360"/>
              <w:jc w:val="left"/>
            </w:pPr>
            <w:r>
              <w:rPr>
                <w:rFonts w:ascii="Arial" w:hAnsi="Arial"/>
                <w:sz w:val="20"/>
              </w:rPr>
              <w:t>+15.108</w:t>
            </w:r>
          </w:p>
        </w:tc>
        <w:tc>
          <w:tcPr>
            <w:tcW w:type="dxa" w:w="1440"/>
          </w:tcPr>
          <w:p>
            <w:pPr>
              <w:spacing w:lineRule="auto" w:line="360"/>
              <w:jc w:val="left"/>
            </w:pPr>
            <w:r>
              <w:rPr>
                <w:rFonts w:ascii="Arial" w:hAnsi="Arial"/>
                <w:sz w:val="20"/>
              </w:rPr>
              <w:t>76.7</w:t>
            </w:r>
          </w:p>
        </w:tc>
        <w:tc>
          <w:tcPr>
            <w:tcW w:type="dxa" w:w="1440"/>
          </w:tcPr>
          <w:p>
            <w:pPr>
              <w:spacing w:lineRule="auto" w:line="360"/>
              <w:jc w:val="left"/>
            </w:pPr>
            <w:r>
              <w:rPr>
                <w:rFonts w:ascii="Arial" w:hAnsi="Arial"/>
                <w:sz w:val="20"/>
              </w:rPr>
              <w:t>Bhadrak</w:t>
            </w:r>
          </w:p>
        </w:tc>
        <w:tc>
          <w:tcPr>
            <w:tcW w:type="dxa" w:w="1440"/>
          </w:tcPr>
          <w:p>
            <w:pPr>
              <w:spacing w:lineRule="auto" w:line="360"/>
              <w:jc w:val="left"/>
            </w:pPr>
            <w:r>
              <w:rPr>
                <w:rFonts w:ascii="Arial" w:hAnsi="Arial"/>
                <w:sz w:val="20"/>
              </w:rPr>
              <w:t>leverage</w:t>
            </w:r>
          </w:p>
        </w:tc>
      </w:tr>
      <w:tr>
        <w:tc>
          <w:tcPr>
            <w:tcW w:type="dxa" w:w="1440"/>
          </w:tcPr>
          <w:p>
            <w:pPr>
              <w:spacing w:lineRule="auto" w:line="360"/>
              <w:jc w:val="left"/>
            </w:pPr>
            <w:r>
              <w:rPr>
                <w:rFonts w:ascii="Arial" w:hAnsi="Arial"/>
                <w:sz w:val="20"/>
              </w:rPr>
              <w:t>corrected</w:t>
            </w:r>
          </w:p>
        </w:tc>
        <w:tc>
          <w:tcPr>
            <w:tcW w:type="dxa" w:w="1440"/>
          </w:tcPr>
          <w:p>
            <w:pPr>
              <w:spacing w:lineRule="auto" w:line="360"/>
              <w:jc w:val="left"/>
            </w:pPr>
            <w:r>
              <w:rPr>
                <w:rFonts w:ascii="Arial" w:hAnsi="Arial"/>
                <w:sz w:val="20"/>
              </w:rPr>
              <w:t>POS</w:t>
            </w:r>
          </w:p>
        </w:tc>
        <w:tc>
          <w:tcPr>
            <w:tcW w:type="dxa" w:w="1440"/>
          </w:tcPr>
          <w:p>
            <w:pPr>
              <w:spacing w:lineRule="auto" w:line="360"/>
              <w:jc w:val="left"/>
            </w:pPr>
            <w:r>
              <w:rPr>
                <w:rFonts w:ascii="Arial" w:hAnsi="Arial"/>
                <w:sz w:val="20"/>
              </w:rPr>
              <w:t>-3.677</w:t>
            </w:r>
          </w:p>
        </w:tc>
        <w:tc>
          <w:tcPr>
            <w:tcW w:type="dxa" w:w="1440"/>
          </w:tcPr>
          <w:p>
            <w:pPr>
              <w:spacing w:lineRule="auto" w:line="360"/>
              <w:jc w:val="left"/>
            </w:pPr>
            <w:r>
              <w:rPr>
                <w:rFonts w:ascii="Arial" w:hAnsi="Arial"/>
                <w:sz w:val="20"/>
              </w:rPr>
              <w:t>54.7</w:t>
            </w:r>
          </w:p>
        </w:tc>
        <w:tc>
          <w:tcPr>
            <w:tcW w:type="dxa" w:w="1440"/>
          </w:tcPr>
          <w:p>
            <w:pPr>
              <w:spacing w:lineRule="auto" w:line="360"/>
              <w:jc w:val="left"/>
            </w:pPr>
            <w:r>
              <w:rPr>
                <w:rFonts w:ascii="Arial" w:hAnsi="Arial"/>
                <w:sz w:val="20"/>
              </w:rPr>
              <w:t>Cuttack</w:t>
            </w:r>
          </w:p>
        </w:tc>
        <w:tc>
          <w:tcPr>
            <w:tcW w:type="dxa" w:w="1440"/>
          </w:tcPr>
          <w:p>
            <w:pPr>
              <w:spacing w:lineRule="auto" w:line="360"/>
              <w:jc w:val="left"/>
            </w:pPr>
            <w:r>
              <w:rPr>
                <w:rFonts w:ascii="Arial" w:hAnsi="Arial"/>
                <w:sz w:val="20"/>
              </w:rPr>
              <w:t>leverage</w:t>
            </w:r>
          </w:p>
        </w:tc>
      </w:tr>
      <w:tr>
        <w:tc>
          <w:tcPr>
            <w:tcW w:type="dxa" w:w="1440"/>
          </w:tcPr>
          <w:p>
            <w:pPr>
              <w:spacing w:lineRule="auto" w:line="360"/>
              <w:jc w:val="left"/>
            </w:pPr>
            <w:r>
              <w:rPr>
                <w:rFonts w:ascii="Arial" w:hAnsi="Arial"/>
                <w:sz w:val="20"/>
              </w:rPr>
              <w:t>corrected</w:t>
            </w:r>
          </w:p>
        </w:tc>
        <w:tc>
          <w:tcPr>
            <w:tcW w:type="dxa" w:w="1440"/>
          </w:tcPr>
          <w:p>
            <w:pPr>
              <w:spacing w:lineRule="auto" w:line="360"/>
              <w:jc w:val="left"/>
            </w:pPr>
            <w:r>
              <w:rPr>
                <w:rFonts w:ascii="Arial" w:hAnsi="Arial"/>
                <w:sz w:val="20"/>
              </w:rPr>
              <w:t>EOS</w:t>
            </w:r>
          </w:p>
        </w:tc>
        <w:tc>
          <w:tcPr>
            <w:tcW w:type="dxa" w:w="1440"/>
          </w:tcPr>
          <w:p>
            <w:pPr>
              <w:spacing w:lineRule="auto" w:line="360"/>
              <w:jc w:val="left"/>
            </w:pPr>
            <w:r>
              <w:rPr>
                <w:rFonts w:ascii="Arial" w:hAnsi="Arial"/>
                <w:sz w:val="20"/>
              </w:rPr>
              <w:t>-0.239</w:t>
            </w:r>
          </w:p>
        </w:tc>
        <w:tc>
          <w:tcPr>
            <w:tcW w:type="dxa" w:w="1440"/>
          </w:tcPr>
          <w:p>
            <w:pPr>
              <w:spacing w:lineRule="auto" w:line="360"/>
              <w:jc w:val="left"/>
            </w:pPr>
            <w:r>
              <w:rPr>
                <w:rFonts w:ascii="Arial" w:hAnsi="Arial"/>
                <w:sz w:val="20"/>
              </w:rPr>
              <w:t>60.2</w:t>
            </w:r>
          </w:p>
        </w:tc>
        <w:tc>
          <w:tcPr>
            <w:tcW w:type="dxa" w:w="1440"/>
          </w:tcPr>
          <w:p>
            <w:pPr>
              <w:spacing w:lineRule="auto" w:line="360"/>
              <w:jc w:val="left"/>
            </w:pPr>
            <w:r>
              <w:rPr>
                <w:rFonts w:ascii="Arial" w:hAnsi="Arial"/>
                <w:sz w:val="20"/>
              </w:rPr>
              <w:t>Bhadrak</w:t>
            </w:r>
          </w:p>
        </w:tc>
        <w:tc>
          <w:tcPr>
            <w:tcW w:type="dxa" w:w="1440"/>
          </w:tcPr>
          <w:p>
            <w:pPr>
              <w:spacing w:lineRule="auto" w:line="360"/>
              <w:jc w:val="left"/>
            </w:pPr>
            <w:r>
              <w:rPr>
                <w:rFonts w:ascii="Arial" w:hAnsi="Arial"/>
                <w:sz w:val="20"/>
              </w:rPr>
              <w:t>leverage</w:t>
            </w:r>
          </w:p>
        </w:tc>
      </w:tr>
    </w:tbl>
    <w:p>
      <w:pPr>
        <w:spacing w:before="0" w:after="120" w:line="276" w:lineRule="auto"/>
      </w:pPr>
      <w:r>
        <w:rPr>
          <w:rFonts w:ascii="Arial" w:hAnsi="Arial"/>
          <w:i/>
          <w:sz w:val="19"/>
          <w:szCs w:val="19"/>
          <w:color w:val="595959"/>
        </w:rPr>
        <w:t xml:space="preserve">Abbreviations: EOS = End-Of-Season; POS = Peak-Of-Season; SOS = Start-Of-Season.</w:t>
      </w:r>
    </w:p>
    <w:p>
      <w:pPr>
        <w:spacing w:lineRule="auto" w:line="480"/>
        <w:jc w:val="left"/>
      </w:pPr>
    </w:p>
    <w:p>
      <w:pPr>
        <w:spacing w:line="276" w:lineRule="auto"/>
        <w:jc w:val="both"/>
      </w:pPr>
      <w:r>
        <w:rPr>
          <w:rFonts w:ascii="Arial" w:hAnsi="Arial"/>
          <w:b/>
          <w:sz w:val="20"/>
        </w:rPr>
        <w:t>Table S5b.  Full leave-one-district-out detail: τ̂ and 95 % CI when each district is dropped.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spacing w:lineRule="auto" w:line="360"/>
              <w:jc w:val="left"/>
            </w:pPr>
            <w:r>
              <w:rPr>
                <w:rFonts w:ascii="Arial" w:hAnsi="Arial"/>
                <w:b/>
                <w:sz w:val="18"/>
              </w:rPr>
              <w:t>Pipeline</w:t>
            </w:r>
          </w:p>
        </w:tc>
        <w:tc>
          <w:tcPr>
            <w:tcW w:type="dxa" w:w="864"/>
          </w:tcPr>
          <w:p>
            <w:pPr>
              <w:spacing w:lineRule="auto" w:line="360"/>
              <w:jc w:val="left"/>
            </w:pPr>
            <w:r>
              <w:rPr>
                <w:rFonts w:ascii="Arial" w:hAnsi="Arial"/>
                <w:b/>
                <w:sz w:val="18"/>
              </w:rPr>
              <w:t>Metric</w:t>
            </w:r>
          </w:p>
        </w:tc>
        <w:tc>
          <w:tcPr>
            <w:tcW w:type="dxa" w:w="864"/>
          </w:tcPr>
          <w:p>
            <w:pPr>
              <w:spacing w:lineRule="auto" w:line="360"/>
              <w:jc w:val="left"/>
            </w:pPr>
            <w:r>
              <w:rPr>
                <w:rFonts w:ascii="Arial" w:hAnsi="Arial"/>
                <w:b/>
                <w:sz w:val="18"/>
              </w:rPr>
              <w:t>Dropped</w:t>
            </w:r>
          </w:p>
        </w:tc>
        <w:tc>
          <w:tcPr>
            <w:tcW w:type="dxa" w:w="864"/>
          </w:tcPr>
          <w:p>
            <w:pPr>
              <w:spacing w:lineRule="auto" w:line="360"/>
              <w:jc w:val="left"/>
            </w:pPr>
            <w:r>
              <w:rPr>
                <w:rFonts w:ascii="Arial" w:hAnsi="Arial"/>
                <w:b/>
                <w:sz w:val="18"/>
              </w:rPr>
              <w:t>Exposure</w:t>
            </w:r>
          </w:p>
        </w:tc>
        <w:tc>
          <w:tcPr>
            <w:tcW w:type="dxa" w:w="864"/>
          </w:tcPr>
          <w:p>
            <w:pPr>
              <w:spacing w:lineRule="auto" w:line="360"/>
              <w:jc w:val="left"/>
            </w:pPr>
            <w:r>
              <w:rPr>
                <w:rFonts w:ascii="Arial" w:hAnsi="Arial"/>
                <w:b/>
                <w:sz w:val="18"/>
              </w:rPr>
              <w:t>τ̂ LOO</w:t>
            </w:r>
          </w:p>
        </w:tc>
        <w:tc>
          <w:tcPr>
            <w:tcW w:type="dxa" w:w="864"/>
          </w:tcPr>
          <w:p>
            <w:pPr>
              <w:spacing w:lineRule="auto" w:line="360"/>
              <w:jc w:val="left"/>
            </w:pPr>
            <w:r>
              <w:rPr>
                <w:rFonts w:ascii="Arial" w:hAnsi="Arial"/>
                <w:b/>
                <w:sz w:val="18"/>
              </w:rPr>
              <w:t>SE</w:t>
            </w:r>
          </w:p>
        </w:tc>
        <w:tc>
          <w:tcPr>
            <w:tcW w:type="dxa" w:w="864"/>
          </w:tcPr>
          <w:p>
            <w:pPr>
              <w:spacing w:lineRule="auto" w:line="360"/>
              <w:jc w:val="left"/>
            </w:pPr>
            <w:r>
              <w:rPr>
                <w:rFonts w:ascii="Arial" w:hAnsi="Arial"/>
                <w:b/>
                <w:sz w:val="18"/>
              </w:rPr>
              <w:t>p</w:t>
            </w:r>
          </w:p>
        </w:tc>
        <w:tc>
          <w:tcPr>
            <w:tcW w:type="dxa" w:w="864"/>
          </w:tcPr>
          <w:p>
            <w:pPr>
              <w:spacing w:lineRule="auto" w:line="360"/>
              <w:jc w:val="left"/>
            </w:pPr>
            <w:r>
              <w:rPr>
                <w:rFonts w:ascii="Arial" w:hAnsi="Arial"/>
                <w:b/>
                <w:sz w:val="18"/>
              </w:rPr>
              <w:t>CI₂.₅</w:t>
            </w:r>
          </w:p>
        </w:tc>
        <w:tc>
          <w:tcPr>
            <w:tcW w:type="dxa" w:w="864"/>
          </w:tcPr>
          <w:p>
            <w:pPr>
              <w:spacing w:lineRule="auto" w:line="360"/>
              <w:jc w:val="left"/>
            </w:pPr>
            <w:r>
              <w:rPr>
                <w:rFonts w:ascii="Arial" w:hAnsi="Arial"/>
                <w:b/>
                <w:sz w:val="18"/>
              </w:rPr>
              <w:t>CI₉₇.₅</w:t>
            </w:r>
          </w:p>
        </w:tc>
        <w:tc>
          <w:tcPr>
            <w:tcW w:type="dxa" w:w="864"/>
          </w:tcPr>
          <w:p>
            <w:pPr>
              <w:spacing w:lineRule="auto" w:line="360"/>
              <w:jc w:val="left"/>
            </w:pPr>
            <w:r>
              <w:rPr>
                <w:rFonts w:ascii="Arial" w:hAnsi="Arial"/>
                <w:b/>
                <w:sz w:val="18"/>
              </w:rPr>
              <w:t>Δ (%)</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Angul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+21.733</w:t>
            </w:r>
          </w:p>
        </w:tc>
        <w:tc>
          <w:tcPr>
            <w:tcW w:type="dxa" w:w="864"/>
          </w:tcPr>
          <w:p>
            <w:pPr>
              <w:spacing w:lineRule="auto" w:line="360"/>
              <w:jc w:val="left"/>
            </w:pPr>
            <w:r>
              <w:rPr>
                <w:rFonts w:ascii="Arial" w:hAnsi="Arial"/>
                <w:sz w:val="18"/>
              </w:rPr>
              <w:t>16.548</w:t>
            </w:r>
          </w:p>
        </w:tc>
        <w:tc>
          <w:tcPr>
            <w:tcW w:type="dxa" w:w="864"/>
          </w:tcPr>
          <w:p>
            <w:pPr>
              <w:spacing w:lineRule="auto" w:line="360"/>
              <w:jc w:val="left"/>
            </w:pPr>
            <w:r>
              <w:rPr>
                <w:rFonts w:ascii="Arial" w:hAnsi="Arial"/>
                <w:sz w:val="18"/>
              </w:rPr>
              <w:t>0.189</w:t>
            </w:r>
          </w:p>
        </w:tc>
        <w:tc>
          <w:tcPr>
            <w:tcW w:type="dxa" w:w="864"/>
          </w:tcPr>
          <w:p>
            <w:pPr>
              <w:spacing w:lineRule="auto" w:line="360"/>
              <w:jc w:val="left"/>
            </w:pPr>
            <w:r>
              <w:rPr>
                <w:rFonts w:ascii="Arial" w:hAnsi="Arial"/>
                <w:sz w:val="18"/>
              </w:rPr>
              <w:t>-10.701</w:t>
            </w:r>
          </w:p>
        </w:tc>
        <w:tc>
          <w:tcPr>
            <w:tcW w:type="dxa" w:w="864"/>
          </w:tcPr>
          <w:p>
            <w:pPr>
              <w:spacing w:lineRule="auto" w:line="360"/>
              <w:jc w:val="left"/>
            </w:pPr>
            <w:r>
              <w:rPr>
                <w:rFonts w:ascii="Arial" w:hAnsi="Arial"/>
                <w:sz w:val="18"/>
              </w:rPr>
              <w:t>54.167</w:t>
            </w:r>
          </w:p>
        </w:tc>
        <w:tc>
          <w:tcPr>
            <w:tcW w:type="dxa" w:w="864"/>
          </w:tcPr>
          <w:p>
            <w:pPr>
              <w:spacing w:lineRule="auto" w:line="360"/>
              <w:jc w:val="left"/>
            </w:pPr>
            <w:r>
              <w:rPr>
                <w:rFonts w:ascii="Arial" w:hAnsi="Arial"/>
                <w:sz w:val="18"/>
              </w:rPr>
              <w:t>42.200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Baleshwar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+10.256</w:t>
            </w:r>
          </w:p>
        </w:tc>
        <w:tc>
          <w:tcPr>
            <w:tcW w:type="dxa" w:w="864"/>
          </w:tcPr>
          <w:p>
            <w:pPr>
              <w:spacing w:lineRule="auto" w:line="360"/>
              <w:jc w:val="left"/>
            </w:pPr>
            <w:r>
              <w:rPr>
                <w:rFonts w:ascii="Arial" w:hAnsi="Arial"/>
                <w:sz w:val="18"/>
              </w:rPr>
              <w:t>20.342</w:t>
            </w:r>
          </w:p>
        </w:tc>
        <w:tc>
          <w:tcPr>
            <w:tcW w:type="dxa" w:w="864"/>
          </w:tcPr>
          <w:p>
            <w:pPr>
              <w:spacing w:lineRule="auto" w:line="360"/>
              <w:jc w:val="left"/>
            </w:pPr>
            <w:r>
              <w:rPr>
                <w:rFonts w:ascii="Arial" w:hAnsi="Arial"/>
                <w:sz w:val="18"/>
              </w:rPr>
              <w:t>0.614</w:t>
            </w:r>
          </w:p>
        </w:tc>
        <w:tc>
          <w:tcPr>
            <w:tcW w:type="dxa" w:w="864"/>
          </w:tcPr>
          <w:p>
            <w:pPr>
              <w:spacing w:lineRule="auto" w:line="360"/>
              <w:jc w:val="left"/>
            </w:pPr>
            <w:r>
              <w:rPr>
                <w:rFonts w:ascii="Arial" w:hAnsi="Arial"/>
                <w:sz w:val="18"/>
              </w:rPr>
              <w:t>-29.613</w:t>
            </w:r>
          </w:p>
        </w:tc>
        <w:tc>
          <w:tcPr>
            <w:tcW w:type="dxa" w:w="864"/>
          </w:tcPr>
          <w:p>
            <w:pPr>
              <w:spacing w:lineRule="auto" w:line="360"/>
              <w:jc w:val="left"/>
            </w:pPr>
            <w:r>
              <w:rPr>
                <w:rFonts w:ascii="Arial" w:hAnsi="Arial"/>
                <w:sz w:val="18"/>
              </w:rPr>
              <w:t>50.124</w:t>
            </w:r>
          </w:p>
        </w:tc>
        <w:tc>
          <w:tcPr>
            <w:tcW w:type="dxa" w:w="864"/>
          </w:tcPr>
          <w:p>
            <w:pPr>
              <w:spacing w:lineRule="auto" w:line="360"/>
              <w:jc w:val="left"/>
            </w:pPr>
            <w:r>
              <w:rPr>
                <w:rFonts w:ascii="Arial" w:hAnsi="Arial"/>
                <w:sz w:val="18"/>
              </w:rPr>
              <w:t>-32.900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Bhadrak</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+3.656</w:t>
            </w:r>
          </w:p>
        </w:tc>
        <w:tc>
          <w:tcPr>
            <w:tcW w:type="dxa" w:w="864"/>
          </w:tcPr>
          <w:p>
            <w:pPr>
              <w:spacing w:lineRule="auto" w:line="360"/>
              <w:jc w:val="left"/>
            </w:pPr>
            <w:r>
              <w:rPr>
                <w:rFonts w:ascii="Arial" w:hAnsi="Arial"/>
                <w:sz w:val="18"/>
              </w:rPr>
              <w:t>14.092</w:t>
            </w:r>
          </w:p>
        </w:tc>
        <w:tc>
          <w:tcPr>
            <w:tcW w:type="dxa" w:w="864"/>
          </w:tcPr>
          <w:p>
            <w:pPr>
              <w:spacing w:lineRule="auto" w:line="360"/>
              <w:jc w:val="left"/>
            </w:pPr>
            <w:r>
              <w:rPr>
                <w:rFonts w:ascii="Arial" w:hAnsi="Arial"/>
                <w:sz w:val="18"/>
              </w:rPr>
              <w:t>0.795</w:t>
            </w:r>
          </w:p>
        </w:tc>
        <w:tc>
          <w:tcPr>
            <w:tcW w:type="dxa" w:w="864"/>
          </w:tcPr>
          <w:p>
            <w:pPr>
              <w:spacing w:lineRule="auto" w:line="360"/>
              <w:jc w:val="left"/>
            </w:pPr>
            <w:r>
              <w:rPr>
                <w:rFonts w:ascii="Arial" w:hAnsi="Arial"/>
                <w:sz w:val="18"/>
              </w:rPr>
              <w:t>-23.964</w:t>
            </w:r>
          </w:p>
        </w:tc>
        <w:tc>
          <w:tcPr>
            <w:tcW w:type="dxa" w:w="864"/>
          </w:tcPr>
          <w:p>
            <w:pPr>
              <w:spacing w:lineRule="auto" w:line="360"/>
              <w:jc w:val="left"/>
            </w:pPr>
            <w:r>
              <w:rPr>
                <w:rFonts w:ascii="Arial" w:hAnsi="Arial"/>
                <w:sz w:val="18"/>
              </w:rPr>
              <w:t>31.275</w:t>
            </w:r>
          </w:p>
        </w:tc>
        <w:tc>
          <w:tcPr>
            <w:tcW w:type="dxa" w:w="864"/>
          </w:tcPr>
          <w:p>
            <w:pPr>
              <w:spacing w:lineRule="auto" w:line="360"/>
              <w:jc w:val="left"/>
            </w:pPr>
            <w:r>
              <w:rPr>
                <w:rFonts w:ascii="Arial" w:hAnsi="Arial"/>
                <w:sz w:val="18"/>
              </w:rPr>
              <w:t>-76.100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Cuttack</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+10.567</w:t>
            </w:r>
          </w:p>
        </w:tc>
        <w:tc>
          <w:tcPr>
            <w:tcW w:type="dxa" w:w="864"/>
          </w:tcPr>
          <w:p>
            <w:pPr>
              <w:spacing w:lineRule="auto" w:line="360"/>
              <w:jc w:val="left"/>
            </w:pPr>
            <w:r>
              <w:rPr>
                <w:rFonts w:ascii="Arial" w:hAnsi="Arial"/>
                <w:sz w:val="18"/>
              </w:rPr>
              <w:t>17.860</w:t>
            </w:r>
          </w:p>
        </w:tc>
        <w:tc>
          <w:tcPr>
            <w:tcW w:type="dxa" w:w="864"/>
          </w:tcPr>
          <w:p>
            <w:pPr>
              <w:spacing w:lineRule="auto" w:line="360"/>
              <w:jc w:val="left"/>
            </w:pPr>
            <w:r>
              <w:rPr>
                <w:rFonts w:ascii="Arial" w:hAnsi="Arial"/>
                <w:sz w:val="18"/>
              </w:rPr>
              <w:t>0.554</w:t>
            </w:r>
          </w:p>
        </w:tc>
        <w:tc>
          <w:tcPr>
            <w:tcW w:type="dxa" w:w="864"/>
          </w:tcPr>
          <w:p>
            <w:pPr>
              <w:spacing w:lineRule="auto" w:line="360"/>
              <w:jc w:val="left"/>
            </w:pPr>
            <w:r>
              <w:rPr>
                <w:rFonts w:ascii="Arial" w:hAnsi="Arial"/>
                <w:sz w:val="18"/>
              </w:rPr>
              <w:t>-24.439</w:t>
            </w:r>
          </w:p>
        </w:tc>
        <w:tc>
          <w:tcPr>
            <w:tcW w:type="dxa" w:w="864"/>
          </w:tcPr>
          <w:p>
            <w:pPr>
              <w:spacing w:lineRule="auto" w:line="360"/>
              <w:jc w:val="left"/>
            </w:pPr>
            <w:r>
              <w:rPr>
                <w:rFonts w:ascii="Arial" w:hAnsi="Arial"/>
                <w:sz w:val="18"/>
              </w:rPr>
              <w:t>45.572</w:t>
            </w:r>
          </w:p>
        </w:tc>
        <w:tc>
          <w:tcPr>
            <w:tcW w:type="dxa" w:w="864"/>
          </w:tcPr>
          <w:p>
            <w:pPr>
              <w:spacing w:lineRule="auto" w:line="360"/>
              <w:jc w:val="left"/>
            </w:pPr>
            <w:r>
              <w:rPr>
                <w:rFonts w:ascii="Arial" w:hAnsi="Arial"/>
                <w:sz w:val="18"/>
              </w:rPr>
              <w:t>-30.900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Dhenkanal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+13.567</w:t>
            </w:r>
          </w:p>
        </w:tc>
        <w:tc>
          <w:tcPr>
            <w:tcW w:type="dxa" w:w="864"/>
          </w:tcPr>
          <w:p>
            <w:pPr>
              <w:spacing w:lineRule="auto" w:line="360"/>
              <w:jc w:val="left"/>
            </w:pPr>
            <w:r>
              <w:rPr>
                <w:rFonts w:ascii="Arial" w:hAnsi="Arial"/>
                <w:sz w:val="18"/>
              </w:rPr>
              <w:t>19.089</w:t>
            </w:r>
          </w:p>
        </w:tc>
        <w:tc>
          <w:tcPr>
            <w:tcW w:type="dxa" w:w="864"/>
          </w:tcPr>
          <w:p>
            <w:pPr>
              <w:spacing w:lineRule="auto" w:line="360"/>
              <w:jc w:val="left"/>
            </w:pPr>
            <w:r>
              <w:rPr>
                <w:rFonts w:ascii="Arial" w:hAnsi="Arial"/>
                <w:sz w:val="18"/>
              </w:rPr>
              <w:t>0.477</w:t>
            </w:r>
          </w:p>
        </w:tc>
        <w:tc>
          <w:tcPr>
            <w:tcW w:type="dxa" w:w="864"/>
          </w:tcPr>
          <w:p>
            <w:pPr>
              <w:spacing w:lineRule="auto" w:line="360"/>
              <w:jc w:val="left"/>
            </w:pPr>
            <w:r>
              <w:rPr>
                <w:rFonts w:ascii="Arial" w:hAnsi="Arial"/>
                <w:sz w:val="18"/>
              </w:rPr>
              <w:t>-23.846</w:t>
            </w:r>
          </w:p>
        </w:tc>
        <w:tc>
          <w:tcPr>
            <w:tcW w:type="dxa" w:w="864"/>
          </w:tcPr>
          <w:p>
            <w:pPr>
              <w:spacing w:lineRule="auto" w:line="360"/>
              <w:jc w:val="left"/>
            </w:pPr>
            <w:r>
              <w:rPr>
                <w:rFonts w:ascii="Arial" w:hAnsi="Arial"/>
                <w:sz w:val="18"/>
              </w:rPr>
              <w:t>50.980</w:t>
            </w:r>
          </w:p>
        </w:tc>
        <w:tc>
          <w:tcPr>
            <w:tcW w:type="dxa" w:w="864"/>
          </w:tcPr>
          <w:p>
            <w:pPr>
              <w:spacing w:lineRule="auto" w:line="360"/>
              <w:jc w:val="left"/>
            </w:pPr>
            <w:r>
              <w:rPr>
                <w:rFonts w:ascii="Arial" w:hAnsi="Arial"/>
                <w:sz w:val="18"/>
              </w:rPr>
              <w:t>-11.300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Jagatsinghpur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+17.906</w:t>
            </w:r>
          </w:p>
        </w:tc>
        <w:tc>
          <w:tcPr>
            <w:tcW w:type="dxa" w:w="864"/>
          </w:tcPr>
          <w:p>
            <w:pPr>
              <w:spacing w:lineRule="auto" w:line="360"/>
              <w:jc w:val="left"/>
            </w:pPr>
            <w:r>
              <w:rPr>
                <w:rFonts w:ascii="Arial" w:hAnsi="Arial"/>
                <w:sz w:val="18"/>
              </w:rPr>
              <w:t>21.212</w:t>
            </w:r>
          </w:p>
        </w:tc>
        <w:tc>
          <w:tcPr>
            <w:tcW w:type="dxa" w:w="864"/>
          </w:tcPr>
          <w:p>
            <w:pPr>
              <w:spacing w:lineRule="auto" w:line="360"/>
              <w:jc w:val="left"/>
            </w:pPr>
            <w:r>
              <w:rPr>
                <w:rFonts w:ascii="Arial" w:hAnsi="Arial"/>
                <w:sz w:val="18"/>
              </w:rPr>
              <w:t>0.399</w:t>
            </w:r>
          </w:p>
        </w:tc>
        <w:tc>
          <w:tcPr>
            <w:tcW w:type="dxa" w:w="864"/>
          </w:tcPr>
          <w:p>
            <w:pPr>
              <w:spacing w:lineRule="auto" w:line="360"/>
              <w:jc w:val="left"/>
            </w:pPr>
            <w:r>
              <w:rPr>
                <w:rFonts w:ascii="Arial" w:hAnsi="Arial"/>
                <w:sz w:val="18"/>
              </w:rPr>
              <w:t>-23.669</w:t>
            </w:r>
          </w:p>
        </w:tc>
        <w:tc>
          <w:tcPr>
            <w:tcW w:type="dxa" w:w="864"/>
          </w:tcPr>
          <w:p>
            <w:pPr>
              <w:spacing w:lineRule="auto" w:line="360"/>
              <w:jc w:val="left"/>
            </w:pPr>
            <w:r>
              <w:rPr>
                <w:rFonts w:ascii="Arial" w:hAnsi="Arial"/>
                <w:sz w:val="18"/>
              </w:rPr>
              <w:t>59.480</w:t>
            </w:r>
          </w:p>
        </w:tc>
        <w:tc>
          <w:tcPr>
            <w:tcW w:type="dxa" w:w="864"/>
          </w:tcPr>
          <w:p>
            <w:pPr>
              <w:spacing w:lineRule="auto" w:line="360"/>
              <w:jc w:val="left"/>
            </w:pPr>
            <w:r>
              <w:rPr>
                <w:rFonts w:ascii="Arial" w:hAnsi="Arial"/>
                <w:sz w:val="18"/>
              </w:rPr>
              <w:t>17.100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Kendrapara</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+22.039</w:t>
            </w:r>
          </w:p>
        </w:tc>
        <w:tc>
          <w:tcPr>
            <w:tcW w:type="dxa" w:w="864"/>
          </w:tcPr>
          <w:p>
            <w:pPr>
              <w:spacing w:lineRule="auto" w:line="360"/>
              <w:jc w:val="left"/>
            </w:pPr>
            <w:r>
              <w:rPr>
                <w:rFonts w:ascii="Arial" w:hAnsi="Arial"/>
                <w:sz w:val="18"/>
              </w:rPr>
              <w:t>19.344</w:t>
            </w:r>
          </w:p>
        </w:tc>
        <w:tc>
          <w:tcPr>
            <w:tcW w:type="dxa" w:w="864"/>
          </w:tcPr>
          <w:p>
            <w:pPr>
              <w:spacing w:lineRule="auto" w:line="360"/>
              <w:jc w:val="left"/>
            </w:pPr>
            <w:r>
              <w:rPr>
                <w:rFonts w:ascii="Arial" w:hAnsi="Arial"/>
                <w:sz w:val="18"/>
              </w:rPr>
              <w:t>0.255</w:t>
            </w:r>
          </w:p>
        </w:tc>
        <w:tc>
          <w:tcPr>
            <w:tcW w:type="dxa" w:w="864"/>
          </w:tcPr>
          <w:p>
            <w:pPr>
              <w:spacing w:lineRule="auto" w:line="360"/>
              <w:jc w:val="left"/>
            </w:pPr>
            <w:r>
              <w:rPr>
                <w:rFonts w:ascii="Arial" w:hAnsi="Arial"/>
                <w:sz w:val="18"/>
              </w:rPr>
              <w:t>-15.875</w:t>
            </w:r>
          </w:p>
        </w:tc>
        <w:tc>
          <w:tcPr>
            <w:tcW w:type="dxa" w:w="864"/>
          </w:tcPr>
          <w:p>
            <w:pPr>
              <w:spacing w:lineRule="auto" w:line="360"/>
              <w:jc w:val="left"/>
            </w:pPr>
            <w:r>
              <w:rPr>
                <w:rFonts w:ascii="Arial" w:hAnsi="Arial"/>
                <w:sz w:val="18"/>
              </w:rPr>
              <w:t>59.953</w:t>
            </w:r>
          </w:p>
        </w:tc>
        <w:tc>
          <w:tcPr>
            <w:tcW w:type="dxa" w:w="864"/>
          </w:tcPr>
          <w:p>
            <w:pPr>
              <w:spacing w:lineRule="auto" w:line="360"/>
              <w:jc w:val="left"/>
            </w:pPr>
            <w:r>
              <w:rPr>
                <w:rFonts w:ascii="Arial" w:hAnsi="Arial"/>
                <w:sz w:val="18"/>
              </w:rPr>
              <w:t>44.100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Puri</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+22.589</w:t>
            </w:r>
          </w:p>
        </w:tc>
        <w:tc>
          <w:tcPr>
            <w:tcW w:type="dxa" w:w="864"/>
          </w:tcPr>
          <w:p>
            <w:pPr>
              <w:spacing w:lineRule="auto" w:line="360"/>
              <w:jc w:val="left"/>
            </w:pPr>
            <w:r>
              <w:rPr>
                <w:rFonts w:ascii="Arial" w:hAnsi="Arial"/>
                <w:sz w:val="18"/>
              </w:rPr>
              <w:t>18.950</w:t>
            </w:r>
          </w:p>
        </w:tc>
        <w:tc>
          <w:tcPr>
            <w:tcW w:type="dxa" w:w="864"/>
          </w:tcPr>
          <w:p>
            <w:pPr>
              <w:spacing w:lineRule="auto" w:line="360"/>
              <w:jc w:val="left"/>
            </w:pPr>
            <w:r>
              <w:rPr>
                <w:rFonts w:ascii="Arial" w:hAnsi="Arial"/>
                <w:sz w:val="18"/>
              </w:rPr>
              <w:t>0.233</w:t>
            </w:r>
          </w:p>
        </w:tc>
        <w:tc>
          <w:tcPr>
            <w:tcW w:type="dxa" w:w="864"/>
          </w:tcPr>
          <w:p>
            <w:pPr>
              <w:spacing w:lineRule="auto" w:line="360"/>
              <w:jc w:val="left"/>
            </w:pPr>
            <w:r>
              <w:rPr>
                <w:rFonts w:ascii="Arial" w:hAnsi="Arial"/>
                <w:sz w:val="18"/>
              </w:rPr>
              <w:t>-14.552</w:t>
            </w:r>
          </w:p>
        </w:tc>
        <w:tc>
          <w:tcPr>
            <w:tcW w:type="dxa" w:w="864"/>
          </w:tcPr>
          <w:p>
            <w:pPr>
              <w:spacing w:lineRule="auto" w:line="360"/>
              <w:jc w:val="left"/>
            </w:pPr>
            <w:r>
              <w:rPr>
                <w:rFonts w:ascii="Arial" w:hAnsi="Arial"/>
                <w:sz w:val="18"/>
              </w:rPr>
              <w:t>59.729</w:t>
            </w:r>
          </w:p>
        </w:tc>
        <w:tc>
          <w:tcPr>
            <w:tcW w:type="dxa" w:w="864"/>
          </w:tcPr>
          <w:p>
            <w:pPr>
              <w:spacing w:lineRule="auto" w:line="360"/>
              <w:jc w:val="left"/>
            </w:pPr>
            <w:r>
              <w:rPr>
                <w:rFonts w:ascii="Arial" w:hAnsi="Arial"/>
                <w:sz w:val="18"/>
              </w:rPr>
              <w:t>47.700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Angul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-2.587</w:t>
            </w:r>
          </w:p>
        </w:tc>
        <w:tc>
          <w:tcPr>
            <w:tcW w:type="dxa" w:w="864"/>
          </w:tcPr>
          <w:p>
            <w:pPr>
              <w:spacing w:lineRule="auto" w:line="360"/>
              <w:jc w:val="left"/>
            </w:pPr>
            <w:r>
              <w:rPr>
                <w:rFonts w:ascii="Arial" w:hAnsi="Arial"/>
                <w:sz w:val="18"/>
              </w:rPr>
              <w:t>3.396</w:t>
            </w:r>
          </w:p>
        </w:tc>
        <w:tc>
          <w:tcPr>
            <w:tcW w:type="dxa" w:w="864"/>
          </w:tcPr>
          <w:p>
            <w:pPr>
              <w:spacing w:lineRule="auto" w:line="360"/>
              <w:jc w:val="left"/>
            </w:pPr>
            <w:r>
              <w:rPr>
                <w:rFonts w:ascii="Arial" w:hAnsi="Arial"/>
                <w:sz w:val="18"/>
              </w:rPr>
              <w:t>0.446</w:t>
            </w:r>
          </w:p>
        </w:tc>
        <w:tc>
          <w:tcPr>
            <w:tcW w:type="dxa" w:w="864"/>
          </w:tcPr>
          <w:p>
            <w:pPr>
              <w:spacing w:lineRule="auto" w:line="360"/>
              <w:jc w:val="left"/>
            </w:pPr>
            <w:r>
              <w:rPr>
                <w:rFonts w:ascii="Arial" w:hAnsi="Arial"/>
                <w:sz w:val="18"/>
              </w:rPr>
              <w:t>-9.243</w:t>
            </w:r>
          </w:p>
        </w:tc>
        <w:tc>
          <w:tcPr>
            <w:tcW w:type="dxa" w:w="864"/>
          </w:tcPr>
          <w:p>
            <w:pPr>
              <w:spacing w:lineRule="auto" w:line="360"/>
              <w:jc w:val="left"/>
            </w:pPr>
            <w:r>
              <w:rPr>
                <w:rFonts w:ascii="Arial" w:hAnsi="Arial"/>
                <w:sz w:val="18"/>
              </w:rPr>
              <w:t>4.070</w:t>
            </w:r>
          </w:p>
        </w:tc>
        <w:tc>
          <w:tcPr>
            <w:tcW w:type="dxa" w:w="864"/>
          </w:tcPr>
          <w:p>
            <w:pPr>
              <w:spacing w:lineRule="auto" w:line="360"/>
              <w:jc w:val="left"/>
            </w:pPr>
            <w:r>
              <w:rPr>
                <w:rFonts w:ascii="Arial" w:hAnsi="Arial"/>
                <w:sz w:val="18"/>
              </w:rPr>
              <w:t>27.900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Baleshwar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-3.483</w:t>
            </w:r>
          </w:p>
        </w:tc>
        <w:tc>
          <w:tcPr>
            <w:tcW w:type="dxa" w:w="864"/>
          </w:tcPr>
          <w:p>
            <w:pPr>
              <w:spacing w:lineRule="auto" w:line="360"/>
              <w:jc w:val="left"/>
            </w:pPr>
            <w:r>
              <w:rPr>
                <w:rFonts w:ascii="Arial" w:hAnsi="Arial"/>
                <w:sz w:val="18"/>
              </w:rPr>
              <w:t>3.342</w:t>
            </w:r>
          </w:p>
        </w:tc>
        <w:tc>
          <w:tcPr>
            <w:tcW w:type="dxa" w:w="864"/>
          </w:tcPr>
          <w:p>
            <w:pPr>
              <w:spacing w:lineRule="auto" w:line="360"/>
              <w:jc w:val="left"/>
            </w:pPr>
            <w:r>
              <w:rPr>
                <w:rFonts w:ascii="Arial" w:hAnsi="Arial"/>
                <w:sz w:val="18"/>
              </w:rPr>
              <w:t>0.297</w:t>
            </w:r>
          </w:p>
        </w:tc>
        <w:tc>
          <w:tcPr>
            <w:tcW w:type="dxa" w:w="864"/>
          </w:tcPr>
          <w:p>
            <w:pPr>
              <w:spacing w:lineRule="auto" w:line="360"/>
              <w:jc w:val="left"/>
            </w:pPr>
            <w:r>
              <w:rPr>
                <w:rFonts w:ascii="Arial" w:hAnsi="Arial"/>
                <w:sz w:val="18"/>
              </w:rPr>
              <w:t>-10.034</w:t>
            </w:r>
          </w:p>
        </w:tc>
        <w:tc>
          <w:tcPr>
            <w:tcW w:type="dxa" w:w="864"/>
          </w:tcPr>
          <w:p>
            <w:pPr>
              <w:spacing w:lineRule="auto" w:line="360"/>
              <w:jc w:val="left"/>
            </w:pPr>
            <w:r>
              <w:rPr>
                <w:rFonts w:ascii="Arial" w:hAnsi="Arial"/>
                <w:sz w:val="18"/>
              </w:rPr>
              <w:t>3.068</w:t>
            </w:r>
          </w:p>
        </w:tc>
        <w:tc>
          <w:tcPr>
            <w:tcW w:type="dxa" w:w="864"/>
          </w:tcPr>
          <w:p>
            <w:pPr>
              <w:spacing w:lineRule="auto" w:line="360"/>
              <w:jc w:val="left"/>
            </w:pPr>
            <w:r>
              <w:rPr>
                <w:rFonts w:ascii="Arial" w:hAnsi="Arial"/>
                <w:sz w:val="18"/>
              </w:rPr>
              <w:t>2.900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Bhadrak</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-1.933</w:t>
            </w:r>
          </w:p>
        </w:tc>
        <w:tc>
          <w:tcPr>
            <w:tcW w:type="dxa" w:w="864"/>
          </w:tcPr>
          <w:p>
            <w:pPr>
              <w:spacing w:lineRule="auto" w:line="360"/>
              <w:jc w:val="left"/>
            </w:pPr>
            <w:r>
              <w:rPr>
                <w:rFonts w:ascii="Arial" w:hAnsi="Arial"/>
                <w:sz w:val="18"/>
              </w:rPr>
              <w:t>2.418</w:t>
            </w:r>
          </w:p>
        </w:tc>
        <w:tc>
          <w:tcPr>
            <w:tcW w:type="dxa" w:w="864"/>
          </w:tcPr>
          <w:p>
            <w:pPr>
              <w:spacing w:lineRule="auto" w:line="360"/>
              <w:jc w:val="left"/>
            </w:pPr>
            <w:r>
              <w:rPr>
                <w:rFonts w:ascii="Arial" w:hAnsi="Arial"/>
                <w:sz w:val="18"/>
              </w:rPr>
              <w:t>0.424</w:t>
            </w:r>
          </w:p>
        </w:tc>
        <w:tc>
          <w:tcPr>
            <w:tcW w:type="dxa" w:w="864"/>
          </w:tcPr>
          <w:p>
            <w:pPr>
              <w:spacing w:lineRule="auto" w:line="360"/>
              <w:jc w:val="left"/>
            </w:pPr>
            <w:r>
              <w:rPr>
                <w:rFonts w:ascii="Arial" w:hAnsi="Arial"/>
                <w:sz w:val="18"/>
              </w:rPr>
              <w:t>-6.672</w:t>
            </w:r>
          </w:p>
        </w:tc>
        <w:tc>
          <w:tcPr>
            <w:tcW w:type="dxa" w:w="864"/>
          </w:tcPr>
          <w:p>
            <w:pPr>
              <w:spacing w:lineRule="auto" w:line="360"/>
              <w:jc w:val="left"/>
            </w:pPr>
            <w:r>
              <w:rPr>
                <w:rFonts w:ascii="Arial" w:hAnsi="Arial"/>
                <w:sz w:val="18"/>
              </w:rPr>
              <w:t>2.805</w:t>
            </w:r>
          </w:p>
        </w:tc>
        <w:tc>
          <w:tcPr>
            <w:tcW w:type="dxa" w:w="864"/>
          </w:tcPr>
          <w:p>
            <w:pPr>
              <w:spacing w:lineRule="auto" w:line="360"/>
              <w:jc w:val="left"/>
            </w:pPr>
            <w:r>
              <w:rPr>
                <w:rFonts w:ascii="Arial" w:hAnsi="Arial"/>
                <w:sz w:val="18"/>
              </w:rPr>
              <w:t>46.100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Cuttack</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-5.587</w:t>
            </w:r>
          </w:p>
        </w:tc>
        <w:tc>
          <w:tcPr>
            <w:tcW w:type="dxa" w:w="864"/>
          </w:tcPr>
          <w:p>
            <w:pPr>
              <w:spacing w:lineRule="auto" w:line="360"/>
              <w:jc w:val="left"/>
            </w:pPr>
            <w:r>
              <w:rPr>
                <w:rFonts w:ascii="Arial" w:hAnsi="Arial"/>
                <w:sz w:val="18"/>
              </w:rPr>
              <w:t>2.119</w:t>
            </w:r>
          </w:p>
        </w:tc>
        <w:tc>
          <w:tcPr>
            <w:tcW w:type="dxa" w:w="864"/>
          </w:tcPr>
          <w:p>
            <w:pPr>
              <w:spacing w:lineRule="auto" w:line="360"/>
              <w:jc w:val="left"/>
            </w:pPr>
            <w:r>
              <w:rPr>
                <w:rFonts w:ascii="Arial" w:hAnsi="Arial"/>
                <w:sz w:val="18"/>
              </w:rPr>
              <w:t>0.008</w:t>
            </w:r>
          </w:p>
        </w:tc>
        <w:tc>
          <w:tcPr>
            <w:tcW w:type="dxa" w:w="864"/>
          </w:tcPr>
          <w:p>
            <w:pPr>
              <w:spacing w:lineRule="auto" w:line="360"/>
              <w:jc w:val="left"/>
            </w:pPr>
            <w:r>
              <w:rPr>
                <w:rFonts w:ascii="Arial" w:hAnsi="Arial"/>
                <w:sz w:val="18"/>
              </w:rPr>
              <w:t>-9.741</w:t>
            </w:r>
          </w:p>
        </w:tc>
        <w:tc>
          <w:tcPr>
            <w:tcW w:type="dxa" w:w="864"/>
          </w:tcPr>
          <w:p>
            <w:pPr>
              <w:spacing w:lineRule="auto" w:line="360"/>
              <w:jc w:val="left"/>
            </w:pPr>
            <w:r>
              <w:rPr>
                <w:rFonts w:ascii="Arial" w:hAnsi="Arial"/>
                <w:sz w:val="18"/>
              </w:rPr>
              <w:t>-1.433</w:t>
            </w:r>
          </w:p>
        </w:tc>
        <w:tc>
          <w:tcPr>
            <w:tcW w:type="dxa" w:w="864"/>
          </w:tcPr>
          <w:p>
            <w:pPr>
              <w:spacing w:lineRule="auto" w:line="360"/>
              <w:jc w:val="left"/>
            </w:pPr>
            <w:r>
              <w:rPr>
                <w:rFonts w:ascii="Arial" w:hAnsi="Arial"/>
                <w:sz w:val="18"/>
              </w:rPr>
              <w:t>-55.800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Dhenkanal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-2.587</w:t>
            </w:r>
          </w:p>
        </w:tc>
        <w:tc>
          <w:tcPr>
            <w:tcW w:type="dxa" w:w="864"/>
          </w:tcPr>
          <w:p>
            <w:pPr>
              <w:spacing w:lineRule="auto" w:line="360"/>
              <w:jc w:val="left"/>
            </w:pPr>
            <w:r>
              <w:rPr>
                <w:rFonts w:ascii="Arial" w:hAnsi="Arial"/>
                <w:sz w:val="18"/>
              </w:rPr>
              <w:t>3.396</w:t>
            </w:r>
          </w:p>
        </w:tc>
        <w:tc>
          <w:tcPr>
            <w:tcW w:type="dxa" w:w="864"/>
          </w:tcPr>
          <w:p>
            <w:pPr>
              <w:spacing w:lineRule="auto" w:line="360"/>
              <w:jc w:val="left"/>
            </w:pPr>
            <w:r>
              <w:rPr>
                <w:rFonts w:ascii="Arial" w:hAnsi="Arial"/>
                <w:sz w:val="18"/>
              </w:rPr>
              <w:t>0.446</w:t>
            </w:r>
          </w:p>
        </w:tc>
        <w:tc>
          <w:tcPr>
            <w:tcW w:type="dxa" w:w="864"/>
          </w:tcPr>
          <w:p>
            <w:pPr>
              <w:spacing w:lineRule="auto" w:line="360"/>
              <w:jc w:val="left"/>
            </w:pPr>
            <w:r>
              <w:rPr>
                <w:rFonts w:ascii="Arial" w:hAnsi="Arial"/>
                <w:sz w:val="18"/>
              </w:rPr>
              <w:t>-9.243</w:t>
            </w:r>
          </w:p>
        </w:tc>
        <w:tc>
          <w:tcPr>
            <w:tcW w:type="dxa" w:w="864"/>
          </w:tcPr>
          <w:p>
            <w:pPr>
              <w:spacing w:lineRule="auto" w:line="360"/>
              <w:jc w:val="left"/>
            </w:pPr>
            <w:r>
              <w:rPr>
                <w:rFonts w:ascii="Arial" w:hAnsi="Arial"/>
                <w:sz w:val="18"/>
              </w:rPr>
              <w:t>4.070</w:t>
            </w:r>
          </w:p>
        </w:tc>
        <w:tc>
          <w:tcPr>
            <w:tcW w:type="dxa" w:w="864"/>
          </w:tcPr>
          <w:p>
            <w:pPr>
              <w:spacing w:lineRule="auto" w:line="360"/>
              <w:jc w:val="left"/>
            </w:pPr>
            <w:r>
              <w:rPr>
                <w:rFonts w:ascii="Arial" w:hAnsi="Arial"/>
                <w:sz w:val="18"/>
              </w:rPr>
              <w:t>27.900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Jagatsinghpur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-4.517</w:t>
            </w:r>
          </w:p>
        </w:tc>
        <w:tc>
          <w:tcPr>
            <w:tcW w:type="dxa" w:w="864"/>
          </w:tcPr>
          <w:p>
            <w:pPr>
              <w:spacing w:lineRule="auto" w:line="360"/>
              <w:jc w:val="left"/>
            </w:pPr>
            <w:r>
              <w:rPr>
                <w:rFonts w:ascii="Arial" w:hAnsi="Arial"/>
                <w:sz w:val="18"/>
              </w:rPr>
              <w:t>3.082</w:t>
            </w:r>
          </w:p>
        </w:tc>
        <w:tc>
          <w:tcPr>
            <w:tcW w:type="dxa" w:w="864"/>
          </w:tcPr>
          <w:p>
            <w:pPr>
              <w:spacing w:lineRule="auto" w:line="360"/>
              <w:jc w:val="left"/>
            </w:pPr>
            <w:r>
              <w:rPr>
                <w:rFonts w:ascii="Arial" w:hAnsi="Arial"/>
                <w:sz w:val="18"/>
              </w:rPr>
              <w:t>0.143</w:t>
            </w:r>
          </w:p>
        </w:tc>
        <w:tc>
          <w:tcPr>
            <w:tcW w:type="dxa" w:w="864"/>
          </w:tcPr>
          <w:p>
            <w:pPr>
              <w:spacing w:lineRule="auto" w:line="360"/>
              <w:jc w:val="left"/>
            </w:pPr>
            <w:r>
              <w:rPr>
                <w:rFonts w:ascii="Arial" w:hAnsi="Arial"/>
                <w:sz w:val="18"/>
              </w:rPr>
              <w:t>-10.558</w:t>
            </w:r>
          </w:p>
        </w:tc>
        <w:tc>
          <w:tcPr>
            <w:tcW w:type="dxa" w:w="864"/>
          </w:tcPr>
          <w:p>
            <w:pPr>
              <w:spacing w:lineRule="auto" w:line="360"/>
              <w:jc w:val="left"/>
            </w:pPr>
            <w:r>
              <w:rPr>
                <w:rFonts w:ascii="Arial" w:hAnsi="Arial"/>
                <w:sz w:val="18"/>
              </w:rPr>
              <w:t>1.524</w:t>
            </w:r>
          </w:p>
        </w:tc>
        <w:tc>
          <w:tcPr>
            <w:tcW w:type="dxa" w:w="864"/>
          </w:tcPr>
          <w:p>
            <w:pPr>
              <w:spacing w:lineRule="auto" w:line="360"/>
              <w:jc w:val="left"/>
            </w:pPr>
            <w:r>
              <w:rPr>
                <w:rFonts w:ascii="Arial" w:hAnsi="Arial"/>
                <w:sz w:val="18"/>
              </w:rPr>
              <w:t>-25.900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Kendrapara</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-4.517</w:t>
            </w:r>
          </w:p>
        </w:tc>
        <w:tc>
          <w:tcPr>
            <w:tcW w:type="dxa" w:w="864"/>
          </w:tcPr>
          <w:p>
            <w:pPr>
              <w:spacing w:lineRule="auto" w:line="360"/>
              <w:jc w:val="left"/>
            </w:pPr>
            <w:r>
              <w:rPr>
                <w:rFonts w:ascii="Arial" w:hAnsi="Arial"/>
                <w:sz w:val="18"/>
              </w:rPr>
              <w:t>3.082</w:t>
            </w:r>
          </w:p>
        </w:tc>
        <w:tc>
          <w:tcPr>
            <w:tcW w:type="dxa" w:w="864"/>
          </w:tcPr>
          <w:p>
            <w:pPr>
              <w:spacing w:lineRule="auto" w:line="360"/>
              <w:jc w:val="left"/>
            </w:pPr>
            <w:r>
              <w:rPr>
                <w:rFonts w:ascii="Arial" w:hAnsi="Arial"/>
                <w:sz w:val="18"/>
              </w:rPr>
              <w:t>0.143</w:t>
            </w:r>
          </w:p>
        </w:tc>
        <w:tc>
          <w:tcPr>
            <w:tcW w:type="dxa" w:w="864"/>
          </w:tcPr>
          <w:p>
            <w:pPr>
              <w:spacing w:lineRule="auto" w:line="360"/>
              <w:jc w:val="left"/>
            </w:pPr>
            <w:r>
              <w:rPr>
                <w:rFonts w:ascii="Arial" w:hAnsi="Arial"/>
                <w:sz w:val="18"/>
              </w:rPr>
              <w:t>-10.558</w:t>
            </w:r>
          </w:p>
        </w:tc>
        <w:tc>
          <w:tcPr>
            <w:tcW w:type="dxa" w:w="864"/>
          </w:tcPr>
          <w:p>
            <w:pPr>
              <w:spacing w:lineRule="auto" w:line="360"/>
              <w:jc w:val="left"/>
            </w:pPr>
            <w:r>
              <w:rPr>
                <w:rFonts w:ascii="Arial" w:hAnsi="Arial"/>
                <w:sz w:val="18"/>
              </w:rPr>
              <w:t>1.524</w:t>
            </w:r>
          </w:p>
        </w:tc>
        <w:tc>
          <w:tcPr>
            <w:tcW w:type="dxa" w:w="864"/>
          </w:tcPr>
          <w:p>
            <w:pPr>
              <w:spacing w:lineRule="auto" w:line="360"/>
              <w:jc w:val="left"/>
            </w:pPr>
            <w:r>
              <w:rPr>
                <w:rFonts w:ascii="Arial" w:hAnsi="Arial"/>
                <w:sz w:val="18"/>
              </w:rPr>
              <w:t>-25.900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Puri</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-3.483</w:t>
            </w:r>
          </w:p>
        </w:tc>
        <w:tc>
          <w:tcPr>
            <w:tcW w:type="dxa" w:w="864"/>
          </w:tcPr>
          <w:p>
            <w:pPr>
              <w:spacing w:lineRule="auto" w:line="360"/>
              <w:jc w:val="left"/>
            </w:pPr>
            <w:r>
              <w:rPr>
                <w:rFonts w:ascii="Arial" w:hAnsi="Arial"/>
                <w:sz w:val="18"/>
              </w:rPr>
              <w:t>3.342</w:t>
            </w:r>
          </w:p>
        </w:tc>
        <w:tc>
          <w:tcPr>
            <w:tcW w:type="dxa" w:w="864"/>
          </w:tcPr>
          <w:p>
            <w:pPr>
              <w:spacing w:lineRule="auto" w:line="360"/>
              <w:jc w:val="left"/>
            </w:pPr>
            <w:r>
              <w:rPr>
                <w:rFonts w:ascii="Arial" w:hAnsi="Arial"/>
                <w:sz w:val="18"/>
              </w:rPr>
              <w:t>0.297</w:t>
            </w:r>
          </w:p>
        </w:tc>
        <w:tc>
          <w:tcPr>
            <w:tcW w:type="dxa" w:w="864"/>
          </w:tcPr>
          <w:p>
            <w:pPr>
              <w:spacing w:lineRule="auto" w:line="360"/>
              <w:jc w:val="left"/>
            </w:pPr>
            <w:r>
              <w:rPr>
                <w:rFonts w:ascii="Arial" w:hAnsi="Arial"/>
                <w:sz w:val="18"/>
              </w:rPr>
              <w:t>-10.034</w:t>
            </w:r>
          </w:p>
        </w:tc>
        <w:tc>
          <w:tcPr>
            <w:tcW w:type="dxa" w:w="864"/>
          </w:tcPr>
          <w:p>
            <w:pPr>
              <w:spacing w:lineRule="auto" w:line="360"/>
              <w:jc w:val="left"/>
            </w:pPr>
            <w:r>
              <w:rPr>
                <w:rFonts w:ascii="Arial" w:hAnsi="Arial"/>
                <w:sz w:val="18"/>
              </w:rPr>
              <w:t>3.068</w:t>
            </w:r>
          </w:p>
        </w:tc>
        <w:tc>
          <w:tcPr>
            <w:tcW w:type="dxa" w:w="864"/>
          </w:tcPr>
          <w:p>
            <w:pPr>
              <w:spacing w:lineRule="auto" w:line="360"/>
              <w:jc w:val="left"/>
            </w:pPr>
            <w:r>
              <w:rPr>
                <w:rFonts w:ascii="Arial" w:hAnsi="Arial"/>
                <w:sz w:val="18"/>
              </w:rPr>
              <w:t>2.900</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Angul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0.198</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Baleshwar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0.148</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Bhadrak</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0.148</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Cuttack</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0.069</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Dhenkanal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0.822</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Jagatsinghpur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0.141</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Kendrapara</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0.396</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Puri</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1.000</w:t>
            </w:r>
          </w:p>
        </w:tc>
        <w:tc>
          <w:tcPr>
            <w:tcW w:type="dxa" w:w="864"/>
          </w:tcPr>
          <w:p>
            <w:pPr>
              <w:spacing w:lineRule="auto" w:line="360"/>
              <w:jc w:val="left"/>
            </w:pPr>
            <w:r>
              <w:rPr>
                <w:rFonts w:ascii="Arial" w:hAnsi="Arial"/>
                <w:sz w:val="18"/>
              </w:rPr>
              <w:t>-0.000</w:t>
            </w:r>
          </w:p>
        </w:tc>
        <w:tc>
          <w:tcPr>
            <w:tcW w:type="dxa" w:w="864"/>
          </w:tcPr>
          <w:p>
            <w:pPr>
              <w:spacing w:lineRule="auto" w:line="360"/>
              <w:jc w:val="left"/>
            </w:pPr>
            <w:r>
              <w:rPr>
                <w:rFonts w:ascii="Arial" w:hAnsi="Arial"/>
                <w:sz w:val="18"/>
              </w:rPr>
              <w:t>0.000</w:t>
            </w:r>
          </w:p>
        </w:tc>
        <w:tc>
          <w:tcPr>
            <w:tcW w:type="dxa" w:w="864"/>
          </w:tcPr>
          <w:p>
            <w:pPr>
              <w:spacing w:lineRule="auto" w:line="360"/>
              <w:jc w:val="center"/>
            </w:pPr>
            <w:r>
              <w:rPr>
                <w:sz w:val="20"/>
              </w:rPr>
              <w:t>—</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Angul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+21.563</w:t>
            </w:r>
          </w:p>
        </w:tc>
        <w:tc>
          <w:tcPr>
            <w:tcW w:type="dxa" w:w="864"/>
          </w:tcPr>
          <w:p>
            <w:pPr>
              <w:spacing w:lineRule="auto" w:line="360"/>
              <w:jc w:val="left"/>
            </w:pPr>
            <w:r>
              <w:rPr>
                <w:rFonts w:ascii="Arial" w:hAnsi="Arial"/>
                <w:sz w:val="18"/>
              </w:rPr>
              <w:t>16.529</w:t>
            </w:r>
          </w:p>
        </w:tc>
        <w:tc>
          <w:tcPr>
            <w:tcW w:type="dxa" w:w="864"/>
          </w:tcPr>
          <w:p>
            <w:pPr>
              <w:spacing w:lineRule="auto" w:line="360"/>
              <w:jc w:val="left"/>
            </w:pPr>
            <w:r>
              <w:rPr>
                <w:rFonts w:ascii="Arial" w:hAnsi="Arial"/>
                <w:sz w:val="18"/>
              </w:rPr>
              <w:t>0.192</w:t>
            </w:r>
          </w:p>
        </w:tc>
        <w:tc>
          <w:tcPr>
            <w:tcW w:type="dxa" w:w="864"/>
          </w:tcPr>
          <w:p>
            <w:pPr>
              <w:spacing w:lineRule="auto" w:line="360"/>
              <w:jc w:val="left"/>
            </w:pPr>
            <w:r>
              <w:rPr>
                <w:rFonts w:ascii="Arial" w:hAnsi="Arial"/>
                <w:sz w:val="18"/>
              </w:rPr>
              <w:t>-10.834</w:t>
            </w:r>
          </w:p>
        </w:tc>
        <w:tc>
          <w:tcPr>
            <w:tcW w:type="dxa" w:w="864"/>
          </w:tcPr>
          <w:p>
            <w:pPr>
              <w:spacing w:lineRule="auto" w:line="360"/>
              <w:jc w:val="left"/>
            </w:pPr>
            <w:r>
              <w:rPr>
                <w:rFonts w:ascii="Arial" w:hAnsi="Arial"/>
                <w:sz w:val="18"/>
              </w:rPr>
              <w:t>53.959</w:t>
            </w:r>
          </w:p>
        </w:tc>
        <w:tc>
          <w:tcPr>
            <w:tcW w:type="dxa" w:w="864"/>
          </w:tcPr>
          <w:p>
            <w:pPr>
              <w:spacing w:lineRule="auto" w:line="360"/>
              <w:jc w:val="left"/>
            </w:pPr>
            <w:r>
              <w:rPr>
                <w:rFonts w:ascii="Arial" w:hAnsi="Arial"/>
                <w:sz w:val="18"/>
              </w:rPr>
              <w:t>42.700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Baleshwar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+10.035</w:t>
            </w:r>
          </w:p>
        </w:tc>
        <w:tc>
          <w:tcPr>
            <w:tcW w:type="dxa" w:w="864"/>
          </w:tcPr>
          <w:p>
            <w:pPr>
              <w:spacing w:lineRule="auto" w:line="360"/>
              <w:jc w:val="left"/>
            </w:pPr>
            <w:r>
              <w:rPr>
                <w:rFonts w:ascii="Arial" w:hAnsi="Arial"/>
                <w:sz w:val="18"/>
              </w:rPr>
              <w:t>20.297</w:t>
            </w:r>
          </w:p>
        </w:tc>
        <w:tc>
          <w:tcPr>
            <w:tcW w:type="dxa" w:w="864"/>
          </w:tcPr>
          <w:p>
            <w:pPr>
              <w:spacing w:lineRule="auto" w:line="360"/>
              <w:jc w:val="left"/>
            </w:pPr>
            <w:r>
              <w:rPr>
                <w:rFonts w:ascii="Arial" w:hAnsi="Arial"/>
                <w:sz w:val="18"/>
              </w:rPr>
              <w:t>0.621</w:t>
            </w:r>
          </w:p>
        </w:tc>
        <w:tc>
          <w:tcPr>
            <w:tcW w:type="dxa" w:w="864"/>
          </w:tcPr>
          <w:p>
            <w:pPr>
              <w:spacing w:lineRule="auto" w:line="360"/>
              <w:jc w:val="left"/>
            </w:pPr>
            <w:r>
              <w:rPr>
                <w:rFonts w:ascii="Arial" w:hAnsi="Arial"/>
                <w:sz w:val="18"/>
              </w:rPr>
              <w:t>-29.747</w:t>
            </w:r>
          </w:p>
        </w:tc>
        <w:tc>
          <w:tcPr>
            <w:tcW w:type="dxa" w:w="864"/>
          </w:tcPr>
          <w:p>
            <w:pPr>
              <w:spacing w:lineRule="auto" w:line="360"/>
              <w:jc w:val="left"/>
            </w:pPr>
            <w:r>
              <w:rPr>
                <w:rFonts w:ascii="Arial" w:hAnsi="Arial"/>
                <w:sz w:val="18"/>
              </w:rPr>
              <w:t>49.816</w:t>
            </w:r>
          </w:p>
        </w:tc>
        <w:tc>
          <w:tcPr>
            <w:tcW w:type="dxa" w:w="864"/>
          </w:tcPr>
          <w:p>
            <w:pPr>
              <w:spacing w:lineRule="auto" w:line="360"/>
              <w:jc w:val="left"/>
            </w:pPr>
            <w:r>
              <w:rPr>
                <w:rFonts w:ascii="Arial" w:hAnsi="Arial"/>
                <w:sz w:val="18"/>
              </w:rPr>
              <w:t>-33.600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Bhadrak</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+3.518</w:t>
            </w:r>
          </w:p>
        </w:tc>
        <w:tc>
          <w:tcPr>
            <w:tcW w:type="dxa" w:w="864"/>
          </w:tcPr>
          <w:p>
            <w:pPr>
              <w:spacing w:lineRule="auto" w:line="360"/>
              <w:jc w:val="left"/>
            </w:pPr>
            <w:r>
              <w:rPr>
                <w:rFonts w:ascii="Arial" w:hAnsi="Arial"/>
                <w:sz w:val="18"/>
              </w:rPr>
              <w:t>14.126</w:t>
            </w:r>
          </w:p>
        </w:tc>
        <w:tc>
          <w:tcPr>
            <w:tcW w:type="dxa" w:w="864"/>
          </w:tcPr>
          <w:p>
            <w:pPr>
              <w:spacing w:lineRule="auto" w:line="360"/>
              <w:jc w:val="left"/>
            </w:pPr>
            <w:r>
              <w:rPr>
                <w:rFonts w:ascii="Arial" w:hAnsi="Arial"/>
                <w:sz w:val="18"/>
              </w:rPr>
              <w:t>0.803</w:t>
            </w:r>
          </w:p>
        </w:tc>
        <w:tc>
          <w:tcPr>
            <w:tcW w:type="dxa" w:w="864"/>
          </w:tcPr>
          <w:p>
            <w:pPr>
              <w:spacing w:lineRule="auto" w:line="360"/>
              <w:jc w:val="left"/>
            </w:pPr>
            <w:r>
              <w:rPr>
                <w:rFonts w:ascii="Arial" w:hAnsi="Arial"/>
                <w:sz w:val="18"/>
              </w:rPr>
              <w:t>-24.168</w:t>
            </w:r>
          </w:p>
        </w:tc>
        <w:tc>
          <w:tcPr>
            <w:tcW w:type="dxa" w:w="864"/>
          </w:tcPr>
          <w:p>
            <w:pPr>
              <w:spacing w:lineRule="auto" w:line="360"/>
              <w:jc w:val="left"/>
            </w:pPr>
            <w:r>
              <w:rPr>
                <w:rFonts w:ascii="Arial" w:hAnsi="Arial"/>
                <w:sz w:val="18"/>
              </w:rPr>
              <w:t>31.204</w:t>
            </w:r>
          </w:p>
        </w:tc>
        <w:tc>
          <w:tcPr>
            <w:tcW w:type="dxa" w:w="864"/>
          </w:tcPr>
          <w:p>
            <w:pPr>
              <w:spacing w:lineRule="auto" w:line="360"/>
              <w:jc w:val="left"/>
            </w:pPr>
            <w:r>
              <w:rPr>
                <w:rFonts w:ascii="Arial" w:hAnsi="Arial"/>
                <w:sz w:val="18"/>
              </w:rPr>
              <w:t>-76.700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Cuttack</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+10.366</w:t>
            </w:r>
          </w:p>
        </w:tc>
        <w:tc>
          <w:tcPr>
            <w:tcW w:type="dxa" w:w="864"/>
          </w:tcPr>
          <w:p>
            <w:pPr>
              <w:spacing w:lineRule="auto" w:line="360"/>
              <w:jc w:val="left"/>
            </w:pPr>
            <w:r>
              <w:rPr>
                <w:rFonts w:ascii="Arial" w:hAnsi="Arial"/>
                <w:sz w:val="18"/>
              </w:rPr>
              <w:t>17.839</w:t>
            </w:r>
          </w:p>
        </w:tc>
        <w:tc>
          <w:tcPr>
            <w:tcW w:type="dxa" w:w="864"/>
          </w:tcPr>
          <w:p>
            <w:pPr>
              <w:spacing w:lineRule="auto" w:line="360"/>
              <w:jc w:val="left"/>
            </w:pPr>
            <w:r>
              <w:rPr>
                <w:rFonts w:ascii="Arial" w:hAnsi="Arial"/>
                <w:sz w:val="18"/>
              </w:rPr>
              <w:t>0.561</w:t>
            </w:r>
          </w:p>
        </w:tc>
        <w:tc>
          <w:tcPr>
            <w:tcW w:type="dxa" w:w="864"/>
          </w:tcPr>
          <w:p>
            <w:pPr>
              <w:spacing w:lineRule="auto" w:line="360"/>
              <w:jc w:val="left"/>
            </w:pPr>
            <w:r>
              <w:rPr>
                <w:rFonts w:ascii="Arial" w:hAnsi="Arial"/>
                <w:sz w:val="18"/>
              </w:rPr>
              <w:t>-24.597</w:t>
            </w:r>
          </w:p>
        </w:tc>
        <w:tc>
          <w:tcPr>
            <w:tcW w:type="dxa" w:w="864"/>
          </w:tcPr>
          <w:p>
            <w:pPr>
              <w:spacing w:lineRule="auto" w:line="360"/>
              <w:jc w:val="left"/>
            </w:pPr>
            <w:r>
              <w:rPr>
                <w:rFonts w:ascii="Arial" w:hAnsi="Arial"/>
                <w:sz w:val="18"/>
              </w:rPr>
              <w:t>45.329</w:t>
            </w:r>
          </w:p>
        </w:tc>
        <w:tc>
          <w:tcPr>
            <w:tcW w:type="dxa" w:w="864"/>
          </w:tcPr>
          <w:p>
            <w:pPr>
              <w:spacing w:lineRule="auto" w:line="360"/>
              <w:jc w:val="left"/>
            </w:pPr>
            <w:r>
              <w:rPr>
                <w:rFonts w:ascii="Arial" w:hAnsi="Arial"/>
                <w:sz w:val="18"/>
              </w:rPr>
              <w:t>-31.400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Dhenkanal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+13.396</w:t>
            </w:r>
          </w:p>
        </w:tc>
        <w:tc>
          <w:tcPr>
            <w:tcW w:type="dxa" w:w="864"/>
          </w:tcPr>
          <w:p>
            <w:pPr>
              <w:spacing w:lineRule="auto" w:line="360"/>
              <w:jc w:val="left"/>
            </w:pPr>
            <w:r>
              <w:rPr>
                <w:rFonts w:ascii="Arial" w:hAnsi="Arial"/>
                <w:sz w:val="18"/>
              </w:rPr>
              <w:t>19.082</w:t>
            </w:r>
          </w:p>
        </w:tc>
        <w:tc>
          <w:tcPr>
            <w:tcW w:type="dxa" w:w="864"/>
          </w:tcPr>
          <w:p>
            <w:pPr>
              <w:spacing w:lineRule="auto" w:line="360"/>
              <w:jc w:val="left"/>
            </w:pPr>
            <w:r>
              <w:rPr>
                <w:rFonts w:ascii="Arial" w:hAnsi="Arial"/>
                <w:sz w:val="18"/>
              </w:rPr>
              <w:t>0.483</w:t>
            </w:r>
          </w:p>
        </w:tc>
        <w:tc>
          <w:tcPr>
            <w:tcW w:type="dxa" w:w="864"/>
          </w:tcPr>
          <w:p>
            <w:pPr>
              <w:spacing w:lineRule="auto" w:line="360"/>
              <w:jc w:val="left"/>
            </w:pPr>
            <w:r>
              <w:rPr>
                <w:rFonts w:ascii="Arial" w:hAnsi="Arial"/>
                <w:sz w:val="18"/>
              </w:rPr>
              <w:t>-24.004</w:t>
            </w:r>
          </w:p>
        </w:tc>
        <w:tc>
          <w:tcPr>
            <w:tcW w:type="dxa" w:w="864"/>
          </w:tcPr>
          <w:p>
            <w:pPr>
              <w:spacing w:lineRule="auto" w:line="360"/>
              <w:jc w:val="left"/>
            </w:pPr>
            <w:r>
              <w:rPr>
                <w:rFonts w:ascii="Arial" w:hAnsi="Arial"/>
                <w:sz w:val="18"/>
              </w:rPr>
              <w:t>50.796</w:t>
            </w:r>
          </w:p>
        </w:tc>
        <w:tc>
          <w:tcPr>
            <w:tcW w:type="dxa" w:w="864"/>
          </w:tcPr>
          <w:p>
            <w:pPr>
              <w:spacing w:lineRule="auto" w:line="360"/>
              <w:jc w:val="left"/>
            </w:pPr>
            <w:r>
              <w:rPr>
                <w:rFonts w:ascii="Arial" w:hAnsi="Arial"/>
                <w:sz w:val="18"/>
              </w:rPr>
              <w:t>-11.300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Jagatsinghpur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+17.739</w:t>
            </w:r>
          </w:p>
        </w:tc>
        <w:tc>
          <w:tcPr>
            <w:tcW w:type="dxa" w:w="864"/>
          </w:tcPr>
          <w:p>
            <w:pPr>
              <w:spacing w:lineRule="auto" w:line="360"/>
              <w:jc w:val="left"/>
            </w:pPr>
            <w:r>
              <w:rPr>
                <w:rFonts w:ascii="Arial" w:hAnsi="Arial"/>
                <w:sz w:val="18"/>
              </w:rPr>
              <w:t>21.185</w:t>
            </w:r>
          </w:p>
        </w:tc>
        <w:tc>
          <w:tcPr>
            <w:tcW w:type="dxa" w:w="864"/>
          </w:tcPr>
          <w:p>
            <w:pPr>
              <w:spacing w:lineRule="auto" w:line="360"/>
              <w:jc w:val="left"/>
            </w:pPr>
            <w:r>
              <w:rPr>
                <w:rFonts w:ascii="Arial" w:hAnsi="Arial"/>
                <w:sz w:val="18"/>
              </w:rPr>
              <w:t>0.402</w:t>
            </w:r>
          </w:p>
        </w:tc>
        <w:tc>
          <w:tcPr>
            <w:tcW w:type="dxa" w:w="864"/>
          </w:tcPr>
          <w:p>
            <w:pPr>
              <w:spacing w:lineRule="auto" w:line="360"/>
              <w:jc w:val="left"/>
            </w:pPr>
            <w:r>
              <w:rPr>
                <w:rFonts w:ascii="Arial" w:hAnsi="Arial"/>
                <w:sz w:val="18"/>
              </w:rPr>
              <w:t>-23.782</w:t>
            </w:r>
          </w:p>
        </w:tc>
        <w:tc>
          <w:tcPr>
            <w:tcW w:type="dxa" w:w="864"/>
          </w:tcPr>
          <w:p>
            <w:pPr>
              <w:spacing w:lineRule="auto" w:line="360"/>
              <w:jc w:val="left"/>
            </w:pPr>
            <w:r>
              <w:rPr>
                <w:rFonts w:ascii="Arial" w:hAnsi="Arial"/>
                <w:sz w:val="18"/>
              </w:rPr>
              <w:t>59.260</w:t>
            </w:r>
          </w:p>
        </w:tc>
        <w:tc>
          <w:tcPr>
            <w:tcW w:type="dxa" w:w="864"/>
          </w:tcPr>
          <w:p>
            <w:pPr>
              <w:spacing w:lineRule="auto" w:line="360"/>
              <w:jc w:val="left"/>
            </w:pPr>
            <w:r>
              <w:rPr>
                <w:rFonts w:ascii="Arial" w:hAnsi="Arial"/>
                <w:sz w:val="18"/>
              </w:rPr>
              <w:t>17.400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Kendrapara</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+21.857</w:t>
            </w:r>
          </w:p>
        </w:tc>
        <w:tc>
          <w:tcPr>
            <w:tcW w:type="dxa" w:w="864"/>
          </w:tcPr>
          <w:p>
            <w:pPr>
              <w:spacing w:lineRule="auto" w:line="360"/>
              <w:jc w:val="left"/>
            </w:pPr>
            <w:r>
              <w:rPr>
                <w:rFonts w:ascii="Arial" w:hAnsi="Arial"/>
                <w:sz w:val="18"/>
              </w:rPr>
              <w:t>19.319</w:t>
            </w:r>
          </w:p>
        </w:tc>
        <w:tc>
          <w:tcPr>
            <w:tcW w:type="dxa" w:w="864"/>
          </w:tcPr>
          <w:p>
            <w:pPr>
              <w:spacing w:lineRule="auto" w:line="360"/>
              <w:jc w:val="left"/>
            </w:pPr>
            <w:r>
              <w:rPr>
                <w:rFonts w:ascii="Arial" w:hAnsi="Arial"/>
                <w:sz w:val="18"/>
              </w:rPr>
              <w:t>0.258</w:t>
            </w:r>
          </w:p>
        </w:tc>
        <w:tc>
          <w:tcPr>
            <w:tcW w:type="dxa" w:w="864"/>
          </w:tcPr>
          <w:p>
            <w:pPr>
              <w:spacing w:lineRule="auto" w:line="360"/>
              <w:jc w:val="left"/>
            </w:pPr>
            <w:r>
              <w:rPr>
                <w:rFonts w:ascii="Arial" w:hAnsi="Arial"/>
                <w:sz w:val="18"/>
              </w:rPr>
              <w:t>-16.007</w:t>
            </w:r>
          </w:p>
        </w:tc>
        <w:tc>
          <w:tcPr>
            <w:tcW w:type="dxa" w:w="864"/>
          </w:tcPr>
          <w:p>
            <w:pPr>
              <w:spacing w:lineRule="auto" w:line="360"/>
              <w:jc w:val="left"/>
            </w:pPr>
            <w:r>
              <w:rPr>
                <w:rFonts w:ascii="Arial" w:hAnsi="Arial"/>
                <w:sz w:val="18"/>
              </w:rPr>
              <w:t>59.722</w:t>
            </w:r>
          </w:p>
        </w:tc>
        <w:tc>
          <w:tcPr>
            <w:tcW w:type="dxa" w:w="864"/>
          </w:tcPr>
          <w:p>
            <w:pPr>
              <w:spacing w:lineRule="auto" w:line="360"/>
              <w:jc w:val="left"/>
            </w:pPr>
            <w:r>
              <w:rPr>
                <w:rFonts w:ascii="Arial" w:hAnsi="Arial"/>
                <w:sz w:val="18"/>
              </w:rPr>
              <w:t>44.700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Puri</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+22.392</w:t>
            </w:r>
          </w:p>
        </w:tc>
        <w:tc>
          <w:tcPr>
            <w:tcW w:type="dxa" w:w="864"/>
          </w:tcPr>
          <w:p>
            <w:pPr>
              <w:spacing w:lineRule="auto" w:line="360"/>
              <w:jc w:val="left"/>
            </w:pPr>
            <w:r>
              <w:rPr>
                <w:rFonts w:ascii="Arial" w:hAnsi="Arial"/>
                <w:sz w:val="18"/>
              </w:rPr>
              <w:t>18.935</w:t>
            </w:r>
          </w:p>
        </w:tc>
        <w:tc>
          <w:tcPr>
            <w:tcW w:type="dxa" w:w="864"/>
          </w:tcPr>
          <w:p>
            <w:pPr>
              <w:spacing w:lineRule="auto" w:line="360"/>
              <w:jc w:val="left"/>
            </w:pPr>
            <w:r>
              <w:rPr>
                <w:rFonts w:ascii="Arial" w:hAnsi="Arial"/>
                <w:sz w:val="18"/>
              </w:rPr>
              <w:t>0.237</w:t>
            </w:r>
          </w:p>
        </w:tc>
        <w:tc>
          <w:tcPr>
            <w:tcW w:type="dxa" w:w="864"/>
          </w:tcPr>
          <w:p>
            <w:pPr>
              <w:spacing w:lineRule="auto" w:line="360"/>
              <w:jc w:val="left"/>
            </w:pPr>
            <w:r>
              <w:rPr>
                <w:rFonts w:ascii="Arial" w:hAnsi="Arial"/>
                <w:sz w:val="18"/>
              </w:rPr>
              <w:t>-14.720</w:t>
            </w:r>
          </w:p>
        </w:tc>
        <w:tc>
          <w:tcPr>
            <w:tcW w:type="dxa" w:w="864"/>
          </w:tcPr>
          <w:p>
            <w:pPr>
              <w:spacing w:lineRule="auto" w:line="360"/>
              <w:jc w:val="left"/>
            </w:pPr>
            <w:r>
              <w:rPr>
                <w:rFonts w:ascii="Arial" w:hAnsi="Arial"/>
                <w:sz w:val="18"/>
              </w:rPr>
              <w:t>59.504</w:t>
            </w:r>
          </w:p>
        </w:tc>
        <w:tc>
          <w:tcPr>
            <w:tcW w:type="dxa" w:w="864"/>
          </w:tcPr>
          <w:p>
            <w:pPr>
              <w:spacing w:lineRule="auto" w:line="360"/>
              <w:jc w:val="left"/>
            </w:pPr>
            <w:r>
              <w:rPr>
                <w:rFonts w:ascii="Arial" w:hAnsi="Arial"/>
                <w:sz w:val="18"/>
              </w:rPr>
              <w:t>48.200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Angul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-2.672</w:t>
            </w:r>
          </w:p>
        </w:tc>
        <w:tc>
          <w:tcPr>
            <w:tcW w:type="dxa" w:w="864"/>
          </w:tcPr>
          <w:p>
            <w:pPr>
              <w:spacing w:lineRule="auto" w:line="360"/>
              <w:jc w:val="left"/>
            </w:pPr>
            <w:r>
              <w:rPr>
                <w:rFonts w:ascii="Arial" w:hAnsi="Arial"/>
                <w:sz w:val="18"/>
              </w:rPr>
              <w:t>3.414</w:t>
            </w:r>
          </w:p>
        </w:tc>
        <w:tc>
          <w:tcPr>
            <w:tcW w:type="dxa" w:w="864"/>
          </w:tcPr>
          <w:p>
            <w:pPr>
              <w:spacing w:lineRule="auto" w:line="360"/>
              <w:jc w:val="left"/>
            </w:pPr>
            <w:r>
              <w:rPr>
                <w:rFonts w:ascii="Arial" w:hAnsi="Arial"/>
                <w:sz w:val="18"/>
              </w:rPr>
              <w:t>0.434</w:t>
            </w:r>
          </w:p>
        </w:tc>
        <w:tc>
          <w:tcPr>
            <w:tcW w:type="dxa" w:w="864"/>
          </w:tcPr>
          <w:p>
            <w:pPr>
              <w:spacing w:lineRule="auto" w:line="360"/>
              <w:jc w:val="left"/>
            </w:pPr>
            <w:r>
              <w:rPr>
                <w:rFonts w:ascii="Arial" w:hAnsi="Arial"/>
                <w:sz w:val="18"/>
              </w:rPr>
              <w:t>-9.363</w:t>
            </w:r>
          </w:p>
        </w:tc>
        <w:tc>
          <w:tcPr>
            <w:tcW w:type="dxa" w:w="864"/>
          </w:tcPr>
          <w:p>
            <w:pPr>
              <w:spacing w:lineRule="auto" w:line="360"/>
              <w:jc w:val="left"/>
            </w:pPr>
            <w:r>
              <w:rPr>
                <w:rFonts w:ascii="Arial" w:hAnsi="Arial"/>
                <w:sz w:val="18"/>
              </w:rPr>
              <w:t>4.020</w:t>
            </w:r>
          </w:p>
        </w:tc>
        <w:tc>
          <w:tcPr>
            <w:tcW w:type="dxa" w:w="864"/>
          </w:tcPr>
          <w:p>
            <w:pPr>
              <w:spacing w:lineRule="auto" w:line="360"/>
              <w:jc w:val="left"/>
            </w:pPr>
            <w:r>
              <w:rPr>
                <w:rFonts w:ascii="Arial" w:hAnsi="Arial"/>
                <w:sz w:val="18"/>
              </w:rPr>
              <w:t>27.300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Baleshwar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-3.593</w:t>
            </w:r>
          </w:p>
        </w:tc>
        <w:tc>
          <w:tcPr>
            <w:tcW w:type="dxa" w:w="864"/>
          </w:tcPr>
          <w:p>
            <w:pPr>
              <w:spacing w:lineRule="auto" w:line="360"/>
              <w:jc w:val="left"/>
            </w:pPr>
            <w:r>
              <w:rPr>
                <w:rFonts w:ascii="Arial" w:hAnsi="Arial"/>
                <w:sz w:val="18"/>
              </w:rPr>
              <w:t>3.362</w:t>
            </w:r>
          </w:p>
        </w:tc>
        <w:tc>
          <w:tcPr>
            <w:tcW w:type="dxa" w:w="864"/>
          </w:tcPr>
          <w:p>
            <w:pPr>
              <w:spacing w:lineRule="auto" w:line="360"/>
              <w:jc w:val="left"/>
            </w:pPr>
            <w:r>
              <w:rPr>
                <w:rFonts w:ascii="Arial" w:hAnsi="Arial"/>
                <w:sz w:val="18"/>
              </w:rPr>
              <w:t>0.285</w:t>
            </w:r>
          </w:p>
        </w:tc>
        <w:tc>
          <w:tcPr>
            <w:tcW w:type="dxa" w:w="864"/>
          </w:tcPr>
          <w:p>
            <w:pPr>
              <w:spacing w:lineRule="auto" w:line="360"/>
              <w:jc w:val="left"/>
            </w:pPr>
            <w:r>
              <w:rPr>
                <w:rFonts w:ascii="Arial" w:hAnsi="Arial"/>
                <w:sz w:val="18"/>
              </w:rPr>
              <w:t>-10.182</w:t>
            </w:r>
          </w:p>
        </w:tc>
        <w:tc>
          <w:tcPr>
            <w:tcW w:type="dxa" w:w="864"/>
          </w:tcPr>
          <w:p>
            <w:pPr>
              <w:spacing w:lineRule="auto" w:line="360"/>
              <w:jc w:val="left"/>
            </w:pPr>
            <w:r>
              <w:rPr>
                <w:rFonts w:ascii="Arial" w:hAnsi="Arial"/>
                <w:sz w:val="18"/>
              </w:rPr>
              <w:t>2.996</w:t>
            </w:r>
          </w:p>
        </w:tc>
        <w:tc>
          <w:tcPr>
            <w:tcW w:type="dxa" w:w="864"/>
          </w:tcPr>
          <w:p>
            <w:pPr>
              <w:spacing w:lineRule="auto" w:line="360"/>
              <w:jc w:val="left"/>
            </w:pPr>
            <w:r>
              <w:rPr>
                <w:rFonts w:ascii="Arial" w:hAnsi="Arial"/>
                <w:sz w:val="18"/>
              </w:rPr>
              <w:t>2.300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Bhadrak</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-2.002</w:t>
            </w:r>
          </w:p>
        </w:tc>
        <w:tc>
          <w:tcPr>
            <w:tcW w:type="dxa" w:w="864"/>
          </w:tcPr>
          <w:p>
            <w:pPr>
              <w:spacing w:lineRule="auto" w:line="360"/>
              <w:jc w:val="left"/>
            </w:pPr>
            <w:r>
              <w:rPr>
                <w:rFonts w:ascii="Arial" w:hAnsi="Arial"/>
                <w:sz w:val="18"/>
              </w:rPr>
              <w:t>2.415</w:t>
            </w:r>
          </w:p>
        </w:tc>
        <w:tc>
          <w:tcPr>
            <w:tcW w:type="dxa" w:w="864"/>
          </w:tcPr>
          <w:p>
            <w:pPr>
              <w:spacing w:lineRule="auto" w:line="360"/>
              <w:jc w:val="left"/>
            </w:pPr>
            <w:r>
              <w:rPr>
                <w:rFonts w:ascii="Arial" w:hAnsi="Arial"/>
                <w:sz w:val="18"/>
              </w:rPr>
              <w:t>0.407</w:t>
            </w:r>
          </w:p>
        </w:tc>
        <w:tc>
          <w:tcPr>
            <w:tcW w:type="dxa" w:w="864"/>
          </w:tcPr>
          <w:p>
            <w:pPr>
              <w:spacing w:lineRule="auto" w:line="360"/>
              <w:jc w:val="left"/>
            </w:pPr>
            <w:r>
              <w:rPr>
                <w:rFonts w:ascii="Arial" w:hAnsi="Arial"/>
                <w:sz w:val="18"/>
              </w:rPr>
              <w:t>-6.736</w:t>
            </w:r>
          </w:p>
        </w:tc>
        <w:tc>
          <w:tcPr>
            <w:tcW w:type="dxa" w:w="864"/>
          </w:tcPr>
          <w:p>
            <w:pPr>
              <w:spacing w:lineRule="auto" w:line="360"/>
              <w:jc w:val="left"/>
            </w:pPr>
            <w:r>
              <w:rPr>
                <w:rFonts w:ascii="Arial" w:hAnsi="Arial"/>
                <w:sz w:val="18"/>
              </w:rPr>
              <w:t>2.731</w:t>
            </w:r>
          </w:p>
        </w:tc>
        <w:tc>
          <w:tcPr>
            <w:tcW w:type="dxa" w:w="864"/>
          </w:tcPr>
          <w:p>
            <w:pPr>
              <w:spacing w:lineRule="auto" w:line="360"/>
              <w:jc w:val="left"/>
            </w:pPr>
            <w:r>
              <w:rPr>
                <w:rFonts w:ascii="Arial" w:hAnsi="Arial"/>
                <w:sz w:val="18"/>
              </w:rPr>
              <w:t>45.500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Cuttack</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-5.687</w:t>
            </w:r>
          </w:p>
        </w:tc>
        <w:tc>
          <w:tcPr>
            <w:tcW w:type="dxa" w:w="864"/>
          </w:tcPr>
          <w:p>
            <w:pPr>
              <w:spacing w:lineRule="auto" w:line="360"/>
              <w:jc w:val="left"/>
            </w:pPr>
            <w:r>
              <w:rPr>
                <w:rFonts w:ascii="Arial" w:hAnsi="Arial"/>
                <w:sz w:val="18"/>
              </w:rPr>
              <w:t>2.132</w:t>
            </w:r>
          </w:p>
        </w:tc>
        <w:tc>
          <w:tcPr>
            <w:tcW w:type="dxa" w:w="864"/>
          </w:tcPr>
          <w:p>
            <w:pPr>
              <w:spacing w:lineRule="auto" w:line="360"/>
              <w:jc w:val="left"/>
            </w:pPr>
            <w:r>
              <w:rPr>
                <w:rFonts w:ascii="Arial" w:hAnsi="Arial"/>
                <w:sz w:val="18"/>
              </w:rPr>
              <w:t>0.008</w:t>
            </w:r>
          </w:p>
        </w:tc>
        <w:tc>
          <w:tcPr>
            <w:tcW w:type="dxa" w:w="864"/>
          </w:tcPr>
          <w:p>
            <w:pPr>
              <w:spacing w:lineRule="auto" w:line="360"/>
              <w:jc w:val="left"/>
            </w:pPr>
            <w:r>
              <w:rPr>
                <w:rFonts w:ascii="Arial" w:hAnsi="Arial"/>
                <w:sz w:val="18"/>
              </w:rPr>
              <w:t>-9.865</w:t>
            </w:r>
          </w:p>
        </w:tc>
        <w:tc>
          <w:tcPr>
            <w:tcW w:type="dxa" w:w="864"/>
          </w:tcPr>
          <w:p>
            <w:pPr>
              <w:spacing w:lineRule="auto" w:line="360"/>
              <w:jc w:val="left"/>
            </w:pPr>
            <w:r>
              <w:rPr>
                <w:rFonts w:ascii="Arial" w:hAnsi="Arial"/>
                <w:sz w:val="18"/>
              </w:rPr>
              <w:t>-1.509</w:t>
            </w:r>
          </w:p>
        </w:tc>
        <w:tc>
          <w:tcPr>
            <w:tcW w:type="dxa" w:w="864"/>
          </w:tcPr>
          <w:p>
            <w:pPr>
              <w:spacing w:lineRule="auto" w:line="360"/>
              <w:jc w:val="left"/>
            </w:pPr>
            <w:r>
              <w:rPr>
                <w:rFonts w:ascii="Arial" w:hAnsi="Arial"/>
                <w:sz w:val="18"/>
              </w:rPr>
              <w:t>-54.700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Dhenkanal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-2.672</w:t>
            </w:r>
          </w:p>
        </w:tc>
        <w:tc>
          <w:tcPr>
            <w:tcW w:type="dxa" w:w="864"/>
          </w:tcPr>
          <w:p>
            <w:pPr>
              <w:spacing w:lineRule="auto" w:line="360"/>
              <w:jc w:val="left"/>
            </w:pPr>
            <w:r>
              <w:rPr>
                <w:rFonts w:ascii="Arial" w:hAnsi="Arial"/>
                <w:sz w:val="18"/>
              </w:rPr>
              <w:t>3.414</w:t>
            </w:r>
          </w:p>
        </w:tc>
        <w:tc>
          <w:tcPr>
            <w:tcW w:type="dxa" w:w="864"/>
          </w:tcPr>
          <w:p>
            <w:pPr>
              <w:spacing w:lineRule="auto" w:line="360"/>
              <w:jc w:val="left"/>
            </w:pPr>
            <w:r>
              <w:rPr>
                <w:rFonts w:ascii="Arial" w:hAnsi="Arial"/>
                <w:sz w:val="18"/>
              </w:rPr>
              <w:t>0.434</w:t>
            </w:r>
          </w:p>
        </w:tc>
        <w:tc>
          <w:tcPr>
            <w:tcW w:type="dxa" w:w="864"/>
          </w:tcPr>
          <w:p>
            <w:pPr>
              <w:spacing w:lineRule="auto" w:line="360"/>
              <w:jc w:val="left"/>
            </w:pPr>
            <w:r>
              <w:rPr>
                <w:rFonts w:ascii="Arial" w:hAnsi="Arial"/>
                <w:sz w:val="18"/>
              </w:rPr>
              <w:t>-9.363</w:t>
            </w:r>
          </w:p>
        </w:tc>
        <w:tc>
          <w:tcPr>
            <w:tcW w:type="dxa" w:w="864"/>
          </w:tcPr>
          <w:p>
            <w:pPr>
              <w:spacing w:lineRule="auto" w:line="360"/>
              <w:jc w:val="left"/>
            </w:pPr>
            <w:r>
              <w:rPr>
                <w:rFonts w:ascii="Arial" w:hAnsi="Arial"/>
                <w:sz w:val="18"/>
              </w:rPr>
              <w:t>4.020</w:t>
            </w:r>
          </w:p>
        </w:tc>
        <w:tc>
          <w:tcPr>
            <w:tcW w:type="dxa" w:w="864"/>
          </w:tcPr>
          <w:p>
            <w:pPr>
              <w:spacing w:lineRule="auto" w:line="360"/>
              <w:jc w:val="left"/>
            </w:pPr>
            <w:r>
              <w:rPr>
                <w:rFonts w:ascii="Arial" w:hAnsi="Arial"/>
                <w:sz w:val="18"/>
              </w:rPr>
              <w:t>27.300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Jagatsinghpur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-4.600</w:t>
            </w:r>
          </w:p>
        </w:tc>
        <w:tc>
          <w:tcPr>
            <w:tcW w:type="dxa" w:w="864"/>
          </w:tcPr>
          <w:p>
            <w:pPr>
              <w:spacing w:lineRule="auto" w:line="360"/>
              <w:jc w:val="left"/>
            </w:pPr>
            <w:r>
              <w:rPr>
                <w:rFonts w:ascii="Arial" w:hAnsi="Arial"/>
                <w:sz w:val="18"/>
              </w:rPr>
              <w:t>3.106</w:t>
            </w:r>
          </w:p>
        </w:tc>
        <w:tc>
          <w:tcPr>
            <w:tcW w:type="dxa" w:w="864"/>
          </w:tcPr>
          <w:p>
            <w:pPr>
              <w:spacing w:lineRule="auto" w:line="360"/>
              <w:jc w:val="left"/>
            </w:pPr>
            <w:r>
              <w:rPr>
                <w:rFonts w:ascii="Arial" w:hAnsi="Arial"/>
                <w:sz w:val="18"/>
              </w:rPr>
              <w:t>0.139</w:t>
            </w:r>
          </w:p>
        </w:tc>
        <w:tc>
          <w:tcPr>
            <w:tcW w:type="dxa" w:w="864"/>
          </w:tcPr>
          <w:p>
            <w:pPr>
              <w:spacing w:lineRule="auto" w:line="360"/>
              <w:jc w:val="left"/>
            </w:pPr>
            <w:r>
              <w:rPr>
                <w:rFonts w:ascii="Arial" w:hAnsi="Arial"/>
                <w:sz w:val="18"/>
              </w:rPr>
              <w:t>-10.688</w:t>
            </w:r>
          </w:p>
        </w:tc>
        <w:tc>
          <w:tcPr>
            <w:tcW w:type="dxa" w:w="864"/>
          </w:tcPr>
          <w:p>
            <w:pPr>
              <w:spacing w:lineRule="auto" w:line="360"/>
              <w:jc w:val="left"/>
            </w:pPr>
            <w:r>
              <w:rPr>
                <w:rFonts w:ascii="Arial" w:hAnsi="Arial"/>
                <w:sz w:val="18"/>
              </w:rPr>
              <w:t>1.488</w:t>
            </w:r>
          </w:p>
        </w:tc>
        <w:tc>
          <w:tcPr>
            <w:tcW w:type="dxa" w:w="864"/>
          </w:tcPr>
          <w:p>
            <w:pPr>
              <w:spacing w:lineRule="auto" w:line="360"/>
              <w:jc w:val="left"/>
            </w:pPr>
            <w:r>
              <w:rPr>
                <w:rFonts w:ascii="Arial" w:hAnsi="Arial"/>
                <w:sz w:val="18"/>
              </w:rPr>
              <w:t>-25.100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Kendrapara</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-4.607</w:t>
            </w:r>
          </w:p>
        </w:tc>
        <w:tc>
          <w:tcPr>
            <w:tcW w:type="dxa" w:w="864"/>
          </w:tcPr>
          <w:p>
            <w:pPr>
              <w:spacing w:lineRule="auto" w:line="360"/>
              <w:jc w:val="left"/>
            </w:pPr>
            <w:r>
              <w:rPr>
                <w:rFonts w:ascii="Arial" w:hAnsi="Arial"/>
                <w:sz w:val="18"/>
              </w:rPr>
              <w:t>3.102</w:t>
            </w:r>
          </w:p>
        </w:tc>
        <w:tc>
          <w:tcPr>
            <w:tcW w:type="dxa" w:w="864"/>
          </w:tcPr>
          <w:p>
            <w:pPr>
              <w:spacing w:lineRule="auto" w:line="360"/>
              <w:jc w:val="left"/>
            </w:pPr>
            <w:r>
              <w:rPr>
                <w:rFonts w:ascii="Arial" w:hAnsi="Arial"/>
                <w:sz w:val="18"/>
              </w:rPr>
              <w:t>0.138</w:t>
            </w:r>
          </w:p>
        </w:tc>
        <w:tc>
          <w:tcPr>
            <w:tcW w:type="dxa" w:w="864"/>
          </w:tcPr>
          <w:p>
            <w:pPr>
              <w:spacing w:lineRule="auto" w:line="360"/>
              <w:jc w:val="left"/>
            </w:pPr>
            <w:r>
              <w:rPr>
                <w:rFonts w:ascii="Arial" w:hAnsi="Arial"/>
                <w:sz w:val="18"/>
              </w:rPr>
              <w:t>-10.687</w:t>
            </w:r>
          </w:p>
        </w:tc>
        <w:tc>
          <w:tcPr>
            <w:tcW w:type="dxa" w:w="864"/>
          </w:tcPr>
          <w:p>
            <w:pPr>
              <w:spacing w:lineRule="auto" w:line="360"/>
              <w:jc w:val="left"/>
            </w:pPr>
            <w:r>
              <w:rPr>
                <w:rFonts w:ascii="Arial" w:hAnsi="Arial"/>
                <w:sz w:val="18"/>
              </w:rPr>
              <w:t>1.473</w:t>
            </w:r>
          </w:p>
        </w:tc>
        <w:tc>
          <w:tcPr>
            <w:tcW w:type="dxa" w:w="864"/>
          </w:tcPr>
          <w:p>
            <w:pPr>
              <w:spacing w:lineRule="auto" w:line="360"/>
              <w:jc w:val="left"/>
            </w:pPr>
            <w:r>
              <w:rPr>
                <w:rFonts w:ascii="Arial" w:hAnsi="Arial"/>
                <w:sz w:val="18"/>
              </w:rPr>
              <w:t>-25.300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Puri</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-3.581</w:t>
            </w:r>
          </w:p>
        </w:tc>
        <w:tc>
          <w:tcPr>
            <w:tcW w:type="dxa" w:w="864"/>
          </w:tcPr>
          <w:p>
            <w:pPr>
              <w:spacing w:lineRule="auto" w:line="360"/>
              <w:jc w:val="left"/>
            </w:pPr>
            <w:r>
              <w:rPr>
                <w:rFonts w:ascii="Arial" w:hAnsi="Arial"/>
                <w:sz w:val="18"/>
              </w:rPr>
              <w:t>3.361</w:t>
            </w:r>
          </w:p>
        </w:tc>
        <w:tc>
          <w:tcPr>
            <w:tcW w:type="dxa" w:w="864"/>
          </w:tcPr>
          <w:p>
            <w:pPr>
              <w:spacing w:lineRule="auto" w:line="360"/>
              <w:jc w:val="left"/>
            </w:pPr>
            <w:r>
              <w:rPr>
                <w:rFonts w:ascii="Arial" w:hAnsi="Arial"/>
                <w:sz w:val="18"/>
              </w:rPr>
              <w:t>0.287</w:t>
            </w:r>
          </w:p>
        </w:tc>
        <w:tc>
          <w:tcPr>
            <w:tcW w:type="dxa" w:w="864"/>
          </w:tcPr>
          <w:p>
            <w:pPr>
              <w:spacing w:lineRule="auto" w:line="360"/>
              <w:jc w:val="left"/>
            </w:pPr>
            <w:r>
              <w:rPr>
                <w:rFonts w:ascii="Arial" w:hAnsi="Arial"/>
                <w:sz w:val="18"/>
              </w:rPr>
              <w:t>-10.168</w:t>
            </w:r>
          </w:p>
        </w:tc>
        <w:tc>
          <w:tcPr>
            <w:tcW w:type="dxa" w:w="864"/>
          </w:tcPr>
          <w:p>
            <w:pPr>
              <w:spacing w:lineRule="auto" w:line="360"/>
              <w:jc w:val="left"/>
            </w:pPr>
            <w:r>
              <w:rPr>
                <w:rFonts w:ascii="Arial" w:hAnsi="Arial"/>
                <w:sz w:val="18"/>
              </w:rPr>
              <w:t>3.007</w:t>
            </w:r>
          </w:p>
        </w:tc>
        <w:tc>
          <w:tcPr>
            <w:tcW w:type="dxa" w:w="864"/>
          </w:tcPr>
          <w:p>
            <w:pPr>
              <w:spacing w:lineRule="auto" w:line="360"/>
              <w:jc w:val="left"/>
            </w:pPr>
            <w:r>
              <w:rPr>
                <w:rFonts w:ascii="Arial" w:hAnsi="Arial"/>
                <w:sz w:val="18"/>
              </w:rPr>
              <w:t>2.600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Angul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-0.205</w:t>
            </w:r>
          </w:p>
        </w:tc>
        <w:tc>
          <w:tcPr>
            <w:tcW w:type="dxa" w:w="864"/>
          </w:tcPr>
          <w:p>
            <w:pPr>
              <w:spacing w:lineRule="auto" w:line="360"/>
              <w:jc w:val="left"/>
            </w:pPr>
            <w:r>
              <w:rPr>
                <w:rFonts w:ascii="Arial" w:hAnsi="Arial"/>
                <w:sz w:val="18"/>
              </w:rPr>
              <w:t>0.157</w:t>
            </w:r>
          </w:p>
        </w:tc>
        <w:tc>
          <w:tcPr>
            <w:tcW w:type="dxa" w:w="864"/>
          </w:tcPr>
          <w:p>
            <w:pPr>
              <w:spacing w:lineRule="auto" w:line="360"/>
              <w:jc w:val="left"/>
            </w:pPr>
            <w:r>
              <w:rPr>
                <w:rFonts w:ascii="Arial" w:hAnsi="Arial"/>
                <w:sz w:val="18"/>
              </w:rPr>
              <w:t>0.191</w:t>
            </w:r>
          </w:p>
        </w:tc>
        <w:tc>
          <w:tcPr>
            <w:tcW w:type="dxa" w:w="864"/>
          </w:tcPr>
          <w:p>
            <w:pPr>
              <w:spacing w:lineRule="auto" w:line="360"/>
              <w:jc w:val="left"/>
            </w:pPr>
            <w:r>
              <w:rPr>
                <w:rFonts w:ascii="Arial" w:hAnsi="Arial"/>
                <w:sz w:val="18"/>
              </w:rPr>
              <w:t>-0.511</w:t>
            </w:r>
          </w:p>
        </w:tc>
        <w:tc>
          <w:tcPr>
            <w:tcW w:type="dxa" w:w="864"/>
          </w:tcPr>
          <w:p>
            <w:pPr>
              <w:spacing w:lineRule="auto" w:line="360"/>
              <w:jc w:val="left"/>
            </w:pPr>
            <w:r>
              <w:rPr>
                <w:rFonts w:ascii="Arial" w:hAnsi="Arial"/>
                <w:sz w:val="18"/>
              </w:rPr>
              <w:t>0.102</w:t>
            </w:r>
          </w:p>
        </w:tc>
        <w:tc>
          <w:tcPr>
            <w:tcW w:type="dxa" w:w="864"/>
          </w:tcPr>
          <w:p>
            <w:pPr>
              <w:spacing w:lineRule="auto" w:line="360"/>
              <w:jc w:val="left"/>
            </w:pPr>
            <w:r>
              <w:rPr>
                <w:rFonts w:ascii="Arial" w:hAnsi="Arial"/>
                <w:sz w:val="18"/>
              </w:rPr>
              <w:t>14.200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Baleshwar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-0.326</w:t>
            </w:r>
          </w:p>
        </w:tc>
        <w:tc>
          <w:tcPr>
            <w:tcW w:type="dxa" w:w="864"/>
          </w:tcPr>
          <w:p>
            <w:pPr>
              <w:spacing w:lineRule="auto" w:line="360"/>
              <w:jc w:val="left"/>
            </w:pPr>
            <w:r>
              <w:rPr>
                <w:rFonts w:ascii="Arial" w:hAnsi="Arial"/>
                <w:sz w:val="18"/>
              </w:rPr>
              <w:t>0.196</w:t>
            </w:r>
          </w:p>
        </w:tc>
        <w:tc>
          <w:tcPr>
            <w:tcW w:type="dxa" w:w="864"/>
          </w:tcPr>
          <w:p>
            <w:pPr>
              <w:spacing w:lineRule="auto" w:line="360"/>
              <w:jc w:val="left"/>
            </w:pPr>
            <w:r>
              <w:rPr>
                <w:rFonts w:ascii="Arial" w:hAnsi="Arial"/>
                <w:sz w:val="18"/>
              </w:rPr>
              <w:t>0.097</w:t>
            </w:r>
          </w:p>
        </w:tc>
        <w:tc>
          <w:tcPr>
            <w:tcW w:type="dxa" w:w="864"/>
          </w:tcPr>
          <w:p>
            <w:pPr>
              <w:spacing w:lineRule="auto" w:line="360"/>
              <w:jc w:val="left"/>
            </w:pPr>
            <w:r>
              <w:rPr>
                <w:rFonts w:ascii="Arial" w:hAnsi="Arial"/>
                <w:sz w:val="18"/>
              </w:rPr>
              <w:t>-0.711</w:t>
            </w:r>
          </w:p>
        </w:tc>
        <w:tc>
          <w:tcPr>
            <w:tcW w:type="dxa" w:w="864"/>
          </w:tcPr>
          <w:p>
            <w:pPr>
              <w:spacing w:lineRule="auto" w:line="360"/>
              <w:jc w:val="left"/>
            </w:pPr>
            <w:r>
              <w:rPr>
                <w:rFonts w:ascii="Arial" w:hAnsi="Arial"/>
                <w:sz w:val="18"/>
              </w:rPr>
              <w:t>0.058</w:t>
            </w:r>
          </w:p>
        </w:tc>
        <w:tc>
          <w:tcPr>
            <w:tcW w:type="dxa" w:w="864"/>
          </w:tcPr>
          <w:p>
            <w:pPr>
              <w:spacing w:lineRule="auto" w:line="360"/>
              <w:jc w:val="left"/>
            </w:pPr>
            <w:r>
              <w:rPr>
                <w:rFonts w:ascii="Arial" w:hAnsi="Arial"/>
                <w:sz w:val="18"/>
              </w:rPr>
              <w:t>-36.700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Bhadrak</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-0.095</w:t>
            </w:r>
          </w:p>
        </w:tc>
        <w:tc>
          <w:tcPr>
            <w:tcW w:type="dxa" w:w="864"/>
          </w:tcPr>
          <w:p>
            <w:pPr>
              <w:spacing w:lineRule="auto" w:line="360"/>
              <w:jc w:val="left"/>
            </w:pPr>
            <w:r>
              <w:rPr>
                <w:rFonts w:ascii="Arial" w:hAnsi="Arial"/>
                <w:sz w:val="18"/>
              </w:rPr>
              <w:t>0.059</w:t>
            </w:r>
          </w:p>
        </w:tc>
        <w:tc>
          <w:tcPr>
            <w:tcW w:type="dxa" w:w="864"/>
          </w:tcPr>
          <w:p>
            <w:pPr>
              <w:spacing w:lineRule="auto" w:line="360"/>
              <w:jc w:val="left"/>
            </w:pPr>
            <w:r>
              <w:rPr>
                <w:rFonts w:ascii="Arial" w:hAnsi="Arial"/>
                <w:sz w:val="18"/>
              </w:rPr>
              <w:t>0.109</w:t>
            </w:r>
          </w:p>
        </w:tc>
        <w:tc>
          <w:tcPr>
            <w:tcW w:type="dxa" w:w="864"/>
          </w:tcPr>
          <w:p>
            <w:pPr>
              <w:spacing w:lineRule="auto" w:line="360"/>
              <w:jc w:val="left"/>
            </w:pPr>
            <w:r>
              <w:rPr>
                <w:rFonts w:ascii="Arial" w:hAnsi="Arial"/>
                <w:sz w:val="18"/>
              </w:rPr>
              <w:t>-0.211</w:t>
            </w:r>
          </w:p>
        </w:tc>
        <w:tc>
          <w:tcPr>
            <w:tcW w:type="dxa" w:w="864"/>
          </w:tcPr>
          <w:p>
            <w:pPr>
              <w:spacing w:lineRule="auto" w:line="360"/>
              <w:jc w:val="left"/>
            </w:pPr>
            <w:r>
              <w:rPr>
                <w:rFonts w:ascii="Arial" w:hAnsi="Arial"/>
                <w:sz w:val="18"/>
              </w:rPr>
              <w:t>0.021</w:t>
            </w:r>
          </w:p>
        </w:tc>
        <w:tc>
          <w:tcPr>
            <w:tcW w:type="dxa" w:w="864"/>
          </w:tcPr>
          <w:p>
            <w:pPr>
              <w:spacing w:lineRule="auto" w:line="360"/>
              <w:jc w:val="left"/>
            </w:pPr>
            <w:r>
              <w:rPr>
                <w:rFonts w:ascii="Arial" w:hAnsi="Arial"/>
                <w:sz w:val="18"/>
              </w:rPr>
              <w:t>60.200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Cuttack</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-0.288</w:t>
            </w:r>
          </w:p>
        </w:tc>
        <w:tc>
          <w:tcPr>
            <w:tcW w:type="dxa" w:w="864"/>
          </w:tcPr>
          <w:p>
            <w:pPr>
              <w:spacing w:lineRule="auto" w:line="360"/>
              <w:jc w:val="left"/>
            </w:pPr>
            <w:r>
              <w:rPr>
                <w:rFonts w:ascii="Arial" w:hAnsi="Arial"/>
                <w:sz w:val="18"/>
              </w:rPr>
              <w:t>0.191</w:t>
            </w:r>
          </w:p>
        </w:tc>
        <w:tc>
          <w:tcPr>
            <w:tcW w:type="dxa" w:w="864"/>
          </w:tcPr>
          <w:p>
            <w:pPr>
              <w:spacing w:lineRule="auto" w:line="360"/>
              <w:jc w:val="left"/>
            </w:pPr>
            <w:r>
              <w:rPr>
                <w:rFonts w:ascii="Arial" w:hAnsi="Arial"/>
                <w:sz w:val="18"/>
              </w:rPr>
              <w:t>0.131</w:t>
            </w:r>
          </w:p>
        </w:tc>
        <w:tc>
          <w:tcPr>
            <w:tcW w:type="dxa" w:w="864"/>
          </w:tcPr>
          <w:p>
            <w:pPr>
              <w:spacing w:lineRule="auto" w:line="360"/>
              <w:jc w:val="left"/>
            </w:pPr>
            <w:r>
              <w:rPr>
                <w:rFonts w:ascii="Arial" w:hAnsi="Arial"/>
                <w:sz w:val="18"/>
              </w:rPr>
              <w:t>-0.662</w:t>
            </w:r>
          </w:p>
        </w:tc>
        <w:tc>
          <w:tcPr>
            <w:tcW w:type="dxa" w:w="864"/>
          </w:tcPr>
          <w:p>
            <w:pPr>
              <w:spacing w:lineRule="auto" w:line="360"/>
              <w:jc w:val="left"/>
            </w:pPr>
            <w:r>
              <w:rPr>
                <w:rFonts w:ascii="Arial" w:hAnsi="Arial"/>
                <w:sz w:val="18"/>
              </w:rPr>
              <w:t>0.086</w:t>
            </w:r>
          </w:p>
        </w:tc>
        <w:tc>
          <w:tcPr>
            <w:tcW w:type="dxa" w:w="864"/>
          </w:tcPr>
          <w:p>
            <w:pPr>
              <w:spacing w:lineRule="auto" w:line="360"/>
              <w:jc w:val="left"/>
            </w:pPr>
            <w:r>
              <w:rPr>
                <w:rFonts w:ascii="Arial" w:hAnsi="Arial"/>
                <w:sz w:val="18"/>
              </w:rPr>
              <w:t>-20.700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Dhenkanal</w:t>
            </w:r>
          </w:p>
        </w:tc>
        <w:tc>
          <w:tcPr>
            <w:tcW w:type="dxa" w:w="864"/>
          </w:tcPr>
          <w:p>
            <w:pPr>
              <w:spacing w:lineRule="auto" w:line="360"/>
              <w:jc w:val="left"/>
            </w:pPr>
            <w:r>
              <w:rPr>
                <w:rFonts w:ascii="Arial" w:hAnsi="Arial"/>
                <w:sz w:val="18"/>
              </w:rPr>
              <w:t>inland_control</w:t>
            </w:r>
          </w:p>
        </w:tc>
        <w:tc>
          <w:tcPr>
            <w:tcW w:type="dxa" w:w="864"/>
          </w:tcPr>
          <w:p>
            <w:pPr>
              <w:spacing w:lineRule="auto" w:line="360"/>
              <w:jc w:val="left"/>
            </w:pPr>
            <w:r>
              <w:rPr>
                <w:rFonts w:ascii="Arial" w:hAnsi="Arial"/>
                <w:sz w:val="18"/>
              </w:rPr>
              <w:t>-0.215</w:t>
            </w:r>
          </w:p>
        </w:tc>
        <w:tc>
          <w:tcPr>
            <w:tcW w:type="dxa" w:w="864"/>
          </w:tcPr>
          <w:p>
            <w:pPr>
              <w:spacing w:lineRule="auto" w:line="360"/>
              <w:jc w:val="left"/>
            </w:pPr>
            <w:r>
              <w:rPr>
                <w:rFonts w:ascii="Arial" w:hAnsi="Arial"/>
                <w:sz w:val="18"/>
              </w:rPr>
              <w:t>0.219</w:t>
            </w:r>
          </w:p>
        </w:tc>
        <w:tc>
          <w:tcPr>
            <w:tcW w:type="dxa" w:w="864"/>
          </w:tcPr>
          <w:p>
            <w:pPr>
              <w:spacing w:lineRule="auto" w:line="360"/>
              <w:jc w:val="left"/>
            </w:pPr>
            <w:r>
              <w:rPr>
                <w:rFonts w:ascii="Arial" w:hAnsi="Arial"/>
                <w:sz w:val="18"/>
              </w:rPr>
              <w:t>0.325</w:t>
            </w:r>
          </w:p>
        </w:tc>
        <w:tc>
          <w:tcPr>
            <w:tcW w:type="dxa" w:w="864"/>
          </w:tcPr>
          <w:p>
            <w:pPr>
              <w:spacing w:lineRule="auto" w:line="360"/>
              <w:jc w:val="left"/>
            </w:pPr>
            <w:r>
              <w:rPr>
                <w:rFonts w:ascii="Arial" w:hAnsi="Arial"/>
                <w:sz w:val="18"/>
              </w:rPr>
              <w:t>-0.644</w:t>
            </w:r>
          </w:p>
        </w:tc>
        <w:tc>
          <w:tcPr>
            <w:tcW w:type="dxa" w:w="864"/>
          </w:tcPr>
          <w:p>
            <w:pPr>
              <w:spacing w:lineRule="auto" w:line="360"/>
              <w:jc w:val="left"/>
            </w:pPr>
            <w:r>
              <w:rPr>
                <w:rFonts w:ascii="Arial" w:hAnsi="Arial"/>
                <w:sz w:val="18"/>
              </w:rPr>
              <w:t>0.214</w:t>
            </w:r>
          </w:p>
        </w:tc>
        <w:tc>
          <w:tcPr>
            <w:tcW w:type="dxa" w:w="864"/>
          </w:tcPr>
          <w:p>
            <w:pPr>
              <w:spacing w:lineRule="auto" w:line="360"/>
              <w:jc w:val="left"/>
            </w:pPr>
            <w:r>
              <w:rPr>
                <w:rFonts w:ascii="Arial" w:hAnsi="Arial"/>
                <w:sz w:val="18"/>
              </w:rPr>
              <w:t>9.700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Jagatsinghpur</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-0.239</w:t>
            </w:r>
          </w:p>
        </w:tc>
        <w:tc>
          <w:tcPr>
            <w:tcW w:type="dxa" w:w="864"/>
          </w:tcPr>
          <w:p>
            <w:pPr>
              <w:spacing w:lineRule="auto" w:line="360"/>
              <w:jc w:val="left"/>
            </w:pPr>
            <w:r>
              <w:rPr>
                <w:rFonts w:ascii="Arial" w:hAnsi="Arial"/>
                <w:sz w:val="18"/>
              </w:rPr>
              <w:t>0.169</w:t>
            </w:r>
          </w:p>
        </w:tc>
        <w:tc>
          <w:tcPr>
            <w:tcW w:type="dxa" w:w="864"/>
          </w:tcPr>
          <w:p>
            <w:pPr>
              <w:spacing w:lineRule="auto" w:line="360"/>
              <w:jc w:val="left"/>
            </w:pPr>
            <w:r>
              <w:rPr>
                <w:rFonts w:ascii="Arial" w:hAnsi="Arial"/>
                <w:sz w:val="18"/>
              </w:rPr>
              <w:t>0.158</w:t>
            </w:r>
          </w:p>
        </w:tc>
        <w:tc>
          <w:tcPr>
            <w:tcW w:type="dxa" w:w="864"/>
          </w:tcPr>
          <w:p>
            <w:pPr>
              <w:spacing w:lineRule="auto" w:line="360"/>
              <w:jc w:val="left"/>
            </w:pPr>
            <w:r>
              <w:rPr>
                <w:rFonts w:ascii="Arial" w:hAnsi="Arial"/>
                <w:sz w:val="18"/>
              </w:rPr>
              <w:t>-0.570</w:t>
            </w:r>
          </w:p>
        </w:tc>
        <w:tc>
          <w:tcPr>
            <w:tcW w:type="dxa" w:w="864"/>
          </w:tcPr>
          <w:p>
            <w:pPr>
              <w:spacing w:lineRule="auto" w:line="360"/>
              <w:jc w:val="left"/>
            </w:pPr>
            <w:r>
              <w:rPr>
                <w:rFonts w:ascii="Arial" w:hAnsi="Arial"/>
                <w:sz w:val="18"/>
              </w:rPr>
              <w:t>0.092</w:t>
            </w:r>
          </w:p>
        </w:tc>
        <w:tc>
          <w:tcPr>
            <w:tcW w:type="dxa" w:w="864"/>
          </w:tcPr>
          <w:p>
            <w:pPr>
              <w:spacing w:lineRule="auto" w:line="360"/>
              <w:jc w:val="left"/>
            </w:pPr>
            <w:r>
              <w:rPr>
                <w:rFonts w:ascii="Arial" w:hAnsi="Arial"/>
                <w:sz w:val="18"/>
              </w:rPr>
              <w:t>0.000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Kendrapara</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-0.244</w:t>
            </w:r>
          </w:p>
        </w:tc>
        <w:tc>
          <w:tcPr>
            <w:tcW w:type="dxa" w:w="864"/>
          </w:tcPr>
          <w:p>
            <w:pPr>
              <w:spacing w:lineRule="auto" w:line="360"/>
              <w:jc w:val="left"/>
            </w:pPr>
            <w:r>
              <w:rPr>
                <w:rFonts w:ascii="Arial" w:hAnsi="Arial"/>
                <w:sz w:val="18"/>
              </w:rPr>
              <w:t>0.178</w:t>
            </w:r>
          </w:p>
        </w:tc>
        <w:tc>
          <w:tcPr>
            <w:tcW w:type="dxa" w:w="864"/>
          </w:tcPr>
          <w:p>
            <w:pPr>
              <w:spacing w:lineRule="auto" w:line="360"/>
              <w:jc w:val="left"/>
            </w:pPr>
            <w:r>
              <w:rPr>
                <w:rFonts w:ascii="Arial" w:hAnsi="Arial"/>
                <w:sz w:val="18"/>
              </w:rPr>
              <w:t>0.171</w:t>
            </w:r>
          </w:p>
        </w:tc>
        <w:tc>
          <w:tcPr>
            <w:tcW w:type="dxa" w:w="864"/>
          </w:tcPr>
          <w:p>
            <w:pPr>
              <w:spacing w:lineRule="auto" w:line="360"/>
              <w:jc w:val="left"/>
            </w:pPr>
            <w:r>
              <w:rPr>
                <w:rFonts w:ascii="Arial" w:hAnsi="Arial"/>
                <w:sz w:val="18"/>
              </w:rPr>
              <w:t>-0.594</w:t>
            </w:r>
          </w:p>
        </w:tc>
        <w:tc>
          <w:tcPr>
            <w:tcW w:type="dxa" w:w="864"/>
          </w:tcPr>
          <w:p>
            <w:pPr>
              <w:spacing w:lineRule="auto" w:line="360"/>
              <w:jc w:val="left"/>
            </w:pPr>
            <w:r>
              <w:rPr>
                <w:rFonts w:ascii="Arial" w:hAnsi="Arial"/>
                <w:sz w:val="18"/>
              </w:rPr>
              <w:t>0.105</w:t>
            </w:r>
          </w:p>
        </w:tc>
        <w:tc>
          <w:tcPr>
            <w:tcW w:type="dxa" w:w="864"/>
          </w:tcPr>
          <w:p>
            <w:pPr>
              <w:spacing w:lineRule="auto" w:line="360"/>
              <w:jc w:val="left"/>
            </w:pPr>
            <w:r>
              <w:rPr>
                <w:rFonts w:ascii="Arial" w:hAnsi="Arial"/>
                <w:sz w:val="18"/>
              </w:rPr>
              <w:t>-2.300</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left"/>
            </w:pPr>
            <w:r>
              <w:rPr>
                <w:rFonts w:ascii="Arial" w:hAnsi="Arial"/>
                <w:sz w:val="18"/>
              </w:rPr>
              <w:t>Puri</w:t>
            </w:r>
          </w:p>
        </w:tc>
        <w:tc>
          <w:tcPr>
            <w:tcW w:type="dxa" w:w="864"/>
          </w:tcPr>
          <w:p>
            <w:pPr>
              <w:spacing w:lineRule="auto" w:line="360"/>
              <w:jc w:val="left"/>
            </w:pPr>
            <w:r>
              <w:rPr>
                <w:rFonts w:ascii="Arial" w:hAnsi="Arial"/>
                <w:sz w:val="18"/>
              </w:rPr>
              <w:t>coastal_treatment</w:t>
            </w:r>
          </w:p>
        </w:tc>
        <w:tc>
          <w:tcPr>
            <w:tcW w:type="dxa" w:w="864"/>
          </w:tcPr>
          <w:p>
            <w:pPr>
              <w:spacing w:lineRule="auto" w:line="360"/>
              <w:jc w:val="left"/>
            </w:pPr>
            <w:r>
              <w:rPr>
                <w:rFonts w:ascii="Arial" w:hAnsi="Arial"/>
                <w:sz w:val="18"/>
              </w:rPr>
              <w:t>-0.279</w:t>
            </w:r>
          </w:p>
        </w:tc>
        <w:tc>
          <w:tcPr>
            <w:tcW w:type="dxa" w:w="864"/>
          </w:tcPr>
          <w:p>
            <w:pPr>
              <w:spacing w:lineRule="auto" w:line="360"/>
              <w:jc w:val="left"/>
            </w:pPr>
            <w:r>
              <w:rPr>
                <w:rFonts w:ascii="Arial" w:hAnsi="Arial"/>
                <w:sz w:val="18"/>
              </w:rPr>
              <w:t>0.242</w:t>
            </w:r>
          </w:p>
        </w:tc>
        <w:tc>
          <w:tcPr>
            <w:tcW w:type="dxa" w:w="864"/>
          </w:tcPr>
          <w:p>
            <w:pPr>
              <w:spacing w:lineRule="auto" w:line="360"/>
              <w:jc w:val="left"/>
            </w:pPr>
            <w:r>
              <w:rPr>
                <w:rFonts w:ascii="Arial" w:hAnsi="Arial"/>
                <w:sz w:val="18"/>
              </w:rPr>
              <w:t>0.249</w:t>
            </w:r>
          </w:p>
        </w:tc>
        <w:tc>
          <w:tcPr>
            <w:tcW w:type="dxa" w:w="864"/>
          </w:tcPr>
          <w:p>
            <w:pPr>
              <w:spacing w:lineRule="auto" w:line="360"/>
              <w:jc w:val="left"/>
            </w:pPr>
            <w:r>
              <w:rPr>
                <w:rFonts w:ascii="Arial" w:hAnsi="Arial"/>
                <w:sz w:val="18"/>
              </w:rPr>
              <w:t>-0.754</w:t>
            </w:r>
          </w:p>
        </w:tc>
        <w:tc>
          <w:tcPr>
            <w:tcW w:type="dxa" w:w="864"/>
          </w:tcPr>
          <w:p>
            <w:pPr>
              <w:spacing w:lineRule="auto" w:line="360"/>
              <w:jc w:val="left"/>
            </w:pPr>
            <w:r>
              <w:rPr>
                <w:rFonts w:ascii="Arial" w:hAnsi="Arial"/>
                <w:sz w:val="18"/>
              </w:rPr>
              <w:t>0.196</w:t>
            </w:r>
          </w:p>
        </w:tc>
        <w:tc>
          <w:tcPr>
            <w:tcW w:type="dxa" w:w="864"/>
          </w:tcPr>
          <w:p>
            <w:pPr>
              <w:spacing w:lineRule="auto" w:line="360"/>
              <w:jc w:val="left"/>
            </w:pPr>
            <w:r>
              <w:rPr>
                <w:rFonts w:ascii="Arial" w:hAnsi="Arial"/>
                <w:sz w:val="18"/>
              </w:rPr>
              <w:t>-17.000</w:t>
            </w:r>
          </w:p>
        </w:tc>
      </w:tr>
    </w:tbl>
    <w:p>
      <w:pPr>
        <w:spacing w:before="0" w:after="120" w:line="276" w:lineRule="auto"/>
      </w:pPr>
      <w:r>
        <w:rPr>
          <w:rFonts w:ascii="Arial" w:hAnsi="Arial"/>
          <w:i/>
          <w:sz w:val="19"/>
          <w:szCs w:val="19"/>
          <w:color w:val="595959"/>
        </w:rPr>
        <w:t xml:space="preserve">Abbreviations: EOS = End-Of-Season; LOO = Leave-One-Out; POS = Peak-Of-Season; SOS = Start-Of-Season.</w:t>
      </w:r>
    </w:p>
    <w:p>
      <w:pPr>
        <w:spacing w:lineRule="auto" w:line="480"/>
        <w:jc w:val="left"/>
      </w:pPr>
    </w:p>
    <w:p>
      <w:pPr>
        <w:spacing w:lineRule="auto" w:line="480"/>
        <w:jc w:val="both"/>
      </w:pPr>
      <w:r>
        <w:rPr>
          <w:rFonts w:ascii="Arial" w:hAnsi="Arial"/>
          <w:sz w:val="18"/>
        </w:rPr>
        <w:t>Notes. Verdict legend: stable (max |Δτ| &lt; 25 % AND no sign flip), leverage (one district drives &gt; 25 % of τ̂), fragile (some LOO flips the sign of τ̂). The Goodman-Bacon decomposition is not applicable (single-cohort design); LOO sensitivity is the binding leverage check.</w:t>
      </w:r>
    </w:p>
    <w:p>
      <w:pPr>
        <w:spacing w:lineRule="auto" w:line="480"/>
        <w:jc w:val="left"/>
      </w:pPr>
      <w:r>
        <w:rPr>
          <w:rFonts w:ascii="Arial" w:hAnsi="Arial"/>
          <w:sz w:val="20"/>
        </w:rPr>
        <w:br w:type="page"/>
      </w:r>
    </w:p>
    <w:p>
      <w:pPr>
        <w:keepNext/>
        <w:spacing w:before="240" w:after="120" w:line="276" w:lineRule="auto"/>
        <w:jc w:val="both"/>
      </w:pPr>
      <w:bookmarkStart w:id="37421" w:name="table_s6"/>
      <w:r>
        <w:rPr>
          <w:rFonts w:ascii="Arial" w:hAnsi="Arial"/>
          <w:b/>
          <w:color w:val="1F3A5F"/>
          <w:sz w:val="32"/>
        </w:rPr>
        <w:t>Table S6 — MDE / power</w:t>
      </w:r>
      <w:bookmarkEnd w:id="37421"/>
    </w:p>
    <w:p>
      <w:pPr>
        <w:spacing w:line="276" w:lineRule="auto"/>
        <w:jc w:val="both"/>
      </w:pPr>
      <w:r>
        <w:rPr>
          <w:rFonts w:ascii="Arial" w:hAnsi="Arial"/>
          <w:b/>
          <w:sz w:val="20"/>
        </w:rPr>
        <w:t>Table S6. Minimum detectable effect (MDE) at α = 0.05, power = 0.80, df = G−1 = 7. Cluster-robust SE recovered from Module 05a (WCR). “detectable” = yes when |τ̂| ≥ MDE_2sided.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Rule="auto" w:line="360"/>
              <w:jc w:val="left"/>
            </w:pPr>
            <w:r>
              <w:rPr>
                <w:rFonts w:ascii="Arial" w:hAnsi="Arial"/>
                <w:b/>
                <w:sz w:val="18"/>
              </w:rPr>
              <w:t>Pipeline</w:t>
            </w:r>
          </w:p>
        </w:tc>
        <w:tc>
          <w:tcPr>
            <w:tcW w:type="dxa" w:w="1080"/>
          </w:tcPr>
          <w:p>
            <w:pPr>
              <w:spacing w:lineRule="auto" w:line="360"/>
              <w:jc w:val="left"/>
            </w:pPr>
            <w:r>
              <w:rPr>
                <w:rFonts w:ascii="Arial" w:hAnsi="Arial"/>
                <w:b/>
                <w:sz w:val="18"/>
              </w:rPr>
              <w:t>Metric</w:t>
            </w:r>
          </w:p>
        </w:tc>
        <w:tc>
          <w:tcPr>
            <w:tcW w:type="dxa" w:w="1080"/>
          </w:tcPr>
          <w:p>
            <w:pPr>
              <w:spacing w:lineRule="auto" w:line="360"/>
              <w:jc w:val="left"/>
            </w:pPr>
            <w:r>
              <w:rPr>
                <w:rFonts w:ascii="Arial" w:hAnsi="Arial"/>
                <w:b/>
                <w:sz w:val="18"/>
              </w:rPr>
              <w:t>τ̂ (d)</w:t>
            </w:r>
          </w:p>
        </w:tc>
        <w:tc>
          <w:tcPr>
            <w:tcW w:type="dxa" w:w="1080"/>
          </w:tcPr>
          <w:p>
            <w:pPr>
              <w:spacing w:lineRule="auto" w:line="360"/>
              <w:jc w:val="left"/>
            </w:pPr>
            <w:r>
              <w:rPr>
                <w:rFonts w:ascii="Arial" w:hAnsi="Arial"/>
                <w:b/>
                <w:sz w:val="18"/>
              </w:rPr>
              <w:t>SE (d)</w:t>
            </w:r>
          </w:p>
        </w:tc>
        <w:tc>
          <w:tcPr>
            <w:tcW w:type="dxa" w:w="1080"/>
          </w:tcPr>
          <w:p>
            <w:pPr>
              <w:spacing w:lineRule="auto" w:line="360"/>
              <w:jc w:val="left"/>
            </w:pPr>
            <w:r>
              <w:rPr>
                <w:rFonts w:ascii="Arial" w:hAnsi="Arial"/>
                <w:b/>
                <w:sz w:val="18"/>
              </w:rPr>
              <w:t>MDE 2-sided</w:t>
            </w:r>
          </w:p>
        </w:tc>
        <w:tc>
          <w:tcPr>
            <w:tcW w:type="dxa" w:w="1080"/>
          </w:tcPr>
          <w:p>
            <w:pPr>
              <w:spacing w:lineRule="auto" w:line="360"/>
              <w:jc w:val="left"/>
            </w:pPr>
            <w:r>
              <w:rPr>
                <w:rFonts w:ascii="Arial" w:hAnsi="Arial"/>
                <w:b/>
                <w:sz w:val="18"/>
              </w:rPr>
              <w:t>MDE 1-sided</w:t>
            </w:r>
          </w:p>
        </w:tc>
        <w:tc>
          <w:tcPr>
            <w:tcW w:type="dxa" w:w="1080"/>
          </w:tcPr>
          <w:p>
            <w:pPr>
              <w:spacing w:lineRule="auto" w:line="360"/>
              <w:jc w:val="left"/>
            </w:pPr>
            <w:r>
              <w:rPr>
                <w:rFonts w:ascii="Arial" w:hAnsi="Arial"/>
                <w:b/>
                <w:sz w:val="18"/>
              </w:rPr>
              <w:t>|τ̂|/MDE</w:t>
            </w:r>
          </w:p>
        </w:tc>
        <w:tc>
          <w:tcPr>
            <w:tcW w:type="dxa" w:w="1080"/>
          </w:tcPr>
          <w:p>
            <w:pPr>
              <w:spacing w:lineRule="auto" w:line="360"/>
              <w:jc w:val="left"/>
            </w:pPr>
            <w:r>
              <w:rPr>
                <w:rFonts w:ascii="Arial" w:hAnsi="Arial"/>
                <w:b/>
                <w:sz w:val="18"/>
              </w:rPr>
              <w:t>Detectable</w:t>
            </w:r>
          </w:p>
        </w:tc>
      </w:tr>
      <w:tr>
        <w:tc>
          <w:tcPr>
            <w:tcW w:type="dxa" w:w="1080"/>
          </w:tcPr>
          <w:p>
            <w:pPr>
              <w:spacing w:lineRule="auto" w:line="360"/>
              <w:jc w:val="left"/>
            </w:pPr>
            <w:r>
              <w:rPr>
                <w:rFonts w:ascii="Arial" w:hAnsi="Arial"/>
                <w:sz w:val="18"/>
              </w:rPr>
              <w:t>raw</w:t>
            </w:r>
          </w:p>
        </w:tc>
        <w:tc>
          <w:tcPr>
            <w:tcW w:type="dxa" w:w="1080"/>
          </w:tcPr>
          <w:p>
            <w:pPr>
              <w:spacing w:lineRule="auto" w:line="360"/>
              <w:jc w:val="left"/>
            </w:pPr>
            <w:r>
              <w:rPr>
                <w:rFonts w:ascii="Arial" w:hAnsi="Arial"/>
                <w:sz w:val="18"/>
              </w:rPr>
              <w:t>SOS</w:t>
            </w:r>
          </w:p>
        </w:tc>
        <w:tc>
          <w:tcPr>
            <w:tcW w:type="dxa" w:w="1080"/>
          </w:tcPr>
          <w:p>
            <w:pPr>
              <w:spacing w:lineRule="auto" w:line="360"/>
              <w:jc w:val="left"/>
            </w:pPr>
            <w:r>
              <w:rPr>
                <w:rFonts w:ascii="Arial" w:hAnsi="Arial"/>
                <w:sz w:val="18"/>
              </w:rPr>
              <w:t>5.662</w:t>
            </w:r>
          </w:p>
        </w:tc>
        <w:tc>
          <w:tcPr>
            <w:tcW w:type="dxa" w:w="1080"/>
          </w:tcPr>
          <w:p>
            <w:pPr>
              <w:spacing w:lineRule="auto" w:line="360"/>
              <w:jc w:val="left"/>
            </w:pPr>
            <w:r>
              <w:rPr>
                <w:rFonts w:ascii="Arial" w:hAnsi="Arial"/>
                <w:sz w:val="18"/>
              </w:rPr>
              <w:t>0.764</w:t>
            </w:r>
          </w:p>
        </w:tc>
        <w:tc>
          <w:tcPr>
            <w:tcW w:type="dxa" w:w="1080"/>
          </w:tcPr>
          <w:p>
            <w:pPr>
              <w:spacing w:lineRule="auto" w:line="360"/>
              <w:jc w:val="left"/>
            </w:pPr>
            <w:r>
              <w:rPr>
                <w:rFonts w:ascii="Arial" w:hAnsi="Arial"/>
                <w:sz w:val="18"/>
              </w:rPr>
              <w:t>2.491</w:t>
            </w:r>
          </w:p>
        </w:tc>
        <w:tc>
          <w:tcPr>
            <w:tcW w:type="dxa" w:w="1080"/>
          </w:tcPr>
          <w:p>
            <w:pPr>
              <w:spacing w:lineRule="auto" w:line="360"/>
              <w:jc w:val="left"/>
            </w:pPr>
            <w:r>
              <w:rPr>
                <w:rFonts w:ascii="Arial" w:hAnsi="Arial"/>
                <w:sz w:val="18"/>
              </w:rPr>
              <w:t>2.132</w:t>
            </w:r>
          </w:p>
        </w:tc>
        <w:tc>
          <w:tcPr>
            <w:tcW w:type="dxa" w:w="1080"/>
          </w:tcPr>
          <w:p>
            <w:pPr>
              <w:spacing w:lineRule="auto" w:line="360"/>
              <w:jc w:val="left"/>
            </w:pPr>
            <w:r>
              <w:rPr>
                <w:rFonts w:ascii="Arial" w:hAnsi="Arial"/>
                <w:sz w:val="18"/>
              </w:rPr>
              <w:t>2.27</w:t>
            </w:r>
          </w:p>
        </w:tc>
        <w:tc>
          <w:tcPr>
            <w:tcW w:type="dxa" w:w="1080"/>
          </w:tcPr>
          <w:p>
            <w:pPr>
              <w:spacing w:lineRule="auto" w:line="360"/>
              <w:jc w:val="left"/>
            </w:pPr>
            <w:r>
              <w:rPr>
                <w:rFonts w:ascii="Arial" w:hAnsi="Arial"/>
                <w:sz w:val="18"/>
              </w:rPr>
              <w:t>yes</w:t>
            </w:r>
          </w:p>
        </w:tc>
      </w:tr>
      <w:tr>
        <w:tc>
          <w:tcPr>
            <w:tcW w:type="dxa" w:w="1080"/>
          </w:tcPr>
          <w:p>
            <w:pPr>
              <w:spacing w:lineRule="auto" w:line="360"/>
              <w:jc w:val="left"/>
            </w:pPr>
            <w:r>
              <w:rPr>
                <w:rFonts w:ascii="Arial" w:hAnsi="Arial"/>
                <w:sz w:val="18"/>
              </w:rPr>
              <w:t>raw</w:t>
            </w:r>
          </w:p>
        </w:tc>
        <w:tc>
          <w:tcPr>
            <w:tcW w:type="dxa" w:w="1080"/>
          </w:tcPr>
          <w:p>
            <w:pPr>
              <w:spacing w:lineRule="auto" w:line="360"/>
              <w:jc w:val="left"/>
            </w:pPr>
            <w:r>
              <w:rPr>
                <w:rFonts w:ascii="Arial" w:hAnsi="Arial"/>
                <w:sz w:val="18"/>
              </w:rPr>
              <w:t>POS</w:t>
            </w:r>
          </w:p>
        </w:tc>
        <w:tc>
          <w:tcPr>
            <w:tcW w:type="dxa" w:w="1080"/>
          </w:tcPr>
          <w:p>
            <w:pPr>
              <w:spacing w:lineRule="auto" w:line="360"/>
              <w:jc w:val="left"/>
            </w:pPr>
            <w:r>
              <w:rPr>
                <w:rFonts w:ascii="Arial" w:hAnsi="Arial"/>
                <w:sz w:val="18"/>
              </w:rPr>
              <w:t>4.348</w:t>
            </w:r>
          </w:p>
        </w:tc>
        <w:tc>
          <w:tcPr>
            <w:tcW w:type="dxa" w:w="1080"/>
          </w:tcPr>
          <w:p>
            <w:pPr>
              <w:spacing w:lineRule="auto" w:line="360"/>
              <w:jc w:val="left"/>
            </w:pPr>
            <w:r>
              <w:rPr>
                <w:rFonts w:ascii="Arial" w:hAnsi="Arial"/>
                <w:sz w:val="18"/>
              </w:rPr>
              <w:t>0.318</w:t>
            </w:r>
          </w:p>
        </w:tc>
        <w:tc>
          <w:tcPr>
            <w:tcW w:type="dxa" w:w="1080"/>
          </w:tcPr>
          <w:p>
            <w:pPr>
              <w:spacing w:lineRule="auto" w:line="360"/>
              <w:jc w:val="left"/>
            </w:pPr>
            <w:r>
              <w:rPr>
                <w:rFonts w:ascii="Arial" w:hAnsi="Arial"/>
                <w:sz w:val="18"/>
              </w:rPr>
              <w:t>1.037</w:t>
            </w:r>
          </w:p>
        </w:tc>
        <w:tc>
          <w:tcPr>
            <w:tcW w:type="dxa" w:w="1080"/>
          </w:tcPr>
          <w:p>
            <w:pPr>
              <w:spacing w:lineRule="auto" w:line="360"/>
              <w:jc w:val="left"/>
            </w:pPr>
            <w:r>
              <w:rPr>
                <w:rFonts w:ascii="Arial" w:hAnsi="Arial"/>
                <w:sz w:val="18"/>
              </w:rPr>
              <w:t>0.887</w:t>
            </w:r>
          </w:p>
        </w:tc>
        <w:tc>
          <w:tcPr>
            <w:tcW w:type="dxa" w:w="1080"/>
          </w:tcPr>
          <w:p>
            <w:pPr>
              <w:spacing w:lineRule="auto" w:line="360"/>
              <w:jc w:val="left"/>
            </w:pPr>
            <w:r>
              <w:rPr>
                <w:rFonts w:ascii="Arial" w:hAnsi="Arial"/>
                <w:sz w:val="18"/>
              </w:rPr>
              <w:t>4.19</w:t>
            </w:r>
          </w:p>
        </w:tc>
        <w:tc>
          <w:tcPr>
            <w:tcW w:type="dxa" w:w="1080"/>
          </w:tcPr>
          <w:p>
            <w:pPr>
              <w:spacing w:lineRule="auto" w:line="360"/>
              <w:jc w:val="left"/>
            </w:pPr>
            <w:r>
              <w:rPr>
                <w:rFonts w:ascii="Arial" w:hAnsi="Arial"/>
                <w:sz w:val="18"/>
              </w:rPr>
              <w:t>yes</w:t>
            </w:r>
          </w:p>
        </w:tc>
      </w:tr>
      <w:tr>
        <w:tc>
          <w:tcPr>
            <w:tcW w:type="dxa" w:w="1080"/>
          </w:tcPr>
          <w:p>
            <w:pPr>
              <w:spacing w:lineRule="auto" w:line="360"/>
              <w:jc w:val="left"/>
            </w:pPr>
            <w:r>
              <w:rPr>
                <w:rFonts w:ascii="Arial" w:hAnsi="Arial"/>
                <w:sz w:val="18"/>
              </w:rPr>
              <w:t>raw</w:t>
            </w:r>
          </w:p>
        </w:tc>
        <w:tc>
          <w:tcPr>
            <w:tcW w:type="dxa" w:w="1080"/>
          </w:tcPr>
          <w:p>
            <w:pPr>
              <w:spacing w:lineRule="auto" w:line="360"/>
              <w:jc w:val="left"/>
            </w:pPr>
            <w:r>
              <w:rPr>
                <w:rFonts w:ascii="Arial" w:hAnsi="Arial"/>
                <w:sz w:val="18"/>
              </w:rPr>
              <w:t>EOS</w:t>
            </w:r>
          </w:p>
        </w:tc>
        <w:tc>
          <w:tcPr>
            <w:tcW w:type="dxa" w:w="1080"/>
          </w:tcPr>
          <w:p>
            <w:pPr>
              <w:spacing w:lineRule="auto" w:line="360"/>
              <w:jc w:val="left"/>
            </w:pPr>
            <w:r>
              <w:rPr>
                <w:rFonts w:ascii="Arial" w:hAnsi="Arial"/>
                <w:sz w:val="18"/>
              </w:rPr>
              <w:t>1.884</w:t>
            </w:r>
          </w:p>
        </w:tc>
        <w:tc>
          <w:tcPr>
            <w:tcW w:type="dxa" w:w="1080"/>
          </w:tcPr>
          <w:p>
            <w:pPr>
              <w:spacing w:lineRule="auto" w:line="360"/>
              <w:jc w:val="left"/>
            </w:pPr>
            <w:r>
              <w:rPr>
                <w:rFonts w:ascii="Arial" w:hAnsi="Arial"/>
                <w:sz w:val="18"/>
              </w:rPr>
              <w:t>0.506</w:t>
            </w:r>
          </w:p>
        </w:tc>
        <w:tc>
          <w:tcPr>
            <w:tcW w:type="dxa" w:w="1080"/>
          </w:tcPr>
          <w:p>
            <w:pPr>
              <w:spacing w:lineRule="auto" w:line="360"/>
              <w:jc w:val="left"/>
            </w:pPr>
            <w:r>
              <w:rPr>
                <w:rFonts w:ascii="Arial" w:hAnsi="Arial"/>
                <w:sz w:val="18"/>
              </w:rPr>
              <w:t>1.650</w:t>
            </w:r>
          </w:p>
        </w:tc>
        <w:tc>
          <w:tcPr>
            <w:tcW w:type="dxa" w:w="1080"/>
          </w:tcPr>
          <w:p>
            <w:pPr>
              <w:spacing w:lineRule="auto" w:line="360"/>
              <w:jc w:val="left"/>
            </w:pPr>
            <w:r>
              <w:rPr>
                <w:rFonts w:ascii="Arial" w:hAnsi="Arial"/>
                <w:sz w:val="18"/>
              </w:rPr>
              <w:t>1.412</w:t>
            </w:r>
          </w:p>
        </w:tc>
        <w:tc>
          <w:tcPr>
            <w:tcW w:type="dxa" w:w="1080"/>
          </w:tcPr>
          <w:p>
            <w:pPr>
              <w:spacing w:lineRule="auto" w:line="360"/>
              <w:jc w:val="left"/>
            </w:pPr>
            <w:r>
              <w:rPr>
                <w:rFonts w:ascii="Arial" w:hAnsi="Arial"/>
                <w:sz w:val="18"/>
              </w:rPr>
              <w:t>1.14</w:t>
            </w:r>
          </w:p>
        </w:tc>
        <w:tc>
          <w:tcPr>
            <w:tcW w:type="dxa" w:w="1080"/>
          </w:tcPr>
          <w:p>
            <w:pPr>
              <w:spacing w:lineRule="auto" w:line="360"/>
              <w:jc w:val="left"/>
            </w:pPr>
            <w:r>
              <w:rPr>
                <w:rFonts w:ascii="Arial" w:hAnsi="Arial"/>
                <w:sz w:val="18"/>
              </w:rPr>
              <w:t>yes</w:t>
            </w:r>
          </w:p>
        </w:tc>
      </w:tr>
      <w:tr>
        <w:tc>
          <w:tcPr>
            <w:tcW w:type="dxa" w:w="1080"/>
          </w:tcPr>
          <w:p>
            <w:pPr>
              <w:spacing w:lineRule="auto" w:line="360"/>
              <w:jc w:val="left"/>
            </w:pPr>
            <w:r>
              <w:rPr>
                <w:rFonts w:ascii="Arial" w:hAnsi="Arial"/>
                <w:sz w:val="18"/>
              </w:rPr>
              <w:t>corrected</w:t>
            </w:r>
          </w:p>
        </w:tc>
        <w:tc>
          <w:tcPr>
            <w:tcW w:type="dxa" w:w="1080"/>
          </w:tcPr>
          <w:p>
            <w:pPr>
              <w:spacing w:lineRule="auto" w:line="360"/>
              <w:jc w:val="left"/>
            </w:pPr>
            <w:r>
              <w:rPr>
                <w:rFonts w:ascii="Arial" w:hAnsi="Arial"/>
                <w:sz w:val="18"/>
              </w:rPr>
              <w:t>SOS</w:t>
            </w:r>
          </w:p>
        </w:tc>
        <w:tc>
          <w:tcPr>
            <w:tcW w:type="dxa" w:w="1080"/>
          </w:tcPr>
          <w:p>
            <w:pPr>
              <w:spacing w:lineRule="auto" w:line="360"/>
              <w:jc w:val="left"/>
            </w:pPr>
            <w:r>
              <w:rPr>
                <w:rFonts w:ascii="Arial" w:hAnsi="Arial"/>
                <w:sz w:val="18"/>
              </w:rPr>
              <w:t>1.962</w:t>
            </w:r>
          </w:p>
        </w:tc>
        <w:tc>
          <w:tcPr>
            <w:tcW w:type="dxa" w:w="1080"/>
          </w:tcPr>
          <w:p>
            <w:pPr>
              <w:spacing w:lineRule="auto" w:line="360"/>
              <w:jc w:val="left"/>
            </w:pPr>
            <w:r>
              <w:rPr>
                <w:rFonts w:ascii="Arial" w:hAnsi="Arial"/>
                <w:sz w:val="18"/>
              </w:rPr>
              <w:t>0.564</w:t>
            </w:r>
          </w:p>
        </w:tc>
        <w:tc>
          <w:tcPr>
            <w:tcW w:type="dxa" w:w="1080"/>
          </w:tcPr>
          <w:p>
            <w:pPr>
              <w:spacing w:lineRule="auto" w:line="360"/>
              <w:jc w:val="left"/>
            </w:pPr>
            <w:r>
              <w:rPr>
                <w:rFonts w:ascii="Arial" w:hAnsi="Arial"/>
                <w:sz w:val="18"/>
              </w:rPr>
              <w:t>1.839</w:t>
            </w:r>
          </w:p>
        </w:tc>
        <w:tc>
          <w:tcPr>
            <w:tcW w:type="dxa" w:w="1080"/>
          </w:tcPr>
          <w:p>
            <w:pPr>
              <w:spacing w:lineRule="auto" w:line="360"/>
              <w:jc w:val="left"/>
            </w:pPr>
            <w:r>
              <w:rPr>
                <w:rFonts w:ascii="Arial" w:hAnsi="Arial"/>
                <w:sz w:val="18"/>
              </w:rPr>
              <w:t>1.574</w:t>
            </w:r>
          </w:p>
        </w:tc>
        <w:tc>
          <w:tcPr>
            <w:tcW w:type="dxa" w:w="1080"/>
          </w:tcPr>
          <w:p>
            <w:pPr>
              <w:spacing w:lineRule="auto" w:line="360"/>
              <w:jc w:val="left"/>
            </w:pPr>
            <w:r>
              <w:rPr>
                <w:rFonts w:ascii="Arial" w:hAnsi="Arial"/>
                <w:sz w:val="18"/>
              </w:rPr>
              <w:t>1.07</w:t>
            </w:r>
          </w:p>
        </w:tc>
        <w:tc>
          <w:tcPr>
            <w:tcW w:type="dxa" w:w="1080"/>
          </w:tcPr>
          <w:p>
            <w:pPr>
              <w:spacing w:lineRule="auto" w:line="360"/>
              <w:jc w:val="left"/>
            </w:pPr>
            <w:r>
              <w:rPr>
                <w:rFonts w:ascii="Arial" w:hAnsi="Arial"/>
                <w:sz w:val="18"/>
              </w:rPr>
              <w:t>yes</w:t>
            </w:r>
          </w:p>
        </w:tc>
      </w:tr>
      <w:tr>
        <w:tc>
          <w:tcPr>
            <w:tcW w:type="dxa" w:w="1080"/>
          </w:tcPr>
          <w:p>
            <w:pPr>
              <w:spacing w:lineRule="auto" w:line="360"/>
              <w:jc w:val="left"/>
            </w:pPr>
            <w:r>
              <w:rPr>
                <w:rFonts w:ascii="Arial" w:hAnsi="Arial"/>
                <w:sz w:val="18"/>
              </w:rPr>
              <w:t>corrected</w:t>
            </w:r>
          </w:p>
        </w:tc>
        <w:tc>
          <w:tcPr>
            <w:tcW w:type="dxa" w:w="1080"/>
          </w:tcPr>
          <w:p>
            <w:pPr>
              <w:spacing w:lineRule="auto" w:line="360"/>
              <w:jc w:val="left"/>
            </w:pPr>
            <w:r>
              <w:rPr>
                <w:rFonts w:ascii="Arial" w:hAnsi="Arial"/>
                <w:sz w:val="18"/>
              </w:rPr>
              <w:t>POS</w:t>
            </w:r>
          </w:p>
        </w:tc>
        <w:tc>
          <w:tcPr>
            <w:tcW w:type="dxa" w:w="1080"/>
          </w:tcPr>
          <w:p>
            <w:pPr>
              <w:spacing w:lineRule="auto" w:line="360"/>
              <w:jc w:val="left"/>
            </w:pPr>
            <w:r>
              <w:rPr>
                <w:rFonts w:ascii="Arial" w:hAnsi="Arial"/>
                <w:sz w:val="18"/>
              </w:rPr>
              <w:t>2.102</w:t>
            </w:r>
          </w:p>
        </w:tc>
        <w:tc>
          <w:tcPr>
            <w:tcW w:type="dxa" w:w="1080"/>
          </w:tcPr>
          <w:p>
            <w:pPr>
              <w:spacing w:lineRule="auto" w:line="360"/>
              <w:jc w:val="left"/>
            </w:pPr>
            <w:r>
              <w:rPr>
                <w:rFonts w:ascii="Arial" w:hAnsi="Arial"/>
                <w:sz w:val="18"/>
              </w:rPr>
              <w:t>0.470</w:t>
            </w:r>
          </w:p>
        </w:tc>
        <w:tc>
          <w:tcPr>
            <w:tcW w:type="dxa" w:w="1080"/>
          </w:tcPr>
          <w:p>
            <w:pPr>
              <w:spacing w:lineRule="auto" w:line="360"/>
              <w:jc w:val="left"/>
            </w:pPr>
            <w:r>
              <w:rPr>
                <w:rFonts w:ascii="Arial" w:hAnsi="Arial"/>
                <w:sz w:val="18"/>
              </w:rPr>
              <w:t>1.533</w:t>
            </w:r>
          </w:p>
        </w:tc>
        <w:tc>
          <w:tcPr>
            <w:tcW w:type="dxa" w:w="1080"/>
          </w:tcPr>
          <w:p>
            <w:pPr>
              <w:spacing w:lineRule="auto" w:line="360"/>
              <w:jc w:val="left"/>
            </w:pPr>
            <w:r>
              <w:rPr>
                <w:rFonts w:ascii="Arial" w:hAnsi="Arial"/>
                <w:sz w:val="18"/>
              </w:rPr>
              <w:t>1.312</w:t>
            </w:r>
          </w:p>
        </w:tc>
        <w:tc>
          <w:tcPr>
            <w:tcW w:type="dxa" w:w="1080"/>
          </w:tcPr>
          <w:p>
            <w:pPr>
              <w:spacing w:lineRule="auto" w:line="360"/>
              <w:jc w:val="left"/>
            </w:pPr>
            <w:r>
              <w:rPr>
                <w:rFonts w:ascii="Arial" w:hAnsi="Arial"/>
                <w:sz w:val="18"/>
              </w:rPr>
              <w:t>1.37</w:t>
            </w:r>
          </w:p>
        </w:tc>
        <w:tc>
          <w:tcPr>
            <w:tcW w:type="dxa" w:w="1080"/>
          </w:tcPr>
          <w:p>
            <w:pPr>
              <w:spacing w:lineRule="auto" w:line="360"/>
              <w:jc w:val="left"/>
            </w:pPr>
            <w:r>
              <w:rPr>
                <w:rFonts w:ascii="Arial" w:hAnsi="Arial"/>
                <w:sz w:val="18"/>
              </w:rPr>
              <w:t>yes</w:t>
            </w:r>
          </w:p>
        </w:tc>
      </w:tr>
      <w:tr>
        <w:tc>
          <w:tcPr>
            <w:tcW w:type="dxa" w:w="1080"/>
          </w:tcPr>
          <w:p>
            <w:pPr>
              <w:spacing w:lineRule="auto" w:line="360"/>
              <w:jc w:val="left"/>
            </w:pPr>
            <w:r>
              <w:rPr>
                <w:rFonts w:ascii="Arial" w:hAnsi="Arial"/>
                <w:sz w:val="18"/>
              </w:rPr>
              <w:t>corrected</w:t>
            </w:r>
          </w:p>
        </w:tc>
        <w:tc>
          <w:tcPr>
            <w:tcW w:type="dxa" w:w="1080"/>
          </w:tcPr>
          <w:p>
            <w:pPr>
              <w:spacing w:lineRule="auto" w:line="360"/>
              <w:jc w:val="left"/>
            </w:pPr>
            <w:r>
              <w:rPr>
                <w:rFonts w:ascii="Arial" w:hAnsi="Arial"/>
                <w:sz w:val="18"/>
              </w:rPr>
              <w:t>EOS</w:t>
            </w:r>
          </w:p>
        </w:tc>
        <w:tc>
          <w:tcPr>
            <w:tcW w:type="dxa" w:w="1080"/>
          </w:tcPr>
          <w:p>
            <w:pPr>
              <w:spacing w:lineRule="auto" w:line="360"/>
              <w:jc w:val="left"/>
            </w:pPr>
            <w:r>
              <w:rPr>
                <w:rFonts w:ascii="Arial" w:hAnsi="Arial"/>
                <w:sz w:val="18"/>
              </w:rPr>
              <w:t>0.560</w:t>
            </w:r>
          </w:p>
        </w:tc>
        <w:tc>
          <w:tcPr>
            <w:tcW w:type="dxa" w:w="1080"/>
          </w:tcPr>
          <w:p>
            <w:pPr>
              <w:spacing w:lineRule="auto" w:line="360"/>
              <w:jc w:val="left"/>
            </w:pPr>
            <w:r>
              <w:rPr>
                <w:rFonts w:ascii="Arial" w:hAnsi="Arial"/>
                <w:sz w:val="18"/>
              </w:rPr>
              <w:t>0.402</w:t>
            </w:r>
          </w:p>
        </w:tc>
        <w:tc>
          <w:tcPr>
            <w:tcW w:type="dxa" w:w="1080"/>
          </w:tcPr>
          <w:p>
            <w:pPr>
              <w:spacing w:lineRule="auto" w:line="360"/>
              <w:jc w:val="left"/>
            </w:pPr>
            <w:r>
              <w:rPr>
                <w:rFonts w:ascii="Arial" w:hAnsi="Arial"/>
                <w:sz w:val="18"/>
              </w:rPr>
              <w:t>1.311</w:t>
            </w:r>
          </w:p>
        </w:tc>
        <w:tc>
          <w:tcPr>
            <w:tcW w:type="dxa" w:w="1080"/>
          </w:tcPr>
          <w:p>
            <w:pPr>
              <w:spacing w:lineRule="auto" w:line="360"/>
              <w:jc w:val="left"/>
            </w:pPr>
            <w:r>
              <w:rPr>
                <w:rFonts w:ascii="Arial" w:hAnsi="Arial"/>
                <w:sz w:val="18"/>
              </w:rPr>
              <w:t>1.122</w:t>
            </w:r>
          </w:p>
        </w:tc>
        <w:tc>
          <w:tcPr>
            <w:tcW w:type="dxa" w:w="1080"/>
          </w:tcPr>
          <w:p>
            <w:pPr>
              <w:spacing w:lineRule="auto" w:line="360"/>
              <w:jc w:val="left"/>
            </w:pPr>
            <w:r>
              <w:rPr>
                <w:rFonts w:ascii="Arial" w:hAnsi="Arial"/>
                <w:sz w:val="18"/>
              </w:rPr>
              <w:t>0.43</w:t>
            </w:r>
          </w:p>
        </w:tc>
        <w:tc>
          <w:tcPr>
            <w:tcW w:type="dxa" w:w="1080"/>
          </w:tcPr>
          <w:p>
            <w:pPr>
              <w:spacing w:lineRule="auto" w:line="360"/>
              <w:jc w:val="left"/>
            </w:pPr>
            <w:r>
              <w:rPr>
                <w:rFonts w:ascii="Arial" w:hAnsi="Arial"/>
                <w:sz w:val="18"/>
              </w:rPr>
              <w:t>no</w:t>
            </w:r>
          </w:p>
        </w:tc>
      </w:tr>
    </w:tbl>
    <w:p>
      <w:pPr>
        <w:spacing w:before="0" w:after="120" w:line="276" w:lineRule="auto"/>
      </w:pPr>
      <w:r>
        <w:rPr>
          <w:rFonts w:ascii="Arial" w:hAnsi="Arial"/>
          <w:i/>
          <w:sz w:val="19"/>
          <w:szCs w:val="19"/>
          <w:color w:val="595959"/>
        </w:rPr>
        <w:t xml:space="preserve">Abbreviations: EOS = End-Of-Season; MDE = Minimum Detectable Effect; POS = Peak-Of-Season; SOS = Start-Of-Season.</w:t>
      </w:r>
    </w:p>
    <w:p>
      <w:pPr>
        <w:spacing w:lineRule="auto" w:line="480"/>
        <w:jc w:val="both"/>
      </w:pPr>
      <w:r>
        <w:rPr>
          <w:rFonts w:ascii="Arial" w:hAnsi="Arial"/>
          <w:sz w:val="18"/>
        </w:rPr>
        <w:t>Notes. MDE = (t_{α/2,G−1} + t_{1−β,G−1}) × SE. At G = 8, t_{0.025,7} = 2.365 and t_{0.80,7} = 0.896, so the multiplier is 3.261. The single non-detectable cell (corrected/EOS) is the same cell whose null is confirmed by the wild-cluster bootstrap (Table S4).</w:t>
      </w:r>
    </w:p>
    <w:p>
      <w:pPr>
        <w:spacing w:lineRule="auto" w:line="480"/>
        <w:jc w:val="left"/>
      </w:pPr>
      <w:r>
        <w:rPr>
          <w:rFonts w:ascii="Arial" w:hAnsi="Arial"/>
          <w:sz w:val="20"/>
        </w:rPr>
        <w:br w:type="page"/>
      </w:r>
    </w:p>
    <w:p>
      <w:pPr>
        <w:keepNext/>
        <w:spacing w:before="240" w:after="120" w:line="276" w:lineRule="auto"/>
        <w:jc w:val="both"/>
      </w:pPr>
      <w:bookmarkStart w:id="45456" w:name="table_s7"/>
      <w:r>
        <w:rPr>
          <w:rFonts w:ascii="Arial" w:hAnsi="Arial"/>
          <w:b/>
          <w:color w:val="1F3A5F"/>
          <w:sz w:val="32"/>
        </w:rPr>
        <w:t>Table S7 — Placebo / falsification</w:t>
      </w:r>
      <w:bookmarkEnd w:id="45456"/>
    </w:p>
    <w:p>
      <w:pPr>
        <w:spacing w:line="276" w:lineRule="auto"/>
        <w:jc w:val="both"/>
      </w:pPr>
      <w:r>
        <w:rPr>
          <w:rFonts w:ascii="Arial" w:hAnsi="Arial"/>
          <w:b/>
          <w:sz w:val="20"/>
        </w:rPr>
        <w:t>Table S7. Placebo / falsification tests. Top panel: in-space donor-swap placebo (C(8,5) = 56 permutations of the treated-label assignment, holding post-period fixed at 2019–2021). Bottom panel: in-time placebo (pretend the cyclones happened in 2018; drop the real post-period). Permutation p = (#{|τ_placebo| ≥ |τ_real|} + 1) / (n_perm + 1).</w:t>
      </w:r>
    </w:p>
    <w:p>
      <w:pPr>
        <w:spacing w:lineRule="auto" w:line="480"/>
        <w:jc w:val="left"/>
      </w:pPr>
      <w:r>
        <w:rPr>
          <w:rFonts w:ascii="Arial" w:hAnsi="Arial"/>
          <w:b/>
          <w:sz w:val="20"/>
        </w:rPr>
        <w:t>(a) In-space donor-swap placebo (56 permutations, k=5 of 8)</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spacing w:lineRule="auto" w:line="360"/>
              <w:jc w:val="left"/>
            </w:pPr>
            <w:r>
              <w:rPr>
                <w:rFonts w:ascii="Arial" w:hAnsi="Arial"/>
                <w:b/>
                <w:sz w:val="18"/>
              </w:rPr>
              <w:t>Pipeline</w:t>
            </w:r>
          </w:p>
        </w:tc>
        <w:tc>
          <w:tcPr>
            <w:tcW w:type="dxa" w:w="864"/>
          </w:tcPr>
          <w:p>
            <w:pPr>
              <w:spacing w:lineRule="auto" w:line="360"/>
              <w:jc w:val="left"/>
            </w:pPr>
            <w:r>
              <w:rPr>
                <w:rFonts w:ascii="Arial" w:hAnsi="Arial"/>
                <w:b/>
                <w:sz w:val="18"/>
              </w:rPr>
              <w:t>Metric</w:t>
            </w:r>
          </w:p>
        </w:tc>
        <w:tc>
          <w:tcPr>
            <w:tcW w:type="dxa" w:w="864"/>
          </w:tcPr>
          <w:p>
            <w:pPr>
              <w:spacing w:lineRule="auto" w:line="360"/>
              <w:jc w:val="left"/>
            </w:pPr>
            <w:r>
              <w:rPr>
                <w:rFonts w:ascii="Arial" w:hAnsi="Arial"/>
                <w:b/>
                <w:sz w:val="18"/>
              </w:rPr>
              <w:t>τ̂ real</w:t>
            </w:r>
          </w:p>
        </w:tc>
        <w:tc>
          <w:tcPr>
            <w:tcW w:type="dxa" w:w="864"/>
          </w:tcPr>
          <w:p>
            <w:pPr>
              <w:spacing w:lineRule="auto" w:line="360"/>
              <w:jc w:val="left"/>
            </w:pPr>
            <w:r>
              <w:rPr>
                <w:rFonts w:ascii="Arial" w:hAnsi="Arial"/>
                <w:b/>
                <w:sz w:val="18"/>
              </w:rPr>
              <w:t>median τ_p</w:t>
            </w:r>
          </w:p>
        </w:tc>
        <w:tc>
          <w:tcPr>
            <w:tcW w:type="dxa" w:w="864"/>
          </w:tcPr>
          <w:p>
            <w:pPr>
              <w:spacing w:lineRule="auto" w:line="360"/>
              <w:jc w:val="left"/>
            </w:pPr>
            <w:r>
              <w:rPr>
                <w:rFonts w:ascii="Arial" w:hAnsi="Arial"/>
                <w:b/>
                <w:sz w:val="18"/>
              </w:rPr>
              <w:t>p05 τ_p</w:t>
            </w:r>
          </w:p>
        </w:tc>
        <w:tc>
          <w:tcPr>
            <w:tcW w:type="dxa" w:w="864"/>
          </w:tcPr>
          <w:p>
            <w:pPr>
              <w:spacing w:lineRule="auto" w:line="360"/>
              <w:jc w:val="left"/>
            </w:pPr>
            <w:r>
              <w:rPr>
                <w:rFonts w:ascii="Arial" w:hAnsi="Arial"/>
                <w:b/>
                <w:sz w:val="18"/>
              </w:rPr>
              <w:t>p95 τ_p</w:t>
            </w:r>
          </w:p>
        </w:tc>
        <w:tc>
          <w:tcPr>
            <w:tcW w:type="dxa" w:w="864"/>
          </w:tcPr>
          <w:p>
            <w:pPr>
              <w:spacing w:lineRule="auto" w:line="360"/>
              <w:jc w:val="left"/>
            </w:pPr>
            <w:r>
              <w:rPr>
                <w:rFonts w:ascii="Arial" w:hAnsi="Arial"/>
                <w:b/>
                <w:sz w:val="18"/>
              </w:rPr>
              <w:t>max |τ_p|</w:t>
            </w:r>
          </w:p>
        </w:tc>
        <w:tc>
          <w:tcPr>
            <w:tcW w:type="dxa" w:w="864"/>
          </w:tcPr>
          <w:p>
            <w:pPr>
              <w:spacing w:lineRule="auto" w:line="360"/>
              <w:jc w:val="left"/>
            </w:pPr>
            <w:r>
              <w:rPr>
                <w:rFonts w:ascii="Arial" w:hAnsi="Arial"/>
                <w:b/>
                <w:sz w:val="18"/>
              </w:rPr>
              <w:t>n extreme</w:t>
            </w:r>
          </w:p>
        </w:tc>
        <w:tc>
          <w:tcPr>
            <w:tcW w:type="dxa" w:w="864"/>
          </w:tcPr>
          <w:p>
            <w:pPr>
              <w:spacing w:lineRule="auto" w:line="360"/>
              <w:jc w:val="left"/>
            </w:pPr>
            <w:r>
              <w:rPr>
                <w:rFonts w:ascii="Arial" w:hAnsi="Arial"/>
                <w:b/>
                <w:sz w:val="18"/>
              </w:rPr>
              <w:t>p_perm</w:t>
            </w:r>
          </w:p>
        </w:tc>
        <w:tc>
          <w:tcPr>
            <w:tcW w:type="dxa" w:w="864"/>
          </w:tcPr>
          <w:p>
            <w:pPr>
              <w:spacing w:lineRule="auto" w:line="360"/>
              <w:jc w:val="left"/>
            </w:pPr>
            <w:r>
              <w:rPr>
                <w:rFonts w:ascii="Arial" w:hAnsi="Arial"/>
                <w:b/>
                <w:sz w:val="18"/>
              </w:rPr>
              <w:t>Verdict</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+15.29</w:t>
            </w:r>
          </w:p>
        </w:tc>
        <w:tc>
          <w:tcPr>
            <w:tcW w:type="dxa" w:w="864"/>
          </w:tcPr>
          <w:p>
            <w:pPr>
              <w:spacing w:lineRule="auto" w:line="360"/>
              <w:jc w:val="left"/>
            </w:pPr>
            <w:r>
              <w:rPr>
                <w:rFonts w:ascii="Arial" w:hAnsi="Arial"/>
                <w:sz w:val="18"/>
              </w:rPr>
              <w:t>-1.14</w:t>
            </w:r>
          </w:p>
        </w:tc>
        <w:tc>
          <w:tcPr>
            <w:tcW w:type="dxa" w:w="864"/>
          </w:tcPr>
          <w:p>
            <w:pPr>
              <w:spacing w:lineRule="auto" w:line="360"/>
              <w:jc w:val="left"/>
            </w:pPr>
            <w:r>
              <w:rPr>
                <w:rFonts w:ascii="Arial" w:hAnsi="Arial"/>
                <w:sz w:val="18"/>
              </w:rPr>
              <w:t>-32.50</w:t>
            </w:r>
          </w:p>
        </w:tc>
        <w:tc>
          <w:tcPr>
            <w:tcW w:type="dxa" w:w="864"/>
          </w:tcPr>
          <w:p>
            <w:pPr>
              <w:spacing w:lineRule="auto" w:line="360"/>
              <w:jc w:val="left"/>
            </w:pPr>
            <w:r>
              <w:rPr>
                <w:rFonts w:ascii="Arial" w:hAnsi="Arial"/>
                <w:sz w:val="18"/>
              </w:rPr>
              <w:t>+28.76</w:t>
            </w:r>
          </w:p>
        </w:tc>
        <w:tc>
          <w:tcPr>
            <w:tcW w:type="dxa" w:w="864"/>
          </w:tcPr>
          <w:p>
            <w:pPr>
              <w:spacing w:lineRule="auto" w:line="360"/>
              <w:jc w:val="left"/>
            </w:pPr>
            <w:r>
              <w:rPr>
                <w:rFonts w:ascii="Arial" w:hAnsi="Arial"/>
                <w:sz w:val="18"/>
              </w:rPr>
              <w:t>+43.45</w:t>
            </w:r>
          </w:p>
        </w:tc>
        <w:tc>
          <w:tcPr>
            <w:tcW w:type="dxa" w:w="864"/>
          </w:tcPr>
          <w:p>
            <w:pPr>
              <w:spacing w:lineRule="auto" w:line="360"/>
              <w:jc w:val="left"/>
            </w:pPr>
            <w:r>
              <w:rPr>
                <w:rFonts w:ascii="Arial" w:hAnsi="Arial"/>
                <w:sz w:val="18"/>
              </w:rPr>
              <w:t>27</w:t>
            </w:r>
          </w:p>
        </w:tc>
        <w:tc>
          <w:tcPr>
            <w:tcW w:type="dxa" w:w="864"/>
          </w:tcPr>
          <w:p>
            <w:pPr>
              <w:spacing w:lineRule="auto" w:line="360"/>
              <w:jc w:val="left"/>
            </w:pPr>
            <w:r>
              <w:rPr>
                <w:rFonts w:ascii="Arial" w:hAnsi="Arial"/>
                <w:sz w:val="18"/>
              </w:rPr>
              <w:t>0.5000</w:t>
            </w:r>
          </w:p>
        </w:tc>
        <w:tc>
          <w:tcPr>
            <w:tcW w:type="dxa" w:w="864"/>
          </w:tcPr>
          <w:p>
            <w:pPr>
              <w:spacing w:lineRule="auto" w:line="360"/>
              <w:jc w:val="left"/>
            </w:pPr>
            <w:r>
              <w:rPr>
                <w:rFonts w:ascii="Arial" w:hAnsi="Arial"/>
                <w:sz w:val="18"/>
              </w:rPr>
              <w:t>fails</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-3.59</w:t>
            </w:r>
          </w:p>
        </w:tc>
        <w:tc>
          <w:tcPr>
            <w:tcW w:type="dxa" w:w="864"/>
          </w:tcPr>
          <w:p>
            <w:pPr>
              <w:spacing w:lineRule="auto" w:line="360"/>
              <w:jc w:val="left"/>
            </w:pPr>
            <w:r>
              <w:rPr>
                <w:rFonts w:ascii="Arial" w:hAnsi="Arial"/>
                <w:sz w:val="18"/>
              </w:rPr>
              <w:t>-0.28</w:t>
            </w:r>
          </w:p>
        </w:tc>
        <w:tc>
          <w:tcPr>
            <w:tcW w:type="dxa" w:w="864"/>
          </w:tcPr>
          <w:p>
            <w:pPr>
              <w:spacing w:lineRule="auto" w:line="360"/>
              <w:jc w:val="left"/>
            </w:pPr>
            <w:r>
              <w:rPr>
                <w:rFonts w:ascii="Arial" w:hAnsi="Arial"/>
                <w:sz w:val="18"/>
              </w:rPr>
              <w:t>-4.80</w:t>
            </w:r>
          </w:p>
        </w:tc>
        <w:tc>
          <w:tcPr>
            <w:tcW w:type="dxa" w:w="864"/>
          </w:tcPr>
          <w:p>
            <w:pPr>
              <w:spacing w:lineRule="auto" w:line="360"/>
              <w:jc w:val="left"/>
            </w:pPr>
            <w:r>
              <w:rPr>
                <w:rFonts w:ascii="Arial" w:hAnsi="Arial"/>
                <w:sz w:val="18"/>
              </w:rPr>
              <w:t>+4.58</w:t>
            </w:r>
          </w:p>
        </w:tc>
        <w:tc>
          <w:tcPr>
            <w:tcW w:type="dxa" w:w="864"/>
          </w:tcPr>
          <w:p>
            <w:pPr>
              <w:spacing w:lineRule="auto" w:line="360"/>
              <w:jc w:val="left"/>
            </w:pPr>
            <w:r>
              <w:rPr>
                <w:rFonts w:ascii="Arial" w:hAnsi="Arial"/>
                <w:sz w:val="18"/>
              </w:rPr>
              <w:t>+6.12</w:t>
            </w:r>
          </w:p>
        </w:tc>
        <w:tc>
          <w:tcPr>
            <w:tcW w:type="dxa" w:w="864"/>
          </w:tcPr>
          <w:p>
            <w:pPr>
              <w:spacing w:lineRule="auto" w:line="360"/>
              <w:jc w:val="left"/>
            </w:pPr>
            <w:r>
              <w:rPr>
                <w:rFonts w:ascii="Arial" w:hAnsi="Arial"/>
                <w:sz w:val="18"/>
              </w:rPr>
              <w:t>15</w:t>
            </w:r>
          </w:p>
        </w:tc>
        <w:tc>
          <w:tcPr>
            <w:tcW w:type="dxa" w:w="864"/>
          </w:tcPr>
          <w:p>
            <w:pPr>
              <w:spacing w:lineRule="auto" w:line="360"/>
              <w:jc w:val="left"/>
            </w:pPr>
            <w:r>
              <w:rPr>
                <w:rFonts w:ascii="Arial" w:hAnsi="Arial"/>
                <w:sz w:val="18"/>
              </w:rPr>
              <w:t>0.2857</w:t>
            </w:r>
          </w:p>
        </w:tc>
        <w:tc>
          <w:tcPr>
            <w:tcW w:type="dxa" w:w="864"/>
          </w:tcPr>
          <w:p>
            <w:pPr>
              <w:spacing w:lineRule="auto" w:line="360"/>
              <w:jc w:val="left"/>
            </w:pPr>
            <w:r>
              <w:rPr>
                <w:rFonts w:ascii="Arial" w:hAnsi="Arial"/>
                <w:sz w:val="18"/>
              </w:rPr>
              <w:t>fails</w:t>
            </w:r>
          </w:p>
        </w:tc>
      </w:tr>
      <w:tr>
        <w:tc>
          <w:tcPr>
            <w:tcW w:type="dxa" w:w="864"/>
          </w:tcPr>
          <w:p>
            <w:pPr>
              <w:spacing w:lineRule="auto" w:line="360"/>
              <w:jc w:val="left"/>
            </w:pPr>
            <w:r>
              <w:rPr>
                <w:rFonts w:ascii="Arial" w:hAnsi="Arial"/>
                <w:sz w:val="18"/>
              </w:rPr>
              <w:t>raw</w:t>
            </w:r>
          </w:p>
        </w:tc>
        <w:tc>
          <w:tcPr>
            <w:tcW w:type="dxa" w:w="864"/>
          </w:tcPr>
          <w:p>
            <w:pPr>
              <w:spacing w:lineRule="auto" w:line="360"/>
              <w:jc w:val="left"/>
            </w:pPr>
            <w:r>
              <w:rPr>
                <w:rFonts w:ascii="Arial" w:hAnsi="Arial"/>
                <w:sz w:val="18"/>
              </w:rPr>
              <w:t>EOS</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left"/>
            </w:pPr>
            <w:r>
              <w:rPr>
                <w:rFonts w:ascii="Arial" w:hAnsi="Arial"/>
                <w:sz w:val="18"/>
              </w:rPr>
              <w:t>0</w:t>
            </w:r>
          </w:p>
        </w:tc>
        <w:tc>
          <w:tcPr>
            <w:tcW w:type="dxa" w:w="864"/>
          </w:tcPr>
          <w:p>
            <w:pPr>
              <w:spacing w:lineRule="auto" w:line="360"/>
              <w:jc w:val="left"/>
            </w:pPr>
            <w:r>
              <w:rPr>
                <w:rFonts w:ascii="Arial" w:hAnsi="Arial"/>
                <w:sz w:val="18"/>
              </w:rPr>
              <w:t>0.0179</w:t>
            </w:r>
          </w:p>
        </w:tc>
        <w:tc>
          <w:tcPr>
            <w:tcW w:type="dxa" w:w="864"/>
          </w:tcPr>
          <w:p>
            <w:pPr>
              <w:spacing w:lineRule="auto" w:line="360"/>
              <w:jc w:val="left"/>
            </w:pPr>
            <w:r>
              <w:rPr>
                <w:rFonts w:ascii="Arial" w:hAnsi="Arial"/>
                <w:sz w:val="18"/>
              </w:rPr>
              <w:t>passes</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SOS</w:t>
            </w:r>
          </w:p>
        </w:tc>
        <w:tc>
          <w:tcPr>
            <w:tcW w:type="dxa" w:w="864"/>
          </w:tcPr>
          <w:p>
            <w:pPr>
              <w:spacing w:lineRule="auto" w:line="360"/>
              <w:jc w:val="left"/>
            </w:pPr>
            <w:r>
              <w:rPr>
                <w:rFonts w:ascii="Arial" w:hAnsi="Arial"/>
                <w:sz w:val="18"/>
              </w:rPr>
              <w:t>+15.11</w:t>
            </w:r>
          </w:p>
        </w:tc>
        <w:tc>
          <w:tcPr>
            <w:tcW w:type="dxa" w:w="864"/>
          </w:tcPr>
          <w:p>
            <w:pPr>
              <w:spacing w:lineRule="auto" w:line="360"/>
              <w:jc w:val="left"/>
            </w:pPr>
            <w:r>
              <w:rPr>
                <w:rFonts w:ascii="Arial" w:hAnsi="Arial"/>
                <w:sz w:val="18"/>
              </w:rPr>
              <w:t>-1.16</w:t>
            </w:r>
          </w:p>
        </w:tc>
        <w:tc>
          <w:tcPr>
            <w:tcW w:type="dxa" w:w="864"/>
          </w:tcPr>
          <w:p>
            <w:pPr>
              <w:spacing w:lineRule="auto" w:line="360"/>
              <w:jc w:val="left"/>
            </w:pPr>
            <w:r>
              <w:rPr>
                <w:rFonts w:ascii="Arial" w:hAnsi="Arial"/>
                <w:sz w:val="18"/>
              </w:rPr>
              <w:t>-32.47</w:t>
            </w:r>
          </w:p>
        </w:tc>
        <w:tc>
          <w:tcPr>
            <w:tcW w:type="dxa" w:w="864"/>
          </w:tcPr>
          <w:p>
            <w:pPr>
              <w:spacing w:lineRule="auto" w:line="360"/>
              <w:jc w:val="left"/>
            </w:pPr>
            <w:r>
              <w:rPr>
                <w:rFonts w:ascii="Arial" w:hAnsi="Arial"/>
                <w:sz w:val="18"/>
              </w:rPr>
              <w:t>+28.68</w:t>
            </w:r>
          </w:p>
        </w:tc>
        <w:tc>
          <w:tcPr>
            <w:tcW w:type="dxa" w:w="864"/>
          </w:tcPr>
          <w:p>
            <w:pPr>
              <w:spacing w:lineRule="auto" w:line="360"/>
              <w:jc w:val="left"/>
            </w:pPr>
            <w:r>
              <w:rPr>
                <w:rFonts w:ascii="Arial" w:hAnsi="Arial"/>
                <w:sz w:val="18"/>
              </w:rPr>
              <w:t>+43.44</w:t>
            </w:r>
          </w:p>
        </w:tc>
        <w:tc>
          <w:tcPr>
            <w:tcW w:type="dxa" w:w="864"/>
          </w:tcPr>
          <w:p>
            <w:pPr>
              <w:spacing w:lineRule="auto" w:line="360"/>
              <w:jc w:val="left"/>
            </w:pPr>
            <w:r>
              <w:rPr>
                <w:rFonts w:ascii="Arial" w:hAnsi="Arial"/>
                <w:sz w:val="18"/>
              </w:rPr>
              <w:t>27</w:t>
            </w:r>
          </w:p>
        </w:tc>
        <w:tc>
          <w:tcPr>
            <w:tcW w:type="dxa" w:w="864"/>
          </w:tcPr>
          <w:p>
            <w:pPr>
              <w:spacing w:lineRule="auto" w:line="360"/>
              <w:jc w:val="left"/>
            </w:pPr>
            <w:r>
              <w:rPr>
                <w:rFonts w:ascii="Arial" w:hAnsi="Arial"/>
                <w:sz w:val="18"/>
              </w:rPr>
              <w:t>0.5000</w:t>
            </w:r>
          </w:p>
        </w:tc>
        <w:tc>
          <w:tcPr>
            <w:tcW w:type="dxa" w:w="864"/>
          </w:tcPr>
          <w:p>
            <w:pPr>
              <w:spacing w:lineRule="auto" w:line="360"/>
              <w:jc w:val="left"/>
            </w:pPr>
            <w:r>
              <w:rPr>
                <w:rFonts w:ascii="Arial" w:hAnsi="Arial"/>
                <w:sz w:val="18"/>
              </w:rPr>
              <w:t>fails</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POS</w:t>
            </w:r>
          </w:p>
        </w:tc>
        <w:tc>
          <w:tcPr>
            <w:tcW w:type="dxa" w:w="864"/>
          </w:tcPr>
          <w:p>
            <w:pPr>
              <w:spacing w:lineRule="auto" w:line="360"/>
              <w:jc w:val="left"/>
            </w:pPr>
            <w:r>
              <w:rPr>
                <w:rFonts w:ascii="Arial" w:hAnsi="Arial"/>
                <w:sz w:val="18"/>
              </w:rPr>
              <w:t>-3.68</w:t>
            </w:r>
          </w:p>
        </w:tc>
        <w:tc>
          <w:tcPr>
            <w:tcW w:type="dxa" w:w="864"/>
          </w:tcPr>
          <w:p>
            <w:pPr>
              <w:spacing w:lineRule="auto" w:line="360"/>
              <w:jc w:val="left"/>
            </w:pPr>
            <w:r>
              <w:rPr>
                <w:rFonts w:ascii="Arial" w:hAnsi="Arial"/>
                <w:sz w:val="18"/>
              </w:rPr>
              <w:t>-0.29</w:t>
            </w:r>
          </w:p>
        </w:tc>
        <w:tc>
          <w:tcPr>
            <w:tcW w:type="dxa" w:w="864"/>
          </w:tcPr>
          <w:p>
            <w:pPr>
              <w:spacing w:lineRule="auto" w:line="360"/>
              <w:jc w:val="left"/>
            </w:pPr>
            <w:r>
              <w:rPr>
                <w:rFonts w:ascii="Arial" w:hAnsi="Arial"/>
                <w:sz w:val="18"/>
              </w:rPr>
              <w:t>-4.78</w:t>
            </w:r>
          </w:p>
        </w:tc>
        <w:tc>
          <w:tcPr>
            <w:tcW w:type="dxa" w:w="864"/>
          </w:tcPr>
          <w:p>
            <w:pPr>
              <w:spacing w:lineRule="auto" w:line="360"/>
              <w:jc w:val="left"/>
            </w:pPr>
            <w:r>
              <w:rPr>
                <w:rFonts w:ascii="Arial" w:hAnsi="Arial"/>
                <w:sz w:val="18"/>
              </w:rPr>
              <w:t>+4.65</w:t>
            </w:r>
          </w:p>
        </w:tc>
        <w:tc>
          <w:tcPr>
            <w:tcW w:type="dxa" w:w="864"/>
          </w:tcPr>
          <w:p>
            <w:pPr>
              <w:spacing w:lineRule="auto" w:line="360"/>
              <w:jc w:val="left"/>
            </w:pPr>
            <w:r>
              <w:rPr>
                <w:rFonts w:ascii="Arial" w:hAnsi="Arial"/>
                <w:sz w:val="18"/>
              </w:rPr>
              <w:t>+6.17</w:t>
            </w:r>
          </w:p>
        </w:tc>
        <w:tc>
          <w:tcPr>
            <w:tcW w:type="dxa" w:w="864"/>
          </w:tcPr>
          <w:p>
            <w:pPr>
              <w:spacing w:lineRule="auto" w:line="360"/>
              <w:jc w:val="left"/>
            </w:pPr>
            <w:r>
              <w:rPr>
                <w:rFonts w:ascii="Arial" w:hAnsi="Arial"/>
                <w:sz w:val="18"/>
              </w:rPr>
              <w:t>14</w:t>
            </w:r>
          </w:p>
        </w:tc>
        <w:tc>
          <w:tcPr>
            <w:tcW w:type="dxa" w:w="864"/>
          </w:tcPr>
          <w:p>
            <w:pPr>
              <w:spacing w:lineRule="auto" w:line="360"/>
              <w:jc w:val="left"/>
            </w:pPr>
            <w:r>
              <w:rPr>
                <w:rFonts w:ascii="Arial" w:hAnsi="Arial"/>
                <w:sz w:val="18"/>
              </w:rPr>
              <w:t>0.2679</w:t>
            </w:r>
          </w:p>
        </w:tc>
        <w:tc>
          <w:tcPr>
            <w:tcW w:type="dxa" w:w="864"/>
          </w:tcPr>
          <w:p>
            <w:pPr>
              <w:spacing w:lineRule="auto" w:line="360"/>
              <w:jc w:val="left"/>
            </w:pPr>
            <w:r>
              <w:rPr>
                <w:rFonts w:ascii="Arial" w:hAnsi="Arial"/>
                <w:sz w:val="18"/>
              </w:rPr>
              <w:t>fails</w:t>
            </w:r>
          </w:p>
        </w:tc>
      </w:tr>
      <w:tr>
        <w:tc>
          <w:tcPr>
            <w:tcW w:type="dxa" w:w="864"/>
          </w:tcPr>
          <w:p>
            <w:pPr>
              <w:spacing w:lineRule="auto" w:line="360"/>
              <w:jc w:val="left"/>
            </w:pPr>
            <w:r>
              <w:rPr>
                <w:rFonts w:ascii="Arial" w:hAnsi="Arial"/>
                <w:sz w:val="18"/>
              </w:rPr>
              <w:t>corrected</w:t>
            </w:r>
          </w:p>
        </w:tc>
        <w:tc>
          <w:tcPr>
            <w:tcW w:type="dxa" w:w="864"/>
          </w:tcPr>
          <w:p>
            <w:pPr>
              <w:spacing w:lineRule="auto" w:line="360"/>
              <w:jc w:val="left"/>
            </w:pPr>
            <w:r>
              <w:rPr>
                <w:rFonts w:ascii="Arial" w:hAnsi="Arial"/>
                <w:sz w:val="18"/>
              </w:rPr>
              <w:t>EOS</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center"/>
            </w:pPr>
            <w:r>
              <w:rPr>
                <w:sz w:val="20"/>
              </w:rPr>
              <w:t>—</w:t>
            </w:r>
          </w:p>
        </w:tc>
        <w:tc>
          <w:tcPr>
            <w:tcW w:type="dxa" w:w="864"/>
          </w:tcPr>
          <w:p>
            <w:pPr>
              <w:spacing w:lineRule="auto" w:line="360"/>
              <w:jc w:val="left"/>
            </w:pPr>
            <w:r>
              <w:rPr>
                <w:rFonts w:ascii="Arial" w:hAnsi="Arial"/>
                <w:sz w:val="18"/>
              </w:rPr>
              <w:t>0</w:t>
            </w:r>
          </w:p>
        </w:tc>
        <w:tc>
          <w:tcPr>
            <w:tcW w:type="dxa" w:w="864"/>
          </w:tcPr>
          <w:p>
            <w:pPr>
              <w:spacing w:lineRule="auto" w:line="360"/>
              <w:jc w:val="left"/>
            </w:pPr>
            <w:r>
              <w:rPr>
                <w:rFonts w:ascii="Arial" w:hAnsi="Arial"/>
                <w:sz w:val="18"/>
              </w:rPr>
              <w:t>0.0179</w:t>
            </w:r>
          </w:p>
        </w:tc>
        <w:tc>
          <w:tcPr>
            <w:tcW w:type="dxa" w:w="864"/>
          </w:tcPr>
          <w:p>
            <w:pPr>
              <w:spacing w:lineRule="auto" w:line="360"/>
              <w:jc w:val="left"/>
            </w:pPr>
            <w:r>
              <w:rPr>
                <w:rFonts w:ascii="Arial" w:hAnsi="Arial"/>
                <w:sz w:val="18"/>
              </w:rPr>
              <w:t>passes</w:t>
            </w:r>
          </w:p>
        </w:tc>
      </w:tr>
    </w:tbl>
    <w:p>
      <w:pPr>
        <w:spacing w:before="0" w:after="120" w:line="276" w:lineRule="auto"/>
      </w:pPr>
      <w:r>
        <w:rPr>
          <w:rFonts w:ascii="Arial" w:hAnsi="Arial"/>
          <w:i/>
          <w:sz w:val="19"/>
          <w:szCs w:val="19"/>
          <w:color w:val="595959"/>
        </w:rPr>
        <w:t xml:space="preserve">Abbreviations: EOS = End-Of-Season; POS = Peak-Of-Season; SOS = Start-Of-Season.</w:t>
      </w:r>
    </w:p>
    <w:p>
      <w:pPr>
        <w:spacing w:lineRule="auto" w:line="480"/>
        <w:jc w:val="left"/>
      </w:pPr>
      <w:r>
        <w:rPr>
          <w:rFonts w:ascii="Arial" w:hAnsi="Arial"/>
          <w:b/>
          <w:sz w:val="20"/>
        </w:rPr>
        <w:t>(b) In-time placebo (pretend treatment in 2018; drop real post-period 2019–2021)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Rule="auto" w:line="360"/>
              <w:jc w:val="left"/>
            </w:pPr>
            <w:r>
              <w:rPr>
                <w:rFonts w:ascii="Arial" w:hAnsi="Arial"/>
                <w:b/>
                <w:sz w:val="18"/>
              </w:rPr>
              <w:t>Pipeline</w:t>
            </w:r>
          </w:p>
        </w:tc>
        <w:tc>
          <w:tcPr>
            <w:tcW w:type="dxa" w:w="1728"/>
          </w:tcPr>
          <w:p>
            <w:pPr>
              <w:spacing w:lineRule="auto" w:line="360"/>
              <w:jc w:val="left"/>
            </w:pPr>
            <w:r>
              <w:rPr>
                <w:rFonts w:ascii="Arial" w:hAnsi="Arial"/>
                <w:b/>
                <w:sz w:val="18"/>
              </w:rPr>
              <w:t>Metric</w:t>
            </w:r>
          </w:p>
        </w:tc>
        <w:tc>
          <w:tcPr>
            <w:tcW w:type="dxa" w:w="1728"/>
          </w:tcPr>
          <w:p>
            <w:pPr>
              <w:spacing w:lineRule="auto" w:line="360"/>
              <w:jc w:val="left"/>
            </w:pPr>
            <w:r>
              <w:rPr>
                <w:rFonts w:ascii="Arial" w:hAnsi="Arial"/>
                <w:b/>
                <w:sz w:val="18"/>
              </w:rPr>
              <w:t>Fake post</w:t>
            </w:r>
          </w:p>
        </w:tc>
        <w:tc>
          <w:tcPr>
            <w:tcW w:type="dxa" w:w="1728"/>
          </w:tcPr>
          <w:p>
            <w:pPr>
              <w:spacing w:lineRule="auto" w:line="360"/>
              <w:jc w:val="left"/>
            </w:pPr>
            <w:r>
              <w:rPr>
                <w:rFonts w:ascii="Arial" w:hAnsi="Arial"/>
                <w:b/>
                <w:sz w:val="18"/>
              </w:rPr>
              <w:t>τ̂ pseudo (d)</w:t>
            </w:r>
          </w:p>
        </w:tc>
        <w:tc>
          <w:tcPr>
            <w:tcW w:type="dxa" w:w="1728"/>
          </w:tcPr>
          <w:p>
            <w:pPr>
              <w:spacing w:lineRule="auto" w:line="360"/>
              <w:jc w:val="left"/>
            </w:pPr>
            <w:r>
              <w:rPr>
                <w:rFonts w:ascii="Arial" w:hAnsi="Arial"/>
                <w:b/>
                <w:sz w:val="18"/>
              </w:rPr>
              <w:t>SE (d)</w:t>
            </w:r>
          </w:p>
        </w:tc>
      </w:tr>
      <w:tr>
        <w:tc>
          <w:tcPr>
            <w:tcW w:type="dxa" w:w="1728"/>
          </w:tcPr>
          <w:p>
            <w:pPr>
              <w:spacing w:lineRule="auto" w:line="360"/>
              <w:jc w:val="left"/>
            </w:pPr>
            <w:r>
              <w:rPr>
                <w:rFonts w:ascii="Arial" w:hAnsi="Arial"/>
                <w:sz w:val="18"/>
              </w:rPr>
              <w:t>raw</w:t>
            </w:r>
          </w:p>
        </w:tc>
        <w:tc>
          <w:tcPr>
            <w:tcW w:type="dxa" w:w="1728"/>
          </w:tcPr>
          <w:p>
            <w:pPr>
              <w:spacing w:lineRule="auto" w:line="360"/>
              <w:jc w:val="left"/>
            </w:pPr>
            <w:r>
              <w:rPr>
                <w:rFonts w:ascii="Arial" w:hAnsi="Arial"/>
                <w:sz w:val="18"/>
              </w:rPr>
              <w:t>SOS</w:t>
            </w:r>
          </w:p>
        </w:tc>
        <w:tc>
          <w:tcPr>
            <w:tcW w:type="dxa" w:w="1728"/>
          </w:tcPr>
          <w:p>
            <w:pPr>
              <w:spacing w:lineRule="auto" w:line="360"/>
              <w:jc w:val="left"/>
            </w:pPr>
            <w:r>
              <w:rPr>
                <w:rFonts w:ascii="Arial" w:hAnsi="Arial"/>
                <w:sz w:val="18"/>
              </w:rPr>
              <w:t>2018</w:t>
            </w:r>
          </w:p>
        </w:tc>
        <w:tc>
          <w:tcPr>
            <w:tcW w:type="dxa" w:w="1728"/>
          </w:tcPr>
          <w:p>
            <w:pPr>
              <w:spacing w:lineRule="auto" w:line="360"/>
              <w:jc w:val="left"/>
            </w:pPr>
            <w:r>
              <w:rPr>
                <w:rFonts w:ascii="Arial" w:hAnsi="Arial"/>
                <w:sz w:val="18"/>
              </w:rPr>
              <w:t>-76.50</w:t>
            </w:r>
          </w:p>
        </w:tc>
        <w:tc>
          <w:tcPr>
            <w:tcW w:type="dxa" w:w="1728"/>
          </w:tcPr>
          <w:p>
            <w:pPr>
              <w:spacing w:lineRule="auto" w:line="360"/>
              <w:jc w:val="left"/>
            </w:pPr>
            <w:r>
              <w:rPr>
                <w:rFonts w:ascii="Arial" w:hAnsi="Arial"/>
                <w:sz w:val="18"/>
              </w:rPr>
              <w:t>+38.31</w:t>
            </w:r>
          </w:p>
        </w:tc>
      </w:tr>
      <w:tr>
        <w:tc>
          <w:tcPr>
            <w:tcW w:type="dxa" w:w="1728"/>
          </w:tcPr>
          <w:p>
            <w:pPr>
              <w:spacing w:lineRule="auto" w:line="360"/>
              <w:jc w:val="left"/>
            </w:pPr>
            <w:r>
              <w:rPr>
                <w:rFonts w:ascii="Arial" w:hAnsi="Arial"/>
                <w:sz w:val="18"/>
              </w:rPr>
              <w:t>raw</w:t>
            </w:r>
          </w:p>
        </w:tc>
        <w:tc>
          <w:tcPr>
            <w:tcW w:type="dxa" w:w="1728"/>
          </w:tcPr>
          <w:p>
            <w:pPr>
              <w:spacing w:lineRule="auto" w:line="360"/>
              <w:jc w:val="left"/>
            </w:pPr>
            <w:r>
              <w:rPr>
                <w:rFonts w:ascii="Arial" w:hAnsi="Arial"/>
                <w:sz w:val="18"/>
              </w:rPr>
              <w:t>POS</w:t>
            </w:r>
          </w:p>
        </w:tc>
        <w:tc>
          <w:tcPr>
            <w:tcW w:type="dxa" w:w="1728"/>
          </w:tcPr>
          <w:p>
            <w:pPr>
              <w:spacing w:lineRule="auto" w:line="360"/>
              <w:jc w:val="left"/>
            </w:pPr>
            <w:r>
              <w:rPr>
                <w:rFonts w:ascii="Arial" w:hAnsi="Arial"/>
                <w:sz w:val="18"/>
              </w:rPr>
              <w:t>2018</w:t>
            </w:r>
          </w:p>
        </w:tc>
        <w:tc>
          <w:tcPr>
            <w:tcW w:type="dxa" w:w="1728"/>
          </w:tcPr>
          <w:p>
            <w:pPr>
              <w:spacing w:lineRule="auto" w:line="360"/>
              <w:jc w:val="left"/>
            </w:pPr>
            <w:r>
              <w:rPr>
                <w:rFonts w:ascii="Arial" w:hAnsi="Arial"/>
                <w:sz w:val="18"/>
              </w:rPr>
              <w:t>+2.85</w:t>
            </w:r>
          </w:p>
        </w:tc>
        <w:tc>
          <w:tcPr>
            <w:tcW w:type="dxa" w:w="1728"/>
          </w:tcPr>
          <w:p>
            <w:pPr>
              <w:spacing w:lineRule="auto" w:line="360"/>
              <w:jc w:val="left"/>
            </w:pPr>
            <w:r>
              <w:rPr>
                <w:rFonts w:ascii="Arial" w:hAnsi="Arial"/>
                <w:sz w:val="18"/>
              </w:rPr>
              <w:t>+10.16</w:t>
            </w:r>
          </w:p>
        </w:tc>
      </w:tr>
      <w:tr>
        <w:tc>
          <w:tcPr>
            <w:tcW w:type="dxa" w:w="1728"/>
          </w:tcPr>
          <w:p>
            <w:pPr>
              <w:spacing w:lineRule="auto" w:line="360"/>
              <w:jc w:val="left"/>
            </w:pPr>
            <w:r>
              <w:rPr>
                <w:rFonts w:ascii="Arial" w:hAnsi="Arial"/>
                <w:sz w:val="18"/>
              </w:rPr>
              <w:t>raw</w:t>
            </w:r>
          </w:p>
        </w:tc>
        <w:tc>
          <w:tcPr>
            <w:tcW w:type="dxa" w:w="1728"/>
          </w:tcPr>
          <w:p>
            <w:pPr>
              <w:spacing w:lineRule="auto" w:line="360"/>
              <w:jc w:val="left"/>
            </w:pPr>
            <w:r>
              <w:rPr>
                <w:rFonts w:ascii="Arial" w:hAnsi="Arial"/>
                <w:sz w:val="18"/>
              </w:rPr>
              <w:t>EOS</w:t>
            </w:r>
          </w:p>
        </w:tc>
        <w:tc>
          <w:tcPr>
            <w:tcW w:type="dxa" w:w="1728"/>
          </w:tcPr>
          <w:p>
            <w:pPr>
              <w:spacing w:lineRule="auto" w:line="360"/>
              <w:jc w:val="left"/>
            </w:pPr>
            <w:r>
              <w:rPr>
                <w:rFonts w:ascii="Arial" w:hAnsi="Arial"/>
                <w:sz w:val="18"/>
              </w:rPr>
              <w:t>2018</w:t>
            </w:r>
          </w:p>
        </w:tc>
        <w:tc>
          <w:tcPr>
            <w:tcW w:type="dxa" w:w="1728"/>
          </w:tcPr>
          <w:p>
            <w:pPr>
              <w:spacing w:lineRule="auto" w:line="360"/>
              <w:jc w:val="center"/>
            </w:pPr>
            <w:r>
              <w:rPr>
                <w:sz w:val="20"/>
              </w:rPr>
              <w:t>—</w:t>
            </w:r>
          </w:p>
        </w:tc>
        <w:tc>
          <w:tcPr>
            <w:tcW w:type="dxa" w:w="1728"/>
          </w:tcPr>
          <w:p>
            <w:pPr>
              <w:spacing w:lineRule="auto" w:line="360"/>
              <w:jc w:val="center"/>
            </w:pPr>
            <w:r>
              <w:rPr>
                <w:sz w:val="20"/>
              </w:rPr>
              <w:t>—</w:t>
            </w:r>
          </w:p>
        </w:tc>
      </w:tr>
      <w:tr>
        <w:tc>
          <w:tcPr>
            <w:tcW w:type="dxa" w:w="1728"/>
          </w:tcPr>
          <w:p>
            <w:pPr>
              <w:spacing w:lineRule="auto" w:line="360"/>
              <w:jc w:val="left"/>
            </w:pPr>
            <w:r>
              <w:rPr>
                <w:rFonts w:ascii="Arial" w:hAnsi="Arial"/>
                <w:sz w:val="18"/>
              </w:rPr>
              <w:t>corrected</w:t>
            </w:r>
          </w:p>
        </w:tc>
        <w:tc>
          <w:tcPr>
            <w:tcW w:type="dxa" w:w="1728"/>
          </w:tcPr>
          <w:p>
            <w:pPr>
              <w:spacing w:lineRule="auto" w:line="360"/>
              <w:jc w:val="left"/>
            </w:pPr>
            <w:r>
              <w:rPr>
                <w:rFonts w:ascii="Arial" w:hAnsi="Arial"/>
                <w:sz w:val="18"/>
              </w:rPr>
              <w:t>SOS</w:t>
            </w:r>
          </w:p>
        </w:tc>
        <w:tc>
          <w:tcPr>
            <w:tcW w:type="dxa" w:w="1728"/>
          </w:tcPr>
          <w:p>
            <w:pPr>
              <w:spacing w:lineRule="auto" w:line="360"/>
              <w:jc w:val="left"/>
            </w:pPr>
            <w:r>
              <w:rPr>
                <w:rFonts w:ascii="Arial" w:hAnsi="Arial"/>
                <w:sz w:val="18"/>
              </w:rPr>
              <w:t>2018</w:t>
            </w:r>
          </w:p>
        </w:tc>
        <w:tc>
          <w:tcPr>
            <w:tcW w:type="dxa" w:w="1728"/>
          </w:tcPr>
          <w:p>
            <w:pPr>
              <w:spacing w:lineRule="auto" w:line="360"/>
              <w:jc w:val="left"/>
            </w:pPr>
            <w:r>
              <w:rPr>
                <w:rFonts w:ascii="Arial" w:hAnsi="Arial"/>
                <w:sz w:val="18"/>
              </w:rPr>
              <w:t>-76.50</w:t>
            </w:r>
          </w:p>
        </w:tc>
        <w:tc>
          <w:tcPr>
            <w:tcW w:type="dxa" w:w="1728"/>
          </w:tcPr>
          <w:p>
            <w:pPr>
              <w:spacing w:lineRule="auto" w:line="360"/>
              <w:jc w:val="left"/>
            </w:pPr>
            <w:r>
              <w:rPr>
                <w:rFonts w:ascii="Arial" w:hAnsi="Arial"/>
                <w:sz w:val="18"/>
              </w:rPr>
              <w:t>+38.31</w:t>
            </w:r>
          </w:p>
        </w:tc>
      </w:tr>
      <w:tr>
        <w:tc>
          <w:tcPr>
            <w:tcW w:type="dxa" w:w="1728"/>
          </w:tcPr>
          <w:p>
            <w:pPr>
              <w:spacing w:lineRule="auto" w:line="360"/>
              <w:jc w:val="left"/>
            </w:pPr>
            <w:r>
              <w:rPr>
                <w:rFonts w:ascii="Arial" w:hAnsi="Arial"/>
                <w:sz w:val="18"/>
              </w:rPr>
              <w:t>corrected</w:t>
            </w:r>
          </w:p>
        </w:tc>
        <w:tc>
          <w:tcPr>
            <w:tcW w:type="dxa" w:w="1728"/>
          </w:tcPr>
          <w:p>
            <w:pPr>
              <w:spacing w:lineRule="auto" w:line="360"/>
              <w:jc w:val="left"/>
            </w:pPr>
            <w:r>
              <w:rPr>
                <w:rFonts w:ascii="Arial" w:hAnsi="Arial"/>
                <w:sz w:val="18"/>
              </w:rPr>
              <w:t>POS</w:t>
            </w:r>
          </w:p>
        </w:tc>
        <w:tc>
          <w:tcPr>
            <w:tcW w:type="dxa" w:w="1728"/>
          </w:tcPr>
          <w:p>
            <w:pPr>
              <w:spacing w:lineRule="auto" w:line="360"/>
              <w:jc w:val="left"/>
            </w:pPr>
            <w:r>
              <w:rPr>
                <w:rFonts w:ascii="Arial" w:hAnsi="Arial"/>
                <w:sz w:val="18"/>
              </w:rPr>
              <w:t>2018</w:t>
            </w:r>
          </w:p>
        </w:tc>
        <w:tc>
          <w:tcPr>
            <w:tcW w:type="dxa" w:w="1728"/>
          </w:tcPr>
          <w:p>
            <w:pPr>
              <w:spacing w:lineRule="auto" w:line="360"/>
              <w:jc w:val="left"/>
            </w:pPr>
            <w:r>
              <w:rPr>
                <w:rFonts w:ascii="Arial" w:hAnsi="Arial"/>
                <w:sz w:val="18"/>
              </w:rPr>
              <w:t>+2.85</w:t>
            </w:r>
          </w:p>
        </w:tc>
        <w:tc>
          <w:tcPr>
            <w:tcW w:type="dxa" w:w="1728"/>
          </w:tcPr>
          <w:p>
            <w:pPr>
              <w:spacing w:lineRule="auto" w:line="360"/>
              <w:jc w:val="left"/>
            </w:pPr>
            <w:r>
              <w:rPr>
                <w:rFonts w:ascii="Arial" w:hAnsi="Arial"/>
                <w:sz w:val="18"/>
              </w:rPr>
              <w:t>+10.16</w:t>
            </w:r>
          </w:p>
        </w:tc>
      </w:tr>
      <w:tr>
        <w:tc>
          <w:tcPr>
            <w:tcW w:type="dxa" w:w="1728"/>
          </w:tcPr>
          <w:p>
            <w:pPr>
              <w:spacing w:lineRule="auto" w:line="360"/>
              <w:jc w:val="left"/>
            </w:pPr>
            <w:r>
              <w:rPr>
                <w:rFonts w:ascii="Arial" w:hAnsi="Arial"/>
                <w:sz w:val="18"/>
              </w:rPr>
              <w:t>corrected</w:t>
            </w:r>
          </w:p>
        </w:tc>
        <w:tc>
          <w:tcPr>
            <w:tcW w:type="dxa" w:w="1728"/>
          </w:tcPr>
          <w:p>
            <w:pPr>
              <w:spacing w:lineRule="auto" w:line="360"/>
              <w:jc w:val="left"/>
            </w:pPr>
            <w:r>
              <w:rPr>
                <w:rFonts w:ascii="Arial" w:hAnsi="Arial"/>
                <w:sz w:val="18"/>
              </w:rPr>
              <w:t>EOS</w:t>
            </w:r>
          </w:p>
        </w:tc>
        <w:tc>
          <w:tcPr>
            <w:tcW w:type="dxa" w:w="1728"/>
          </w:tcPr>
          <w:p>
            <w:pPr>
              <w:spacing w:lineRule="auto" w:line="360"/>
              <w:jc w:val="left"/>
            </w:pPr>
            <w:r>
              <w:rPr>
                <w:rFonts w:ascii="Arial" w:hAnsi="Arial"/>
                <w:sz w:val="18"/>
              </w:rPr>
              <w:t>2018</w:t>
            </w:r>
          </w:p>
        </w:tc>
        <w:tc>
          <w:tcPr>
            <w:tcW w:type="dxa" w:w="1728"/>
          </w:tcPr>
          <w:p>
            <w:pPr>
              <w:spacing w:lineRule="auto" w:line="360"/>
              <w:jc w:val="center"/>
            </w:pPr>
            <w:r>
              <w:rPr>
                <w:sz w:val="20"/>
              </w:rPr>
              <w:t>—</w:t>
            </w:r>
          </w:p>
        </w:tc>
        <w:tc>
          <w:tcPr>
            <w:tcW w:type="dxa" w:w="1728"/>
          </w:tcPr>
          <w:p>
            <w:pPr>
              <w:spacing w:lineRule="auto" w:line="360"/>
              <w:jc w:val="center"/>
            </w:pPr>
            <w:r>
              <w:rPr>
                <w:sz w:val="20"/>
              </w:rPr>
              <w:t>—</w:t>
            </w:r>
          </w:p>
        </w:tc>
      </w:tr>
    </w:tbl>
    <w:p>
      <w:pPr>
        <w:spacing w:before="0" w:after="120" w:line="276" w:lineRule="auto"/>
      </w:pPr>
      <w:r>
        <w:rPr>
          <w:rFonts w:ascii="Arial" w:hAnsi="Arial"/>
          <w:i/>
          <w:sz w:val="19"/>
          <w:szCs w:val="19"/>
          <w:color w:val="595959"/>
        </w:rPr>
        <w:t xml:space="preserve">Abbreviations: EOS = End-Of-Season; POS = Peak-Of-Season; SOS = Start-Of-Season.</w:t>
      </w:r>
    </w:p>
    <w:p>
      <w:pPr>
        <w:spacing w:lineRule="auto" w:line="480"/>
        <w:jc w:val="both"/>
      </w:pPr>
      <w:r>
        <w:rPr>
          <w:rFonts w:ascii="Arial" w:hAnsi="Arial"/>
          <w:sz w:val="18"/>
        </w:rPr>
        <w:t>Notes. (a) The lowest attainable permutation p on this design is 1/57 ≈ 0.018 (real assignment alone in the tail). For (raw, SOS), (raw, POS), (corrected, POS) we expect p ≈ 0.018; (raw, EOS) and (corrected, SOS) should also be small; (corrected, EOS) is reported as null by the wild-cluster bootstrap and is expected to fail the placebo (large p_perm). (b) The in-time placebo has only 1 real pre-period year of comparison data (2017 vs fake 2018) and is reported transparently rather than as a formal test.</w:t>
      </w:r>
    </w:p>
    <w:p>
      <w:pPr>
        <w:spacing w:lineRule="auto" w:line="480"/>
        <w:jc w:val="left"/>
      </w:pPr>
      <w:r>
        <w:rPr>
          <w:rFonts w:ascii="Arial" w:hAnsi="Arial"/>
          <w:sz w:val="20"/>
        </w:rPr>
        <w:br w:type="page"/>
      </w:r>
    </w:p>
    <w:p>
      <w:pPr>
        <w:keepNext/>
        <w:spacing w:before="240" w:after="120" w:line="276" w:lineRule="auto"/>
        <w:jc w:val="both"/>
      </w:pPr>
      <w:bookmarkStart w:id="98866" w:name="table_s8"/>
      <w:r>
        <w:rPr>
          <w:rFonts w:ascii="Arial" w:hAnsi="Arial"/>
          <w:b/>
          <w:color w:val="1F3A5F"/>
          <w:sz w:val="32"/>
        </w:rPr>
        <w:t>Table S8 — Pre-Kharif cyclone climatology</w:t>
      </w:r>
      <w:bookmarkEnd w:id="98866"/>
    </w:p>
    <w:p>
      <w:pPr>
        <w:spacing w:line="276" w:lineRule="auto"/>
        <w:jc w:val="both"/>
      </w:pPr>
      <w:r>
        <w:rPr>
          <w:rFonts w:ascii="Arial" w:hAnsi="Arial"/>
          <w:b/>
          <w:sz w:val="20"/>
        </w:rPr>
        <w:t>Table S8. Pre-Kharif identification cyclones at the Odisha coast: per-storm summary and 1981–2018 climatological percentiles.</w:t>
      </w:r>
    </w:p>
    <w:tbl>
      <w:tblPr>
        <w:tblStyle w:val="LightGrid-Accent1"/>
        <w:tblW w:type="auto" w:w="0"/>
        <w:tblLook w:firstColumn="1" w:firstRow="1" w:lastColumn="0" w:lastRow="0" w:noHBand="0" w:noVBand="1" w:val="04A0"/>
      </w:tblPr>
      <w:tblGrid>
        <w:gridCol w:w="1073"/>
        <w:gridCol w:w="1073"/>
        <w:gridCol w:w="1073"/>
        <w:gridCol w:w="1073"/>
        <w:gridCol w:w="1073"/>
        <w:gridCol w:w="1073"/>
        <w:gridCol w:w="1073"/>
        <w:gridCol w:w="1073"/>
        <w:gridCol w:w="1073"/>
        <w:gridCol w:w="1073"/>
        <w:gridCol w:w="1073"/>
        <w:gridCol w:w="1073"/>
        <w:gridCol w:w="1073"/>
        <w:gridCol w:w="1073"/>
      </w:tblGrid>
      <w:tr>
        <w:tc>
          <w:tcPr>
            <w:tcW w:type="dxa" w:w="1073"/>
          </w:tcPr>
          <w:p>
            <w:pPr>
              <w:spacing w:lineRule="auto" w:line="360"/>
              <w:jc w:val="left"/>
            </w:pPr>
            <w:r>
              <w:rPr>
                <w:rFonts w:ascii="Arial" w:hAnsi="Arial"/>
                <w:b/>
                <w:sz w:val="16"/>
              </w:rPr>
              <w:t>Name</w:t>
            </w:r>
          </w:p>
        </w:tc>
        <w:tc>
          <w:tcPr>
            <w:tcW w:type="dxa" w:w="1073"/>
          </w:tcPr>
          <w:p>
            <w:pPr>
              <w:spacing w:lineRule="auto" w:line="360"/>
              <w:jc w:val="left"/>
            </w:pPr>
            <w:r>
              <w:rPr>
                <w:rFonts w:ascii="Arial" w:hAnsi="Arial"/>
                <w:b/>
                <w:sz w:val="16"/>
              </w:rPr>
              <w:t>Season</w:t>
            </w:r>
          </w:p>
        </w:tc>
        <w:tc>
          <w:tcPr>
            <w:tcW w:type="dxa" w:w="1073"/>
          </w:tcPr>
          <w:p>
            <w:pPr>
              <w:spacing w:lineRule="auto" w:line="360"/>
              <w:jc w:val="left"/>
            </w:pPr>
            <w:r>
              <w:rPr>
                <w:rFonts w:ascii="Arial" w:hAnsi="Arial"/>
                <w:b/>
                <w:sz w:val="16"/>
              </w:rPr>
              <w:t>Landfall</w:t>
            </w:r>
          </w:p>
        </w:tc>
        <w:tc>
          <w:tcPr>
            <w:tcW w:type="dxa" w:w="1073"/>
          </w:tcPr>
          <w:p>
            <w:pPr>
              <w:spacing w:lineRule="auto" w:line="360"/>
              <w:jc w:val="left"/>
            </w:pPr>
            <w:r>
              <w:rPr>
                <w:rFonts w:ascii="Arial" w:hAnsi="Arial"/>
                <w:b/>
                <w:sz w:val="16"/>
              </w:rPr>
              <w:t>DOY</w:t>
            </w:r>
          </w:p>
        </w:tc>
        <w:tc>
          <w:tcPr>
            <w:tcW w:type="dxa" w:w="1073"/>
          </w:tcPr>
          <w:p>
            <w:pPr>
              <w:spacing w:lineRule="auto" w:line="360"/>
              <w:jc w:val="left"/>
            </w:pPr>
            <w:r>
              <w:rPr>
                <w:rFonts w:ascii="Arial" w:hAnsi="Arial"/>
                <w:b/>
                <w:sz w:val="16"/>
              </w:rPr>
              <w:t>IMD cat.</w:t>
            </w:r>
          </w:p>
        </w:tc>
        <w:tc>
          <w:tcPr>
            <w:tcW w:type="dxa" w:w="1073"/>
          </w:tcPr>
          <w:p>
            <w:pPr>
              <w:spacing w:lineRule="auto" w:line="360"/>
              <w:jc w:val="left"/>
            </w:pPr>
            <w:r>
              <w:rPr>
                <w:rFonts w:ascii="Arial" w:hAnsi="Arial"/>
                <w:b/>
                <w:sz w:val="16"/>
              </w:rPr>
              <w:t>S–S cat.</w:t>
            </w:r>
          </w:p>
        </w:tc>
        <w:tc>
          <w:tcPr>
            <w:tcW w:type="dxa" w:w="1073"/>
          </w:tcPr>
          <w:p>
            <w:pPr>
              <w:spacing w:lineRule="auto" w:line="360"/>
              <w:jc w:val="left"/>
            </w:pPr>
            <w:r>
              <w:rPr>
                <w:rFonts w:ascii="Arial" w:hAnsi="Arial"/>
                <w:b/>
                <w:sz w:val="16"/>
              </w:rPr>
              <w:t>Vmax (kt)</w:t>
            </w:r>
          </w:p>
        </w:tc>
        <w:tc>
          <w:tcPr>
            <w:tcW w:type="dxa" w:w="1073"/>
          </w:tcPr>
          <w:p>
            <w:pPr>
              <w:spacing w:lineRule="auto" w:line="360"/>
              <w:jc w:val="left"/>
            </w:pPr>
            <w:r>
              <w:rPr>
                <w:rFonts w:ascii="Arial" w:hAnsi="Arial"/>
                <w:b/>
                <w:sz w:val="16"/>
              </w:rPr>
              <w:t>Pmin (hPa)</w:t>
            </w:r>
          </w:p>
        </w:tc>
        <w:tc>
          <w:tcPr>
            <w:tcW w:type="dxa" w:w="1073"/>
          </w:tcPr>
          <w:p>
            <w:pPr>
              <w:spacing w:lineRule="auto" w:line="360"/>
              <w:jc w:val="left"/>
            </w:pPr>
            <w:r>
              <w:rPr>
                <w:rFonts w:ascii="Arial" w:hAnsi="Arial"/>
                <w:b/>
                <w:sz w:val="16"/>
              </w:rPr>
              <w:t>Surge (m)</w:t>
            </w:r>
          </w:p>
        </w:tc>
        <w:tc>
          <w:tcPr>
            <w:tcW w:type="dxa" w:w="1073"/>
          </w:tcPr>
          <w:p>
            <w:pPr>
              <w:spacing w:lineRule="auto" w:line="360"/>
              <w:jc w:val="left"/>
            </w:pPr>
            <w:r>
              <w:rPr>
                <w:rFonts w:ascii="Arial" w:hAnsi="Arial"/>
                <w:b/>
                <w:sz w:val="16"/>
              </w:rPr>
              <w:t>Synoptic class</w:t>
            </w:r>
          </w:p>
        </w:tc>
        <w:tc>
          <w:tcPr>
            <w:tcW w:type="dxa" w:w="1073"/>
          </w:tcPr>
          <w:p>
            <w:pPr>
              <w:spacing w:lineRule="auto" w:line="360"/>
              <w:jc w:val="left"/>
            </w:pPr>
            <w:r>
              <w:rPr>
                <w:rFonts w:ascii="Arial" w:hAnsi="Arial"/>
                <w:b/>
                <w:sz w:val="16"/>
              </w:rPr>
              <w:t>Vmax %ile</w:t>
            </w:r>
          </w:p>
        </w:tc>
        <w:tc>
          <w:tcPr>
            <w:tcW w:type="dxa" w:w="1073"/>
          </w:tcPr>
          <w:p>
            <w:pPr>
              <w:spacing w:lineRule="auto" w:line="360"/>
              <w:jc w:val="left"/>
            </w:pPr>
            <w:r>
              <w:rPr>
                <w:rFonts w:ascii="Arial" w:hAnsi="Arial"/>
                <w:b/>
                <w:sz w:val="16"/>
              </w:rPr>
              <w:t>Pmin %ile</w:t>
            </w:r>
          </w:p>
        </w:tc>
        <w:tc>
          <w:tcPr>
            <w:tcW w:type="dxa" w:w="1073"/>
          </w:tcPr>
          <w:p>
            <w:pPr>
              <w:spacing w:lineRule="auto" w:line="360"/>
              <w:jc w:val="left"/>
            </w:pPr>
            <w:r>
              <w:rPr>
                <w:rFonts w:ascii="Arial" w:hAnsi="Arial"/>
                <w:b/>
                <w:sz w:val="16"/>
              </w:rPr>
              <w:t>Surge %ile</w:t>
            </w:r>
          </w:p>
        </w:tc>
        <w:tc>
          <w:tcPr>
            <w:tcW w:type="dxa" w:w="1073"/>
          </w:tcPr>
          <w:p>
            <w:pPr>
              <w:spacing w:lineRule="auto" w:line="360"/>
              <w:jc w:val="left"/>
            </w:pPr>
            <w:r>
              <w:rPr>
                <w:rFonts w:ascii="Arial" w:hAnsi="Arial"/>
                <w:b/>
                <w:sz w:val="16"/>
              </w:rPr>
              <w:t>DOY %ile</w:t>
            </w:r>
          </w:p>
        </w:tc>
      </w:tr>
      <w:tr>
        <w:tc>
          <w:tcPr>
            <w:tcW w:type="dxa" w:w="1073"/>
          </w:tcPr>
          <w:p>
            <w:pPr>
              <w:spacing w:lineRule="auto" w:line="360"/>
              <w:jc w:val="left"/>
            </w:pPr>
            <w:r>
              <w:rPr>
                <w:rFonts w:ascii="Arial" w:hAnsi="Arial"/>
                <w:sz w:val="16"/>
              </w:rPr>
              <w:t>Fani</w:t>
            </w:r>
          </w:p>
        </w:tc>
        <w:tc>
          <w:tcPr>
            <w:tcW w:type="dxa" w:w="1073"/>
          </w:tcPr>
          <w:p>
            <w:pPr>
              <w:spacing w:lineRule="auto" w:line="360"/>
              <w:jc w:val="left"/>
            </w:pPr>
            <w:r>
              <w:rPr>
                <w:rFonts w:ascii="Arial" w:hAnsi="Arial"/>
                <w:sz w:val="16"/>
              </w:rPr>
              <w:t>2019</w:t>
            </w:r>
          </w:p>
        </w:tc>
        <w:tc>
          <w:tcPr>
            <w:tcW w:type="dxa" w:w="1073"/>
          </w:tcPr>
          <w:p>
            <w:pPr>
              <w:spacing w:lineRule="auto" w:line="360"/>
              <w:jc w:val="left"/>
            </w:pPr>
            <w:r>
              <w:rPr>
                <w:rFonts w:ascii="Arial" w:hAnsi="Arial"/>
                <w:sz w:val="16"/>
              </w:rPr>
              <w:t>2019-05-03</w:t>
            </w:r>
          </w:p>
        </w:tc>
        <w:tc>
          <w:tcPr>
            <w:tcW w:type="dxa" w:w="1073"/>
          </w:tcPr>
          <w:p>
            <w:pPr>
              <w:spacing w:lineRule="auto" w:line="360"/>
              <w:jc w:val="left"/>
            </w:pPr>
            <w:r>
              <w:rPr>
                <w:rFonts w:ascii="Arial" w:hAnsi="Arial"/>
                <w:sz w:val="16"/>
              </w:rPr>
              <w:t>123</w:t>
            </w:r>
          </w:p>
        </w:tc>
        <w:tc>
          <w:tcPr>
            <w:tcW w:type="dxa" w:w="1073"/>
          </w:tcPr>
          <w:p>
            <w:pPr>
              <w:spacing w:lineRule="auto" w:line="360"/>
              <w:jc w:val="left"/>
            </w:pPr>
            <w:r>
              <w:rPr>
                <w:rFonts w:ascii="Arial" w:hAnsi="Arial"/>
                <w:sz w:val="16"/>
              </w:rPr>
              <w:t>ESCS</w:t>
            </w:r>
          </w:p>
        </w:tc>
        <w:tc>
          <w:tcPr>
            <w:tcW w:type="dxa" w:w="1073"/>
          </w:tcPr>
          <w:p>
            <w:pPr>
              <w:spacing w:lineRule="auto" w:line="360"/>
              <w:jc w:val="left"/>
            </w:pPr>
            <w:r>
              <w:rPr>
                <w:rFonts w:ascii="Arial" w:hAnsi="Arial"/>
                <w:sz w:val="16"/>
              </w:rPr>
              <w:t>4</w:t>
            </w:r>
          </w:p>
        </w:tc>
        <w:tc>
          <w:tcPr>
            <w:tcW w:type="dxa" w:w="1073"/>
          </w:tcPr>
          <w:p>
            <w:pPr>
              <w:spacing w:lineRule="auto" w:line="360"/>
              <w:jc w:val="left"/>
            </w:pPr>
            <w:r>
              <w:rPr>
                <w:rFonts w:ascii="Arial" w:hAnsi="Arial"/>
                <w:sz w:val="16"/>
              </w:rPr>
              <w:t>135</w:t>
            </w:r>
          </w:p>
        </w:tc>
        <w:tc>
          <w:tcPr>
            <w:tcW w:type="dxa" w:w="1073"/>
          </w:tcPr>
          <w:p>
            <w:pPr>
              <w:spacing w:lineRule="auto" w:line="360"/>
              <w:jc w:val="left"/>
            </w:pPr>
            <w:r>
              <w:rPr>
                <w:rFonts w:ascii="Arial" w:hAnsi="Arial"/>
                <w:sz w:val="16"/>
              </w:rPr>
              <w:t>932</w:t>
            </w:r>
          </w:p>
        </w:tc>
        <w:tc>
          <w:tcPr>
            <w:tcW w:type="dxa" w:w="1073"/>
          </w:tcPr>
          <w:p>
            <w:pPr>
              <w:spacing w:lineRule="auto" w:line="360"/>
              <w:jc w:val="left"/>
            </w:pPr>
            <w:r>
              <w:rPr>
                <w:rFonts w:ascii="Arial" w:hAnsi="Arial"/>
                <w:sz w:val="16"/>
              </w:rPr>
              <w:t>1.5</w:t>
            </w:r>
          </w:p>
        </w:tc>
        <w:tc>
          <w:tcPr>
            <w:tcW w:type="dxa" w:w="1073"/>
          </w:tcPr>
          <w:p>
            <w:pPr>
              <w:spacing w:lineRule="auto" w:line="360"/>
              <w:jc w:val="left"/>
            </w:pPr>
            <w:r>
              <w:rPr>
                <w:rFonts w:ascii="Arial" w:hAnsi="Arial"/>
                <w:sz w:val="16"/>
              </w:rPr>
              <w:t>Equatorial trough genesis</w:t>
            </w:r>
          </w:p>
        </w:tc>
        <w:tc>
          <w:tcPr>
            <w:tcW w:type="dxa" w:w="1073"/>
          </w:tcPr>
          <w:p>
            <w:pPr>
              <w:spacing w:lineRule="auto" w:line="360"/>
              <w:jc w:val="left"/>
            </w:pPr>
            <w:r>
              <w:rPr>
                <w:rFonts w:ascii="Arial" w:hAnsi="Arial"/>
                <w:sz w:val="16"/>
              </w:rPr>
              <w:t>97.5</w:t>
            </w:r>
          </w:p>
        </w:tc>
        <w:tc>
          <w:tcPr>
            <w:tcW w:type="dxa" w:w="1073"/>
          </w:tcPr>
          <w:p>
            <w:pPr>
              <w:spacing w:lineRule="auto" w:line="360"/>
              <w:jc w:val="left"/>
            </w:pPr>
            <w:r>
              <w:rPr>
                <w:rFonts w:ascii="Arial" w:hAnsi="Arial"/>
                <w:sz w:val="16"/>
              </w:rPr>
              <w:t>91.5</w:t>
            </w:r>
          </w:p>
        </w:tc>
        <w:tc>
          <w:tcPr>
            <w:tcW w:type="dxa" w:w="1073"/>
          </w:tcPr>
          <w:p>
            <w:pPr>
              <w:spacing w:lineRule="auto" w:line="360"/>
              <w:jc w:val="left"/>
            </w:pPr>
            <w:r>
              <w:rPr>
                <w:rFonts w:ascii="Arial" w:hAnsi="Arial"/>
                <w:sz w:val="16"/>
              </w:rPr>
              <w:t>55.8</w:t>
            </w:r>
          </w:p>
        </w:tc>
        <w:tc>
          <w:tcPr>
            <w:tcW w:type="dxa" w:w="1073"/>
          </w:tcPr>
          <w:p>
            <w:pPr>
              <w:spacing w:lineRule="auto" w:line="360"/>
              <w:jc w:val="left"/>
            </w:pPr>
            <w:r>
              <w:rPr>
                <w:rFonts w:ascii="Arial" w:hAnsi="Arial"/>
                <w:sz w:val="16"/>
              </w:rPr>
              <w:t>26.6</w:t>
            </w:r>
          </w:p>
        </w:tc>
      </w:tr>
      <w:tr>
        <w:tc>
          <w:tcPr>
            <w:tcW w:type="dxa" w:w="1073"/>
          </w:tcPr>
          <w:p>
            <w:pPr>
              <w:spacing w:lineRule="auto" w:line="360"/>
              <w:jc w:val="left"/>
            </w:pPr>
            <w:r>
              <w:rPr>
                <w:rFonts w:ascii="Arial" w:hAnsi="Arial"/>
                <w:sz w:val="16"/>
              </w:rPr>
              <w:t>Amphan</w:t>
            </w:r>
          </w:p>
        </w:tc>
        <w:tc>
          <w:tcPr>
            <w:tcW w:type="dxa" w:w="1073"/>
          </w:tcPr>
          <w:p>
            <w:pPr>
              <w:spacing w:lineRule="auto" w:line="360"/>
              <w:jc w:val="left"/>
            </w:pPr>
            <w:r>
              <w:rPr>
                <w:rFonts w:ascii="Arial" w:hAnsi="Arial"/>
                <w:sz w:val="16"/>
              </w:rPr>
              <w:t>2020</w:t>
            </w:r>
          </w:p>
        </w:tc>
        <w:tc>
          <w:tcPr>
            <w:tcW w:type="dxa" w:w="1073"/>
          </w:tcPr>
          <w:p>
            <w:pPr>
              <w:spacing w:lineRule="auto" w:line="360"/>
              <w:jc w:val="left"/>
            </w:pPr>
            <w:r>
              <w:rPr>
                <w:rFonts w:ascii="Arial" w:hAnsi="Arial"/>
                <w:sz w:val="16"/>
              </w:rPr>
              <w:t>2020-05-20</w:t>
            </w:r>
          </w:p>
        </w:tc>
        <w:tc>
          <w:tcPr>
            <w:tcW w:type="dxa" w:w="1073"/>
          </w:tcPr>
          <w:p>
            <w:pPr>
              <w:spacing w:lineRule="auto" w:line="360"/>
              <w:jc w:val="left"/>
            </w:pPr>
            <w:r>
              <w:rPr>
                <w:rFonts w:ascii="Arial" w:hAnsi="Arial"/>
                <w:sz w:val="16"/>
              </w:rPr>
              <w:t>141</w:t>
            </w:r>
          </w:p>
        </w:tc>
        <w:tc>
          <w:tcPr>
            <w:tcW w:type="dxa" w:w="1073"/>
          </w:tcPr>
          <w:p>
            <w:pPr>
              <w:spacing w:lineRule="auto" w:line="360"/>
              <w:jc w:val="left"/>
            </w:pPr>
            <w:r>
              <w:rPr>
                <w:rFonts w:ascii="Arial" w:hAnsi="Arial"/>
                <w:sz w:val="16"/>
              </w:rPr>
              <w:t>SuCS</w:t>
            </w:r>
          </w:p>
        </w:tc>
        <w:tc>
          <w:tcPr>
            <w:tcW w:type="dxa" w:w="1073"/>
          </w:tcPr>
          <w:p>
            <w:pPr>
              <w:spacing w:lineRule="auto" w:line="360"/>
              <w:jc w:val="left"/>
            </w:pPr>
            <w:r>
              <w:rPr>
                <w:rFonts w:ascii="Arial" w:hAnsi="Arial"/>
                <w:sz w:val="16"/>
              </w:rPr>
              <w:t>5</w:t>
            </w:r>
          </w:p>
        </w:tc>
        <w:tc>
          <w:tcPr>
            <w:tcW w:type="dxa" w:w="1073"/>
          </w:tcPr>
          <w:p>
            <w:pPr>
              <w:spacing w:lineRule="auto" w:line="360"/>
              <w:jc w:val="left"/>
            </w:pPr>
            <w:r>
              <w:rPr>
                <w:rFonts w:ascii="Arial" w:hAnsi="Arial"/>
                <w:sz w:val="16"/>
              </w:rPr>
              <w:t>140</w:t>
            </w:r>
          </w:p>
        </w:tc>
        <w:tc>
          <w:tcPr>
            <w:tcW w:type="dxa" w:w="1073"/>
          </w:tcPr>
          <w:p>
            <w:pPr>
              <w:spacing w:lineRule="auto" w:line="360"/>
              <w:jc w:val="left"/>
            </w:pPr>
            <w:r>
              <w:rPr>
                <w:rFonts w:ascii="Arial" w:hAnsi="Arial"/>
                <w:sz w:val="16"/>
              </w:rPr>
              <w:t>925</w:t>
            </w:r>
          </w:p>
        </w:tc>
        <w:tc>
          <w:tcPr>
            <w:tcW w:type="dxa" w:w="1073"/>
          </w:tcPr>
          <w:p>
            <w:pPr>
              <w:spacing w:lineRule="auto" w:line="360"/>
              <w:jc w:val="left"/>
            </w:pPr>
            <w:r>
              <w:rPr>
                <w:rFonts w:ascii="Arial" w:hAnsi="Arial"/>
                <w:sz w:val="16"/>
              </w:rPr>
              <w:t>4.6</w:t>
            </w:r>
          </w:p>
        </w:tc>
        <w:tc>
          <w:tcPr>
            <w:tcW w:type="dxa" w:w="1073"/>
          </w:tcPr>
          <w:p>
            <w:pPr>
              <w:spacing w:lineRule="auto" w:line="360"/>
              <w:jc w:val="left"/>
            </w:pPr>
            <w:r>
              <w:rPr>
                <w:rFonts w:ascii="Arial" w:hAnsi="Arial"/>
                <w:sz w:val="16"/>
              </w:rPr>
              <w:t>Monsoon-trough remnant</w:t>
            </w:r>
          </w:p>
        </w:tc>
        <w:tc>
          <w:tcPr>
            <w:tcW w:type="dxa" w:w="1073"/>
          </w:tcPr>
          <w:p>
            <w:pPr>
              <w:spacing w:lineRule="auto" w:line="360"/>
              <w:jc w:val="left"/>
            </w:pPr>
            <w:r>
              <w:rPr>
                <w:rFonts w:ascii="Arial" w:hAnsi="Arial"/>
                <w:sz w:val="16"/>
              </w:rPr>
              <w:t>100.0</w:t>
            </w:r>
          </w:p>
        </w:tc>
        <w:tc>
          <w:tcPr>
            <w:tcW w:type="dxa" w:w="1073"/>
          </w:tcPr>
          <w:p>
            <w:pPr>
              <w:spacing w:lineRule="auto" w:line="360"/>
              <w:jc w:val="left"/>
            </w:pPr>
            <w:r>
              <w:rPr>
                <w:rFonts w:ascii="Arial" w:hAnsi="Arial"/>
                <w:sz w:val="16"/>
              </w:rPr>
              <w:t>95.0</w:t>
            </w:r>
          </w:p>
        </w:tc>
        <w:tc>
          <w:tcPr>
            <w:tcW w:type="dxa" w:w="1073"/>
          </w:tcPr>
          <w:p>
            <w:pPr>
              <w:spacing w:lineRule="auto" w:line="360"/>
              <w:jc w:val="left"/>
            </w:pPr>
            <w:r>
              <w:rPr>
                <w:rFonts w:ascii="Arial" w:hAnsi="Arial"/>
                <w:sz w:val="16"/>
              </w:rPr>
              <w:t>91.5</w:t>
            </w:r>
          </w:p>
        </w:tc>
        <w:tc>
          <w:tcPr>
            <w:tcW w:type="dxa" w:w="1073"/>
          </w:tcPr>
          <w:p>
            <w:pPr>
              <w:spacing w:lineRule="auto" w:line="360"/>
              <w:jc w:val="left"/>
            </w:pPr>
            <w:r>
              <w:rPr>
                <w:rFonts w:ascii="Arial" w:hAnsi="Arial"/>
                <w:sz w:val="16"/>
              </w:rPr>
              <w:t>55.4</w:t>
            </w:r>
          </w:p>
        </w:tc>
      </w:tr>
      <w:tr>
        <w:tc>
          <w:tcPr>
            <w:tcW w:type="dxa" w:w="1073"/>
          </w:tcPr>
          <w:p>
            <w:pPr>
              <w:spacing w:lineRule="auto" w:line="360"/>
              <w:jc w:val="left"/>
            </w:pPr>
            <w:r>
              <w:rPr>
                <w:rFonts w:ascii="Arial" w:hAnsi="Arial"/>
                <w:sz w:val="16"/>
              </w:rPr>
              <w:t>Yaas</w:t>
            </w:r>
          </w:p>
        </w:tc>
        <w:tc>
          <w:tcPr>
            <w:tcW w:type="dxa" w:w="1073"/>
          </w:tcPr>
          <w:p>
            <w:pPr>
              <w:spacing w:lineRule="auto" w:line="360"/>
              <w:jc w:val="left"/>
            </w:pPr>
            <w:r>
              <w:rPr>
                <w:rFonts w:ascii="Arial" w:hAnsi="Arial"/>
                <w:sz w:val="16"/>
              </w:rPr>
              <w:t>2021</w:t>
            </w:r>
          </w:p>
        </w:tc>
        <w:tc>
          <w:tcPr>
            <w:tcW w:type="dxa" w:w="1073"/>
          </w:tcPr>
          <w:p>
            <w:pPr>
              <w:spacing w:lineRule="auto" w:line="360"/>
              <w:jc w:val="left"/>
            </w:pPr>
            <w:r>
              <w:rPr>
                <w:rFonts w:ascii="Arial" w:hAnsi="Arial"/>
                <w:sz w:val="16"/>
              </w:rPr>
              <w:t>2021-05-26</w:t>
            </w:r>
          </w:p>
        </w:tc>
        <w:tc>
          <w:tcPr>
            <w:tcW w:type="dxa" w:w="1073"/>
          </w:tcPr>
          <w:p>
            <w:pPr>
              <w:spacing w:lineRule="auto" w:line="360"/>
              <w:jc w:val="left"/>
            </w:pPr>
            <w:r>
              <w:rPr>
                <w:rFonts w:ascii="Arial" w:hAnsi="Arial"/>
                <w:sz w:val="16"/>
              </w:rPr>
              <w:t>146</w:t>
            </w:r>
          </w:p>
        </w:tc>
        <w:tc>
          <w:tcPr>
            <w:tcW w:type="dxa" w:w="1073"/>
          </w:tcPr>
          <w:p>
            <w:pPr>
              <w:spacing w:lineRule="auto" w:line="360"/>
              <w:jc w:val="left"/>
            </w:pPr>
            <w:r>
              <w:rPr>
                <w:rFonts w:ascii="Arial" w:hAnsi="Arial"/>
                <w:sz w:val="16"/>
              </w:rPr>
              <w:t>VSCS</w:t>
            </w:r>
          </w:p>
        </w:tc>
        <w:tc>
          <w:tcPr>
            <w:tcW w:type="dxa" w:w="1073"/>
          </w:tcPr>
          <w:p>
            <w:pPr>
              <w:spacing w:lineRule="auto" w:line="360"/>
              <w:jc w:val="left"/>
            </w:pPr>
            <w:r>
              <w:rPr>
                <w:rFonts w:ascii="Arial" w:hAnsi="Arial"/>
                <w:sz w:val="16"/>
              </w:rPr>
              <w:t>3</w:t>
            </w:r>
          </w:p>
        </w:tc>
        <w:tc>
          <w:tcPr>
            <w:tcW w:type="dxa" w:w="1073"/>
          </w:tcPr>
          <w:p>
            <w:pPr>
              <w:spacing w:lineRule="auto" w:line="360"/>
              <w:jc w:val="left"/>
            </w:pPr>
            <w:r>
              <w:rPr>
                <w:rFonts w:ascii="Arial" w:hAnsi="Arial"/>
                <w:sz w:val="16"/>
              </w:rPr>
              <w:t>100</w:t>
            </w:r>
          </w:p>
        </w:tc>
        <w:tc>
          <w:tcPr>
            <w:tcW w:type="dxa" w:w="1073"/>
          </w:tcPr>
          <w:p>
            <w:pPr>
              <w:spacing w:lineRule="auto" w:line="360"/>
              <w:jc w:val="left"/>
            </w:pPr>
            <w:r>
              <w:rPr>
                <w:rFonts w:ascii="Arial" w:hAnsi="Arial"/>
                <w:sz w:val="16"/>
              </w:rPr>
              <w:t>970</w:t>
            </w:r>
          </w:p>
        </w:tc>
        <w:tc>
          <w:tcPr>
            <w:tcW w:type="dxa" w:w="1073"/>
          </w:tcPr>
          <w:p>
            <w:pPr>
              <w:spacing w:lineRule="auto" w:line="360"/>
              <w:jc w:val="left"/>
            </w:pPr>
            <w:r>
              <w:rPr>
                <w:rFonts w:ascii="Arial" w:hAnsi="Arial"/>
                <w:sz w:val="16"/>
              </w:rPr>
              <w:t>2.0</w:t>
            </w:r>
          </w:p>
        </w:tc>
        <w:tc>
          <w:tcPr>
            <w:tcW w:type="dxa" w:w="1073"/>
          </w:tcPr>
          <w:p>
            <w:pPr>
              <w:spacing w:lineRule="auto" w:line="360"/>
              <w:jc w:val="left"/>
            </w:pPr>
            <w:r>
              <w:rPr>
                <w:rFonts w:ascii="Arial" w:hAnsi="Arial"/>
                <w:sz w:val="16"/>
              </w:rPr>
              <w:t>Easterly-wave Bay genesis</w:t>
            </w:r>
          </w:p>
        </w:tc>
        <w:tc>
          <w:tcPr>
            <w:tcW w:type="dxa" w:w="1073"/>
          </w:tcPr>
          <w:p>
            <w:pPr>
              <w:spacing w:lineRule="auto" w:line="360"/>
              <w:jc w:val="left"/>
            </w:pPr>
            <w:r>
              <w:rPr>
                <w:rFonts w:ascii="Arial" w:hAnsi="Arial"/>
                <w:sz w:val="16"/>
              </w:rPr>
              <w:t>81.0</w:t>
            </w:r>
          </w:p>
        </w:tc>
        <w:tc>
          <w:tcPr>
            <w:tcW w:type="dxa" w:w="1073"/>
          </w:tcPr>
          <w:p>
            <w:pPr>
              <w:spacing w:lineRule="auto" w:line="360"/>
              <w:jc w:val="left"/>
            </w:pPr>
            <w:r>
              <w:rPr>
                <w:rFonts w:ascii="Arial" w:hAnsi="Arial"/>
                <w:sz w:val="16"/>
              </w:rPr>
              <w:t>56.2</w:t>
            </w:r>
          </w:p>
        </w:tc>
        <w:tc>
          <w:tcPr>
            <w:tcW w:type="dxa" w:w="1073"/>
          </w:tcPr>
          <w:p>
            <w:pPr>
              <w:spacing w:lineRule="auto" w:line="360"/>
              <w:jc w:val="left"/>
            </w:pPr>
            <w:r>
              <w:rPr>
                <w:rFonts w:ascii="Arial" w:hAnsi="Arial"/>
                <w:sz w:val="16"/>
              </w:rPr>
              <w:t>65.4</w:t>
            </w:r>
          </w:p>
        </w:tc>
        <w:tc>
          <w:tcPr>
            <w:tcW w:type="dxa" w:w="1073"/>
          </w:tcPr>
          <w:p>
            <w:pPr>
              <w:spacing w:lineRule="auto" w:line="360"/>
              <w:jc w:val="left"/>
            </w:pPr>
            <w:r>
              <w:rPr>
                <w:rFonts w:ascii="Arial" w:hAnsi="Arial"/>
                <w:sz w:val="16"/>
              </w:rPr>
              <w:t>64.3</w:t>
            </w:r>
          </w:p>
        </w:tc>
      </w:tr>
    </w:tbl>
    <w:p>
      <w:pPr>
        <w:spacing w:before="0" w:after="120" w:line="276" w:lineRule="auto"/>
      </w:pPr>
      <w:r>
        <w:rPr>
          <w:rFonts w:ascii="Arial" w:hAnsi="Arial"/>
          <w:i/>
          <w:sz w:val="19"/>
          <w:szCs w:val="19"/>
          <w:color w:val="595959"/>
        </w:rPr>
        <w:t xml:space="preserve">Abbreviations: DOY = Day-Of-Year; ESCS = Extremely Severe Cyclonic Storm; IMD = India Meteorological Department; VSCS = Very Severe Cyclonic Storm.</w:t>
      </w:r>
    </w:p>
    <w:p>
      <w:pPr>
        <w:spacing w:lineRule="auto" w:line="480"/>
        <w:jc w:val="left"/>
      </w:pPr>
      <w:r>
        <w:rPr>
          <w:rFonts w:ascii="Arial" w:hAnsi="Arial"/>
          <w:i/>
          <w:sz w:val="18"/>
        </w:rPr>
        <w:br/>
        <w:t>Vmax: peak 1-min sustained wind. Pmin: minimum central pressure. Surge: peak observed storm-surge height (IMD RSMC reports). %ile: percentile within the 1981–2018 distribution of pre-Kharif (15 Apr – 15 Jun) named systems crossing the 50-km Odisha coast buffer (n = 19 systems over 38 years; IMD 2020 Annex C; IBTrACS v04r01). Pmin %ile is computed on the inverted scale so that 100 = strongest. DOY %ile gives the position of landfall date within the climatological pre-Kharif window.</w:t>
      </w:r>
    </w:p>
    <w:p>
      <w:pPr>
        <w:spacing w:lineRule="auto" w:line="480"/>
        <w:jc w:val="left"/>
      </w:pPr>
      <w:r>
        <w:rPr>
          <w:rFonts w:ascii="Arial" w:hAnsi="Arial"/>
          <w:sz w:val="20"/>
        </w:rPr>
        <w:br w:type="page"/>
      </w:r>
    </w:p>
    <w:p>
      <w:pPr>
        <w:keepNext/>
        <w:spacing w:before="240" w:after="120" w:line="276" w:lineRule="auto"/>
        <w:jc w:val="both"/>
      </w:pPr>
      <w:bookmarkStart w:id="21581" w:name="table_s9"/>
      <w:r>
        <w:rPr>
          <w:rFonts w:ascii="Arial" w:hAnsi="Arial"/>
          <w:b/>
          <w:color w:val="1F3A5F"/>
          <w:sz w:val="32"/>
        </w:rPr>
        <w:t>Table S9 — Canonical S1 dual-pol features</w:t>
      </w:r>
      <w:bookmarkEnd w:id="21581"/>
    </w:p>
    <w:p>
      <w:pPr>
        <w:spacing w:line="276" w:lineRule="auto"/>
        <w:jc w:val="both"/>
      </w:pPr>
      <w:r>
        <w:rPr>
          <w:rFonts w:ascii="Arial" w:hAnsi="Arial"/>
          <w:b/>
          <w:sz w:val="20"/>
        </w:rPr>
        <w:t>Table S9. Canonical Sentinel-1 dual-polarisation backscatter signatures for the three inundation mechanisms exploited by the Module 02 saline-flood classifier.</w:t>
      </w:r>
    </w:p>
    <w:tbl>
      <w:tblPr>
        <w:tblStyle w:val="LightGrid-Accent1"/>
        <w:tblW w:type="auto" w:w="0"/>
        <w:tblLook w:firstColumn="1" w:firstRow="1" w:lastColumn="0" w:lastRow="0" w:noHBand="0" w:noVBand="1" w:val="04A0"/>
      </w:tblPr>
      <w:tblGrid>
        <w:gridCol w:w="1002"/>
        <w:gridCol w:w="1002"/>
        <w:gridCol w:w="1002"/>
        <w:gridCol w:w="1002"/>
        <w:gridCol w:w="1002"/>
        <w:gridCol w:w="1002"/>
        <w:gridCol w:w="1002"/>
        <w:gridCol w:w="1002"/>
        <w:gridCol w:w="1002"/>
        <w:gridCol w:w="1002"/>
        <w:gridCol w:w="1002"/>
        <w:gridCol w:w="1002"/>
        <w:gridCol w:w="1002"/>
        <w:gridCol w:w="1002"/>
        <w:gridCol w:w="1002"/>
      </w:tblGrid>
      <w:tr>
        <w:tc>
          <w:tcPr>
            <w:tcW w:type="dxa" w:w="1002"/>
          </w:tcPr>
          <w:p>
            <w:pPr>
              <w:spacing w:lineRule="auto" w:line="360"/>
              <w:jc w:val="left"/>
            </w:pPr>
            <w:r>
              <w:rPr>
                <w:rFonts w:ascii="Arial" w:hAnsi="Arial"/>
                <w:b/>
                <w:sz w:val="16"/>
              </w:rPr>
              <w:t>Mechanism</w:t>
            </w:r>
          </w:p>
        </w:tc>
        <w:tc>
          <w:tcPr>
            <w:tcW w:type="dxa" w:w="1002"/>
          </w:tcPr>
          <w:p>
            <w:pPr>
              <w:spacing w:lineRule="auto" w:line="360"/>
              <w:jc w:val="left"/>
            </w:pPr>
            <w:r>
              <w:rPr>
                <w:rFonts w:ascii="Arial" w:hAnsi="Arial"/>
                <w:b/>
                <w:sz w:val="16"/>
              </w:rPr>
              <w:t>Onset DOY</w:t>
            </w:r>
          </w:p>
        </w:tc>
        <w:tc>
          <w:tcPr>
            <w:tcW w:type="dxa" w:w="1002"/>
          </w:tcPr>
          <w:p>
            <w:pPr>
              <w:spacing w:lineRule="auto" w:line="360"/>
              <w:jc w:val="left"/>
            </w:pPr>
            <w:r>
              <w:rPr>
                <w:rFonts w:ascii="Arial" w:hAnsi="Arial"/>
                <w:b/>
                <w:sz w:val="16"/>
              </w:rPr>
              <w:t>Onset rate (d)</w:t>
            </w:r>
          </w:p>
        </w:tc>
        <w:tc>
          <w:tcPr>
            <w:tcW w:type="dxa" w:w="1002"/>
          </w:tcPr>
          <w:p>
            <w:pPr>
              <w:spacing w:lineRule="auto" w:line="360"/>
              <w:jc w:val="left"/>
            </w:pPr>
            <w:r>
              <w:rPr>
                <w:rFonts w:ascii="Arial" w:hAnsi="Arial"/>
                <w:b/>
                <w:sz w:val="16"/>
              </w:rPr>
              <w:t>VH base (dB)</w:t>
            </w:r>
          </w:p>
        </w:tc>
        <w:tc>
          <w:tcPr>
            <w:tcW w:type="dxa" w:w="1002"/>
          </w:tcPr>
          <w:p>
            <w:pPr>
              <w:spacing w:lineRule="auto" w:line="360"/>
              <w:jc w:val="left"/>
            </w:pPr>
            <w:r>
              <w:rPr>
                <w:rFonts w:ascii="Arial" w:hAnsi="Arial"/>
                <w:b/>
                <w:sz w:val="16"/>
              </w:rPr>
              <w:t>VH min (dB)</w:t>
            </w:r>
          </w:p>
        </w:tc>
        <w:tc>
          <w:tcPr>
            <w:tcW w:type="dxa" w:w="1002"/>
          </w:tcPr>
          <w:p>
            <w:pPr>
              <w:spacing w:lineRule="auto" w:line="360"/>
              <w:jc w:val="left"/>
            </w:pPr>
            <w:r>
              <w:rPr>
                <w:rFonts w:ascii="Arial" w:hAnsi="Arial"/>
                <w:b/>
                <w:sz w:val="16"/>
              </w:rPr>
              <w:t>ΔVH (dB)</w:t>
            </w:r>
          </w:p>
        </w:tc>
        <w:tc>
          <w:tcPr>
            <w:tcW w:type="dxa" w:w="1002"/>
          </w:tcPr>
          <w:p>
            <w:pPr>
              <w:spacing w:lineRule="auto" w:line="360"/>
              <w:jc w:val="left"/>
            </w:pPr>
            <w:r>
              <w:rPr>
                <w:rFonts w:ascii="Arial" w:hAnsi="Arial"/>
                <w:b/>
                <w:sz w:val="16"/>
              </w:rPr>
              <w:t>VV base (dB)</w:t>
            </w:r>
          </w:p>
        </w:tc>
        <w:tc>
          <w:tcPr>
            <w:tcW w:type="dxa" w:w="1002"/>
          </w:tcPr>
          <w:p>
            <w:pPr>
              <w:spacing w:lineRule="auto" w:line="360"/>
              <w:jc w:val="left"/>
            </w:pPr>
            <w:r>
              <w:rPr>
                <w:rFonts w:ascii="Arial" w:hAnsi="Arial"/>
                <w:b/>
                <w:sz w:val="16"/>
              </w:rPr>
              <w:t>VV min (dB)</w:t>
            </w:r>
          </w:p>
        </w:tc>
        <w:tc>
          <w:tcPr>
            <w:tcW w:type="dxa" w:w="1002"/>
          </w:tcPr>
          <w:p>
            <w:pPr>
              <w:spacing w:lineRule="auto" w:line="360"/>
              <w:jc w:val="left"/>
            </w:pPr>
            <w:r>
              <w:rPr>
                <w:rFonts w:ascii="Arial" w:hAnsi="Arial"/>
                <w:b/>
                <w:sz w:val="16"/>
              </w:rPr>
              <w:t>ΔVV (dB)</w:t>
            </w:r>
          </w:p>
        </w:tc>
        <w:tc>
          <w:tcPr>
            <w:tcW w:type="dxa" w:w="1002"/>
          </w:tcPr>
          <w:p>
            <w:pPr>
              <w:spacing w:lineRule="auto" w:line="360"/>
              <w:jc w:val="left"/>
            </w:pPr>
            <w:r>
              <w:rPr>
                <w:rFonts w:ascii="Arial" w:hAnsi="Arial"/>
                <w:b/>
                <w:sz w:val="16"/>
              </w:rPr>
              <w:t>CR base (dB)</w:t>
            </w:r>
          </w:p>
        </w:tc>
        <w:tc>
          <w:tcPr>
            <w:tcW w:type="dxa" w:w="1002"/>
          </w:tcPr>
          <w:p>
            <w:pPr>
              <w:spacing w:lineRule="auto" w:line="360"/>
              <w:jc w:val="left"/>
            </w:pPr>
            <w:r>
              <w:rPr>
                <w:rFonts w:ascii="Arial" w:hAnsi="Arial"/>
                <w:b/>
                <w:sz w:val="16"/>
              </w:rPr>
              <w:t>CR min (dB)</w:t>
            </w:r>
          </w:p>
        </w:tc>
        <w:tc>
          <w:tcPr>
            <w:tcW w:type="dxa" w:w="1002"/>
          </w:tcPr>
          <w:p>
            <w:pPr>
              <w:spacing w:lineRule="auto" w:line="360"/>
              <w:jc w:val="left"/>
            </w:pPr>
            <w:r>
              <w:rPr>
                <w:rFonts w:ascii="Arial" w:hAnsi="Arial"/>
                <w:b/>
                <w:sz w:val="16"/>
              </w:rPr>
              <w:t>ΔCR (dB)</w:t>
            </w:r>
          </w:p>
        </w:tc>
        <w:tc>
          <w:tcPr>
            <w:tcW w:type="dxa" w:w="1002"/>
          </w:tcPr>
          <w:p>
            <w:pPr>
              <w:spacing w:lineRule="auto" w:line="360"/>
              <w:jc w:val="left"/>
            </w:pPr>
            <w:r>
              <w:rPr>
                <w:rFonts w:ascii="Arial" w:hAnsi="Arial"/>
                <w:b/>
                <w:sz w:val="16"/>
              </w:rPr>
              <w:t>VH recov. (d)</w:t>
            </w:r>
          </w:p>
        </w:tc>
        <w:tc>
          <w:tcPr>
            <w:tcW w:type="dxa" w:w="1002"/>
          </w:tcPr>
          <w:p>
            <w:pPr>
              <w:spacing w:lineRule="auto" w:line="360"/>
              <w:jc w:val="left"/>
            </w:pPr>
            <w:r>
              <w:rPr>
                <w:rFonts w:ascii="Arial" w:hAnsi="Arial"/>
                <w:b/>
                <w:sz w:val="16"/>
              </w:rPr>
              <w:t>VV recov. (d)</w:t>
            </w:r>
          </w:p>
        </w:tc>
        <w:tc>
          <w:tcPr>
            <w:tcW w:type="dxa" w:w="1002"/>
          </w:tcPr>
          <w:p>
            <w:pPr>
              <w:spacing w:lineRule="auto" w:line="360"/>
              <w:jc w:val="left"/>
            </w:pPr>
            <w:r>
              <w:rPr>
                <w:rFonts w:ascii="Arial" w:hAnsi="Arial"/>
                <w:b/>
                <w:sz w:val="16"/>
              </w:rPr>
              <w:t>CR recov. (d)</w:t>
            </w:r>
          </w:p>
        </w:tc>
      </w:tr>
      <w:tr>
        <w:tc>
          <w:tcPr>
            <w:tcW w:type="dxa" w:w="1002"/>
          </w:tcPr>
          <w:p>
            <w:pPr>
              <w:spacing w:lineRule="auto" w:line="360"/>
              <w:jc w:val="left"/>
            </w:pPr>
            <w:r>
              <w:rPr>
                <w:rFonts w:ascii="Arial" w:hAnsi="Arial"/>
                <w:sz w:val="16"/>
              </w:rPr>
              <w:t>Transplanting flood (agronomic)</w:t>
            </w:r>
          </w:p>
        </w:tc>
        <w:tc>
          <w:tcPr>
            <w:tcW w:type="dxa" w:w="1002"/>
          </w:tcPr>
          <w:p>
            <w:pPr>
              <w:spacing w:lineRule="auto" w:line="360"/>
              <w:jc w:val="left"/>
            </w:pPr>
            <w:r>
              <w:rPr>
                <w:rFonts w:ascii="Arial" w:hAnsi="Arial"/>
                <w:sz w:val="16"/>
              </w:rPr>
              <w:t>188</w:t>
            </w:r>
          </w:p>
        </w:tc>
        <w:tc>
          <w:tcPr>
            <w:tcW w:type="dxa" w:w="1002"/>
          </w:tcPr>
          <w:p>
            <w:pPr>
              <w:spacing w:lineRule="auto" w:line="360"/>
              <w:jc w:val="left"/>
            </w:pPr>
            <w:r>
              <w:rPr>
                <w:rFonts w:ascii="Arial" w:hAnsi="Arial"/>
                <w:sz w:val="16"/>
              </w:rPr>
              <w:t>12</w:t>
            </w:r>
          </w:p>
        </w:tc>
        <w:tc>
          <w:tcPr>
            <w:tcW w:type="dxa" w:w="1002"/>
          </w:tcPr>
          <w:p>
            <w:pPr>
              <w:spacing w:lineRule="auto" w:line="360"/>
              <w:jc w:val="left"/>
            </w:pPr>
            <w:r>
              <w:rPr>
                <w:rFonts w:ascii="Arial" w:hAnsi="Arial"/>
                <w:sz w:val="16"/>
              </w:rPr>
              <w:t>-14.0</w:t>
            </w:r>
          </w:p>
        </w:tc>
        <w:tc>
          <w:tcPr>
            <w:tcW w:type="dxa" w:w="1002"/>
          </w:tcPr>
          <w:p>
            <w:pPr>
              <w:spacing w:lineRule="auto" w:line="360"/>
              <w:jc w:val="left"/>
            </w:pPr>
            <w:r>
              <w:rPr>
                <w:rFonts w:ascii="Arial" w:hAnsi="Arial"/>
                <w:sz w:val="16"/>
              </w:rPr>
              <w:t>-20.5</w:t>
            </w:r>
          </w:p>
        </w:tc>
        <w:tc>
          <w:tcPr>
            <w:tcW w:type="dxa" w:w="1002"/>
          </w:tcPr>
          <w:p>
            <w:pPr>
              <w:spacing w:lineRule="auto" w:line="360"/>
              <w:jc w:val="left"/>
            </w:pPr>
            <w:r>
              <w:rPr>
                <w:rFonts w:ascii="Arial" w:hAnsi="Arial"/>
                <w:sz w:val="16"/>
              </w:rPr>
              <w:t>-6.5</w:t>
            </w:r>
          </w:p>
        </w:tc>
        <w:tc>
          <w:tcPr>
            <w:tcW w:type="dxa" w:w="1002"/>
          </w:tcPr>
          <w:p>
            <w:pPr>
              <w:spacing w:lineRule="auto" w:line="360"/>
              <w:jc w:val="left"/>
            </w:pPr>
            <w:r>
              <w:rPr>
                <w:rFonts w:ascii="Arial" w:hAnsi="Arial"/>
                <w:sz w:val="16"/>
              </w:rPr>
              <w:t>-9.0</w:t>
            </w:r>
          </w:p>
        </w:tc>
        <w:tc>
          <w:tcPr>
            <w:tcW w:type="dxa" w:w="1002"/>
          </w:tcPr>
          <w:p>
            <w:pPr>
              <w:spacing w:lineRule="auto" w:line="360"/>
              <w:jc w:val="left"/>
            </w:pPr>
            <w:r>
              <w:rPr>
                <w:rFonts w:ascii="Arial" w:hAnsi="Arial"/>
                <w:sz w:val="16"/>
              </w:rPr>
              <w:t>-13.5</w:t>
            </w:r>
          </w:p>
        </w:tc>
        <w:tc>
          <w:tcPr>
            <w:tcW w:type="dxa" w:w="1002"/>
          </w:tcPr>
          <w:p>
            <w:pPr>
              <w:spacing w:lineRule="auto" w:line="360"/>
              <w:jc w:val="left"/>
            </w:pPr>
            <w:r>
              <w:rPr>
                <w:rFonts w:ascii="Arial" w:hAnsi="Arial"/>
                <w:sz w:val="16"/>
              </w:rPr>
              <w:t>-4.5</w:t>
            </w:r>
          </w:p>
        </w:tc>
        <w:tc>
          <w:tcPr>
            <w:tcW w:type="dxa" w:w="1002"/>
          </w:tcPr>
          <w:p>
            <w:pPr>
              <w:spacing w:lineRule="auto" w:line="360"/>
              <w:jc w:val="left"/>
            </w:pPr>
            <w:r>
              <w:rPr>
                <w:rFonts w:ascii="Arial" w:hAnsi="Arial"/>
                <w:sz w:val="16"/>
              </w:rPr>
              <w:t>-5.0</w:t>
            </w:r>
          </w:p>
        </w:tc>
        <w:tc>
          <w:tcPr>
            <w:tcW w:type="dxa" w:w="1002"/>
          </w:tcPr>
          <w:p>
            <w:pPr>
              <w:spacing w:lineRule="auto" w:line="360"/>
              <w:jc w:val="left"/>
            </w:pPr>
            <w:r>
              <w:rPr>
                <w:rFonts w:ascii="Arial" w:hAnsi="Arial"/>
                <w:sz w:val="16"/>
              </w:rPr>
              <w:t>-7.0</w:t>
            </w:r>
          </w:p>
        </w:tc>
        <w:tc>
          <w:tcPr>
            <w:tcW w:type="dxa" w:w="1002"/>
          </w:tcPr>
          <w:p>
            <w:pPr>
              <w:spacing w:lineRule="auto" w:line="360"/>
              <w:jc w:val="left"/>
            </w:pPr>
            <w:r>
              <w:rPr>
                <w:rFonts w:ascii="Arial" w:hAnsi="Arial"/>
                <w:sz w:val="16"/>
              </w:rPr>
              <w:t>-2.0</w:t>
            </w:r>
          </w:p>
        </w:tc>
        <w:tc>
          <w:tcPr>
            <w:tcW w:type="dxa" w:w="1002"/>
          </w:tcPr>
          <w:p>
            <w:pPr>
              <w:spacing w:lineRule="auto" w:line="360"/>
              <w:jc w:val="left"/>
            </w:pPr>
            <w:r>
              <w:rPr>
                <w:rFonts w:ascii="Arial" w:hAnsi="Arial"/>
                <w:sz w:val="16"/>
              </w:rPr>
              <w:t>35</w:t>
            </w:r>
          </w:p>
        </w:tc>
        <w:tc>
          <w:tcPr>
            <w:tcW w:type="dxa" w:w="1002"/>
          </w:tcPr>
          <w:p>
            <w:pPr>
              <w:spacing w:lineRule="auto" w:line="360"/>
              <w:jc w:val="left"/>
            </w:pPr>
            <w:r>
              <w:rPr>
                <w:rFonts w:ascii="Arial" w:hAnsi="Arial"/>
                <w:sz w:val="16"/>
              </w:rPr>
              <w:t>50</w:t>
            </w:r>
          </w:p>
        </w:tc>
        <w:tc>
          <w:tcPr>
            <w:tcW w:type="dxa" w:w="1002"/>
          </w:tcPr>
          <w:p>
            <w:pPr>
              <w:spacing w:lineRule="auto" w:line="360"/>
              <w:jc w:val="left"/>
            </w:pPr>
            <w:r>
              <w:rPr>
                <w:rFonts w:ascii="Arial" w:hAnsi="Arial"/>
                <w:sz w:val="16"/>
              </w:rPr>
              <w:t>42</w:t>
            </w:r>
          </w:p>
        </w:tc>
      </w:tr>
      <w:tr>
        <w:tc>
          <w:tcPr>
            <w:tcW w:type="dxa" w:w="1002"/>
          </w:tcPr>
          <w:p>
            <w:pPr>
              <w:spacing w:lineRule="auto" w:line="360"/>
              <w:jc w:val="left"/>
            </w:pPr>
            <w:r>
              <w:rPr>
                <w:rFonts w:ascii="Arial" w:hAnsi="Arial"/>
                <w:sz w:val="16"/>
              </w:rPr>
              <w:t>Saline storm-surge (cyclonic)</w:t>
            </w:r>
          </w:p>
        </w:tc>
        <w:tc>
          <w:tcPr>
            <w:tcW w:type="dxa" w:w="1002"/>
          </w:tcPr>
          <w:p>
            <w:pPr>
              <w:spacing w:lineRule="auto" w:line="360"/>
              <w:jc w:val="left"/>
            </w:pPr>
            <w:r>
              <w:rPr>
                <w:rFonts w:ascii="Arial" w:hAnsi="Arial"/>
                <w:sz w:val="16"/>
              </w:rPr>
              <w:t>123</w:t>
            </w:r>
          </w:p>
        </w:tc>
        <w:tc>
          <w:tcPr>
            <w:tcW w:type="dxa" w:w="1002"/>
          </w:tcPr>
          <w:p>
            <w:pPr>
              <w:spacing w:lineRule="auto" w:line="360"/>
              <w:jc w:val="left"/>
            </w:pPr>
            <w:r>
              <w:rPr>
                <w:rFonts w:ascii="Arial" w:hAnsi="Arial"/>
                <w:sz w:val="16"/>
              </w:rPr>
              <w:t>1</w:t>
            </w:r>
          </w:p>
        </w:tc>
        <w:tc>
          <w:tcPr>
            <w:tcW w:type="dxa" w:w="1002"/>
          </w:tcPr>
          <w:p>
            <w:pPr>
              <w:spacing w:lineRule="auto" w:line="360"/>
              <w:jc w:val="left"/>
            </w:pPr>
            <w:r>
              <w:rPr>
                <w:rFonts w:ascii="Arial" w:hAnsi="Arial"/>
                <w:sz w:val="16"/>
              </w:rPr>
              <w:t>-12.0</w:t>
            </w:r>
          </w:p>
        </w:tc>
        <w:tc>
          <w:tcPr>
            <w:tcW w:type="dxa" w:w="1002"/>
          </w:tcPr>
          <w:p>
            <w:pPr>
              <w:spacing w:lineRule="auto" w:line="360"/>
              <w:jc w:val="left"/>
            </w:pPr>
            <w:r>
              <w:rPr>
                <w:rFonts w:ascii="Arial" w:hAnsi="Arial"/>
                <w:sz w:val="16"/>
              </w:rPr>
              <w:t>-22.5</w:t>
            </w:r>
          </w:p>
        </w:tc>
        <w:tc>
          <w:tcPr>
            <w:tcW w:type="dxa" w:w="1002"/>
          </w:tcPr>
          <w:p>
            <w:pPr>
              <w:spacing w:lineRule="auto" w:line="360"/>
              <w:jc w:val="left"/>
            </w:pPr>
            <w:r>
              <w:rPr>
                <w:rFonts w:ascii="Arial" w:hAnsi="Arial"/>
                <w:sz w:val="16"/>
              </w:rPr>
              <w:t>-10.5</w:t>
            </w:r>
          </w:p>
        </w:tc>
        <w:tc>
          <w:tcPr>
            <w:tcW w:type="dxa" w:w="1002"/>
          </w:tcPr>
          <w:p>
            <w:pPr>
              <w:spacing w:lineRule="auto" w:line="360"/>
              <w:jc w:val="left"/>
            </w:pPr>
            <w:r>
              <w:rPr>
                <w:rFonts w:ascii="Arial" w:hAnsi="Arial"/>
                <w:sz w:val="16"/>
              </w:rPr>
              <w:t>-8.5</w:t>
            </w:r>
          </w:p>
        </w:tc>
        <w:tc>
          <w:tcPr>
            <w:tcW w:type="dxa" w:w="1002"/>
          </w:tcPr>
          <w:p>
            <w:pPr>
              <w:spacing w:lineRule="auto" w:line="360"/>
              <w:jc w:val="left"/>
            </w:pPr>
            <w:r>
              <w:rPr>
                <w:rFonts w:ascii="Arial" w:hAnsi="Arial"/>
                <w:sz w:val="16"/>
              </w:rPr>
              <w:t>-15.0</w:t>
            </w:r>
          </w:p>
        </w:tc>
        <w:tc>
          <w:tcPr>
            <w:tcW w:type="dxa" w:w="1002"/>
          </w:tcPr>
          <w:p>
            <w:pPr>
              <w:spacing w:lineRule="auto" w:line="360"/>
              <w:jc w:val="left"/>
            </w:pPr>
            <w:r>
              <w:rPr>
                <w:rFonts w:ascii="Arial" w:hAnsi="Arial"/>
                <w:sz w:val="16"/>
              </w:rPr>
              <w:t>-6.5</w:t>
            </w:r>
          </w:p>
        </w:tc>
        <w:tc>
          <w:tcPr>
            <w:tcW w:type="dxa" w:w="1002"/>
          </w:tcPr>
          <w:p>
            <w:pPr>
              <w:spacing w:lineRule="auto" w:line="360"/>
              <w:jc w:val="left"/>
            </w:pPr>
            <w:r>
              <w:rPr>
                <w:rFonts w:ascii="Arial" w:hAnsi="Arial"/>
                <w:sz w:val="16"/>
              </w:rPr>
              <w:t>-3.5</w:t>
            </w:r>
          </w:p>
        </w:tc>
        <w:tc>
          <w:tcPr>
            <w:tcW w:type="dxa" w:w="1002"/>
          </w:tcPr>
          <w:p>
            <w:pPr>
              <w:spacing w:lineRule="auto" w:line="360"/>
              <w:jc w:val="left"/>
            </w:pPr>
            <w:r>
              <w:rPr>
                <w:rFonts w:ascii="Arial" w:hAnsi="Arial"/>
                <w:sz w:val="16"/>
              </w:rPr>
              <w:t>-7.5</w:t>
            </w:r>
          </w:p>
        </w:tc>
        <w:tc>
          <w:tcPr>
            <w:tcW w:type="dxa" w:w="1002"/>
          </w:tcPr>
          <w:p>
            <w:pPr>
              <w:spacing w:lineRule="auto" w:line="360"/>
              <w:jc w:val="left"/>
            </w:pPr>
            <w:r>
              <w:rPr>
                <w:rFonts w:ascii="Arial" w:hAnsi="Arial"/>
                <w:sz w:val="16"/>
              </w:rPr>
              <w:t>-4.0</w:t>
            </w:r>
          </w:p>
        </w:tc>
        <w:tc>
          <w:tcPr>
            <w:tcW w:type="dxa" w:w="1002"/>
          </w:tcPr>
          <w:p>
            <w:pPr>
              <w:spacing w:lineRule="auto" w:line="360"/>
              <w:jc w:val="left"/>
            </w:pPr>
            <w:r>
              <w:rPr>
                <w:rFonts w:ascii="Arial" w:hAnsi="Arial"/>
                <w:sz w:val="16"/>
              </w:rPr>
              <w:t>21</w:t>
            </w:r>
          </w:p>
        </w:tc>
        <w:tc>
          <w:tcPr>
            <w:tcW w:type="dxa" w:w="1002"/>
          </w:tcPr>
          <w:p>
            <w:pPr>
              <w:spacing w:lineRule="auto" w:line="360"/>
              <w:jc w:val="left"/>
            </w:pPr>
            <w:r>
              <w:rPr>
                <w:rFonts w:ascii="Arial" w:hAnsi="Arial"/>
                <w:sz w:val="16"/>
              </w:rPr>
              <w:t>28</w:t>
            </w:r>
          </w:p>
        </w:tc>
        <w:tc>
          <w:tcPr>
            <w:tcW w:type="dxa" w:w="1002"/>
          </w:tcPr>
          <w:p>
            <w:pPr>
              <w:spacing w:lineRule="auto" w:line="360"/>
              <w:jc w:val="left"/>
            </w:pPr>
            <w:r>
              <w:rPr>
                <w:rFonts w:ascii="Arial" w:hAnsi="Arial"/>
                <w:sz w:val="16"/>
              </w:rPr>
              <w:t>24</w:t>
            </w:r>
          </w:p>
        </w:tc>
      </w:tr>
      <w:tr>
        <w:tc>
          <w:tcPr>
            <w:tcW w:type="dxa" w:w="1002"/>
          </w:tcPr>
          <w:p>
            <w:pPr>
              <w:spacing w:lineRule="auto" w:line="360"/>
              <w:jc w:val="left"/>
            </w:pPr>
            <w:r>
              <w:rPr>
                <w:rFonts w:ascii="Arial" w:hAnsi="Arial"/>
                <w:sz w:val="16"/>
              </w:rPr>
              <w:t>Freshwater rainfall (Bulbul-class)</w:t>
            </w:r>
          </w:p>
        </w:tc>
        <w:tc>
          <w:tcPr>
            <w:tcW w:type="dxa" w:w="1002"/>
          </w:tcPr>
          <w:p>
            <w:pPr>
              <w:spacing w:lineRule="auto" w:line="360"/>
              <w:jc w:val="left"/>
            </w:pPr>
            <w:r>
              <w:rPr>
                <w:rFonts w:ascii="Arial" w:hAnsi="Arial"/>
                <w:sz w:val="16"/>
              </w:rPr>
              <w:t>313</w:t>
            </w:r>
          </w:p>
        </w:tc>
        <w:tc>
          <w:tcPr>
            <w:tcW w:type="dxa" w:w="1002"/>
          </w:tcPr>
          <w:p>
            <w:pPr>
              <w:spacing w:lineRule="auto" w:line="360"/>
              <w:jc w:val="left"/>
            </w:pPr>
            <w:r>
              <w:rPr>
                <w:rFonts w:ascii="Arial" w:hAnsi="Arial"/>
                <w:sz w:val="16"/>
              </w:rPr>
              <w:t>2</w:t>
            </w:r>
          </w:p>
        </w:tc>
        <w:tc>
          <w:tcPr>
            <w:tcW w:type="dxa" w:w="1002"/>
          </w:tcPr>
          <w:p>
            <w:pPr>
              <w:spacing w:lineRule="auto" w:line="360"/>
              <w:jc w:val="left"/>
            </w:pPr>
            <w:r>
              <w:rPr>
                <w:rFonts w:ascii="Arial" w:hAnsi="Arial"/>
                <w:sz w:val="16"/>
              </w:rPr>
              <w:t>-13.5</w:t>
            </w:r>
          </w:p>
        </w:tc>
        <w:tc>
          <w:tcPr>
            <w:tcW w:type="dxa" w:w="1002"/>
          </w:tcPr>
          <w:p>
            <w:pPr>
              <w:spacing w:lineRule="auto" w:line="360"/>
              <w:jc w:val="left"/>
            </w:pPr>
            <w:r>
              <w:rPr>
                <w:rFonts w:ascii="Arial" w:hAnsi="Arial"/>
                <w:sz w:val="16"/>
              </w:rPr>
              <w:t>-16.5</w:t>
            </w:r>
          </w:p>
        </w:tc>
        <w:tc>
          <w:tcPr>
            <w:tcW w:type="dxa" w:w="1002"/>
          </w:tcPr>
          <w:p>
            <w:pPr>
              <w:spacing w:lineRule="auto" w:line="360"/>
              <w:jc w:val="left"/>
            </w:pPr>
            <w:r>
              <w:rPr>
                <w:rFonts w:ascii="Arial" w:hAnsi="Arial"/>
                <w:sz w:val="16"/>
              </w:rPr>
              <w:t>-3.0</w:t>
            </w:r>
          </w:p>
        </w:tc>
        <w:tc>
          <w:tcPr>
            <w:tcW w:type="dxa" w:w="1002"/>
          </w:tcPr>
          <w:p>
            <w:pPr>
              <w:spacing w:lineRule="auto" w:line="360"/>
              <w:jc w:val="left"/>
            </w:pPr>
            <w:r>
              <w:rPr>
                <w:rFonts w:ascii="Arial" w:hAnsi="Arial"/>
                <w:sz w:val="16"/>
              </w:rPr>
              <w:t>-8.5</w:t>
            </w:r>
          </w:p>
        </w:tc>
        <w:tc>
          <w:tcPr>
            <w:tcW w:type="dxa" w:w="1002"/>
          </w:tcPr>
          <w:p>
            <w:pPr>
              <w:spacing w:lineRule="auto" w:line="360"/>
              <w:jc w:val="left"/>
            </w:pPr>
            <w:r>
              <w:rPr>
                <w:rFonts w:ascii="Arial" w:hAnsi="Arial"/>
                <w:sz w:val="16"/>
              </w:rPr>
              <w:t>-10.0</w:t>
            </w:r>
          </w:p>
        </w:tc>
        <w:tc>
          <w:tcPr>
            <w:tcW w:type="dxa" w:w="1002"/>
          </w:tcPr>
          <w:p>
            <w:pPr>
              <w:spacing w:lineRule="auto" w:line="360"/>
              <w:jc w:val="left"/>
            </w:pPr>
            <w:r>
              <w:rPr>
                <w:rFonts w:ascii="Arial" w:hAnsi="Arial"/>
                <w:sz w:val="16"/>
              </w:rPr>
              <w:t>-1.5</w:t>
            </w:r>
          </w:p>
        </w:tc>
        <w:tc>
          <w:tcPr>
            <w:tcW w:type="dxa" w:w="1002"/>
          </w:tcPr>
          <w:p>
            <w:pPr>
              <w:spacing w:lineRule="auto" w:line="360"/>
              <w:jc w:val="left"/>
            </w:pPr>
            <w:r>
              <w:rPr>
                <w:rFonts w:ascii="Arial" w:hAnsi="Arial"/>
                <w:sz w:val="16"/>
              </w:rPr>
              <w:t>-5.0</w:t>
            </w:r>
          </w:p>
        </w:tc>
        <w:tc>
          <w:tcPr>
            <w:tcW w:type="dxa" w:w="1002"/>
          </w:tcPr>
          <w:p>
            <w:pPr>
              <w:spacing w:lineRule="auto" w:line="360"/>
              <w:jc w:val="left"/>
            </w:pPr>
            <w:r>
              <w:rPr>
                <w:rFonts w:ascii="Arial" w:hAnsi="Arial"/>
                <w:sz w:val="16"/>
              </w:rPr>
              <w:t>-6.5</w:t>
            </w:r>
          </w:p>
        </w:tc>
        <w:tc>
          <w:tcPr>
            <w:tcW w:type="dxa" w:w="1002"/>
          </w:tcPr>
          <w:p>
            <w:pPr>
              <w:spacing w:lineRule="auto" w:line="360"/>
              <w:jc w:val="left"/>
            </w:pPr>
            <w:r>
              <w:rPr>
                <w:rFonts w:ascii="Arial" w:hAnsi="Arial"/>
                <w:sz w:val="16"/>
              </w:rPr>
              <w:t>-1.5</w:t>
            </w:r>
          </w:p>
        </w:tc>
        <w:tc>
          <w:tcPr>
            <w:tcW w:type="dxa" w:w="1002"/>
          </w:tcPr>
          <w:p>
            <w:pPr>
              <w:spacing w:lineRule="auto" w:line="360"/>
              <w:jc w:val="left"/>
            </w:pPr>
            <w:r>
              <w:rPr>
                <w:rFonts w:ascii="Arial" w:hAnsi="Arial"/>
                <w:sz w:val="16"/>
              </w:rPr>
              <w:t>10</w:t>
            </w:r>
          </w:p>
        </w:tc>
        <w:tc>
          <w:tcPr>
            <w:tcW w:type="dxa" w:w="1002"/>
          </w:tcPr>
          <w:p>
            <w:pPr>
              <w:spacing w:lineRule="auto" w:line="360"/>
              <w:jc w:val="left"/>
            </w:pPr>
            <w:r>
              <w:rPr>
                <w:rFonts w:ascii="Arial" w:hAnsi="Arial"/>
                <w:sz w:val="16"/>
              </w:rPr>
              <w:t>8</w:t>
            </w:r>
          </w:p>
        </w:tc>
        <w:tc>
          <w:tcPr>
            <w:tcW w:type="dxa" w:w="1002"/>
          </w:tcPr>
          <w:p>
            <w:pPr>
              <w:spacing w:lineRule="auto" w:line="360"/>
              <w:jc w:val="left"/>
            </w:pPr>
            <w:r>
              <w:rPr>
                <w:rFonts w:ascii="Arial" w:hAnsi="Arial"/>
                <w:sz w:val="16"/>
              </w:rPr>
              <w:t>9</w:t>
            </w:r>
          </w:p>
        </w:tc>
      </w:tr>
    </w:tbl>
    <w:p>
      <w:pPr>
        <w:spacing w:before="0" w:after="120" w:line="276" w:lineRule="auto"/>
      </w:pPr>
      <w:r>
        <w:rPr>
          <w:rFonts w:ascii="Arial" w:hAnsi="Arial"/>
          <w:i/>
          <w:sz w:val="19"/>
          <w:szCs w:val="19"/>
          <w:color w:val="595959"/>
        </w:rPr>
        <w:t xml:space="preserve">Abbreviations: CR = Cross-Ratio (VH − VV in dB); DOY = Day-Of-Year; VH = Vertical-transmit Horizontal-receive polarisation; VV = Vertical-transmit Vertical-receive polarisation.</w:t>
      </w:r>
    </w:p>
    <w:p>
      <w:pPr>
        <w:spacing w:lineRule="auto" w:line="480"/>
        <w:jc w:val="left"/>
      </w:pPr>
      <w:r>
        <w:rPr>
          <w:rFonts w:ascii="Arial" w:hAnsi="Arial"/>
          <w:i/>
          <w:sz w:val="18"/>
        </w:rPr>
        <w:br/>
        <w:t>VH and VV are calibrated dual-polarisation backscatter in decibels (Sentinel-1 IW GRD). CR = VH − VV (dB) is the cross-ratio. Onset rate is the time from baseline to trough minimum. Recovery is the e-folding time from trough to within 1 dB of baseline. Values are canonical idealisations calibrated against Hoshikawa et al. (2023), Wali et al. (2020), Filipponi (2019), Konkathi et al. (2024), and Lee &amp; Pottier (2009); they specify the feature space exploited by the Module 02 random-forest classifier (§3.3) and are not produced by direct measurement.</w:t>
      </w:r>
    </w:p>
    <w:p>
      <w:pPr>
        <w:spacing w:lineRule="auto" w:line="480"/>
        <w:jc w:val="left"/>
      </w:pPr>
      <w:r>
        <w:rPr>
          <w:rFonts w:ascii="Arial" w:hAnsi="Arial"/>
          <w:sz w:val="20"/>
        </w:rPr>
        <w:br w:type="page"/>
      </w:r>
    </w:p>
    <w:p>
      <w:pPr>
        <w:keepNext/>
        <w:spacing w:before="240" w:after="120" w:line="276" w:lineRule="auto"/>
        <w:jc w:val="both"/>
      </w:pPr>
      <w:bookmarkStart w:id="99162" w:name="figure_s1"/>
      <w:r>
        <w:rPr>
          <w:rFonts w:ascii="Arial" w:hAnsi="Arial"/>
          <w:b/>
          <w:color w:val="1F3A5F"/>
          <w:sz w:val="32"/>
        </w:rPr>
        <w:t>Figure S1 — Pre-Kharif cyclone climatology</w:t>
      </w:r>
      <w:bookmarkEnd w:id="99162"/>
    </w:p>
    <w:p>
      <w:pPr>
        <w:spacing w:line="240" w:lineRule="auto"/>
        <w:jc w:val="center"/>
      </w:pPr>
      <w:r>
        <w:drawing>
          <wp:inline xmlns:a="http://schemas.openxmlformats.org/drawingml/2006/main" xmlns:pic="http://schemas.openxmlformats.org/drawingml/2006/picture">
            <wp:extent cx="6120000" cy="2465237"/>
            <wp:docPr id="4" name="Picture 4"/>
            <wp:cNvGraphicFramePr>
              <a:graphicFrameLocks noChangeAspect="1"/>
            </wp:cNvGraphicFramePr>
            <a:graphic>
              <a:graphicData uri="http://schemas.openxmlformats.org/drawingml/2006/picture">
                <pic:pic>
                  <pic:nvPicPr>
                    <pic:cNvPr id="0" name="figS1.png"/>
                    <pic:cNvPicPr/>
                  </pic:nvPicPr>
                  <pic:blipFill>
                    <a:blip r:embed="rId13"/>
                    <a:stretch>
                      <a:fillRect/>
                    </a:stretch>
                  </pic:blipFill>
                  <pic:spPr>
                    <a:xfrm>
                      <a:off x="0" y="0"/>
                      <a:ext cx="6120000" cy="2465237"/>
                    </a:xfrm>
                    <a:prstGeom prst="rect"/>
                  </pic:spPr>
                </pic:pic>
              </a:graphicData>
            </a:graphic>
          </wp:inline>
        </w:drawing>
      </w:r>
    </w:p>
    <w:p>
      <w:pPr>
        <w:spacing w:before="120" w:line="276" w:lineRule="auto"/>
        <w:jc w:val="both"/>
      </w:pPr>
      <w:r>
        <w:rPr>
          <w:rFonts w:ascii="Arial" w:hAnsi="Arial"/>
          <w:b/>
          <w:sz w:val="18"/>
        </w:rPr>
        <w:t>Figure S1. (A) Track-genesis schematic; (B) intensity-vs-day-of-year (DOY) scatter on Saffir-Simpson bands. Fani (2019), Amphan (2020), Yaas (2021) shown against the n = 19 IBTrACS 1981–2018 reference distribution of pre-Kharif Bay-of-Bengal systems.</w:t>
      </w:r>
      <w:r>
        <w:rPr>
          <w:rFonts w:ascii="Arial" w:hAnsi="Arial"/>
          <w:i/>
          <w:sz w:val="18"/>
        </w:rPr>
      </w:r>
    </w:p>
    <w:p>
      <w:pPr>
        <w:spacing w:lineRule="auto" w:line="480"/>
        <w:jc w:val="left"/>
      </w:pPr>
      <w:r>
        <w:rPr>
          <w:rFonts w:ascii="Arial" w:hAnsi="Arial"/>
          <w:sz w:val="20"/>
        </w:rPr>
        <w:br w:type="page"/>
      </w:r>
    </w:p>
    <w:p>
      <w:pPr>
        <w:keepNext/>
        <w:spacing w:before="240" w:after="120" w:line="276" w:lineRule="auto"/>
        <w:jc w:val="both"/>
      </w:pPr>
      <w:bookmarkStart w:id="92975" w:name="figure_s2"/>
      <w:r>
        <w:rPr>
          <w:rFonts w:ascii="Arial" w:hAnsi="Arial"/>
          <w:b/>
          <w:color w:val="1F3A5F"/>
          <w:sz w:val="32"/>
        </w:rPr>
        <w:t>Figure S2 — Canonical Sentinel-1 backscatter signatures</w:t>
      </w:r>
      <w:bookmarkEnd w:id="92975"/>
    </w:p>
    <w:p>
      <w:pPr>
        <w:spacing w:line="240" w:lineRule="auto"/>
        <w:jc w:val="center"/>
      </w:pPr>
      <w:r>
        <w:drawing>
          <wp:inline xmlns:a="http://schemas.openxmlformats.org/drawingml/2006/main" xmlns:pic="http://schemas.openxmlformats.org/drawingml/2006/picture">
            <wp:extent cx="6120000" cy="5798354"/>
            <wp:docPr id="3" name="Picture 3"/>
            <wp:cNvGraphicFramePr>
              <a:graphicFrameLocks noChangeAspect="1"/>
            </wp:cNvGraphicFramePr>
            <a:graphic>
              <a:graphicData uri="http://schemas.openxmlformats.org/drawingml/2006/picture">
                <pic:pic>
                  <pic:nvPicPr>
                    <pic:cNvPr id="0" name="figS2.png"/>
                    <pic:cNvPicPr/>
                  </pic:nvPicPr>
                  <pic:blipFill>
                    <a:blip r:embed="rId12"/>
                    <a:stretch>
                      <a:fillRect/>
                    </a:stretch>
                  </pic:blipFill>
                  <pic:spPr>
                    <a:xfrm>
                      <a:off x="0" y="0"/>
                      <a:ext cx="6120000" cy="5798354"/>
                    </a:xfrm>
                    <a:prstGeom prst="rect"/>
                  </pic:spPr>
                </pic:pic>
              </a:graphicData>
            </a:graphic>
          </wp:inline>
        </w:drawing>
      </w:r>
    </w:p>
    <w:p>
      <w:pPr>
        <w:spacing w:before="120" w:line="276" w:lineRule="auto"/>
        <w:jc w:val="both"/>
      </w:pPr>
      <w:r>
        <w:rPr>
          <w:rFonts w:ascii="Arial" w:hAnsi="Arial"/>
          <w:b/>
          <w:sz w:val="18"/>
        </w:rPr>
        <w:t xml:space="preserve">Figure S2. </w:t>
      </w:r>
      <w:r>
        <w:rPr>
          <w:rFonts w:ascii="Arial" w:hAnsi="Arial"/>
          <w:i/>
          <w:sz w:val="18"/>
        </w:rPr>
        <w:t>Three-panel stack (VH cross-pol, VV co-pol, CR cross-ratio vs day-of-year) for transplanting flood, saline storm-surge, and freshwater rainfall ponding mechanisms. Onset markers and ΔVH callouts annotate the discriminating feature space exploited by the Module 02 random-forest classifier.</w:t>
      </w:r>
    </w:p>
    <w:p>
      <w:r>
        <w:br w:type="page"/>
      </w:r>
    </w:p>
    <w:p>
      <w:pPr>
        <w:pStyle w:val="Heading2"/>
      </w:pPr>
      <w:r>
        <w:rPr>
          <w:rFonts w:ascii="Arial" w:hAnsi="Arial"/>
        </w:rPr>
        <w:t>Table S10 — MCD12Q2 per-district reconciliation</w:t>
      </w:r>
    </w:p>
    <w:p>
      <w:pPr>
        <w:spacing w:line="276" w:lineRule="auto" w:after="120"/>
      </w:pPr>
      <w:r>
        <w:rPr>
          <w:rFonts w:ascii="Arial" w:hAnsi="Arial"/>
          <w:i/>
          <w:sz w:val="20"/>
        </w:rPr>
        <w:t>Table S10.  Per-district reconciliation of v2.1 bias-corrected SOS against MODIS MCD12Q2 native temporal resolution. Columns: number of years (n_years), raw and v2.1 SOS medians (DOY), mean and maximum |Δ| in days, ratio of max |Δ| to the MCD12Q2 8-day quantum, and a yes/no flag for being below the 4-day Nyquist threshold. All eight districts and the pooled summary fall well below the MCD12Q2 native temporal resolution, demonstrating that the v2.1 correction lies within the noise floor of the reference product.</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76" w:lineRule="auto"/>
            </w:pPr>
            <w:r>
              <w:rPr>
                <w:rFonts w:ascii="Arial" w:hAnsi="Arial"/>
                <w:b/>
                <w:sz w:val="18"/>
              </w:rPr>
              <w:t>district</w:t>
            </w:r>
          </w:p>
        </w:tc>
        <w:tc>
          <w:tcPr>
            <w:tcW w:type="dxa" w:w="1134"/>
          </w:tcPr>
          <w:p>
            <w:pPr>
              <w:spacing w:line="276" w:lineRule="auto"/>
            </w:pPr>
            <w:r>
              <w:rPr>
                <w:rFonts w:ascii="Arial" w:hAnsi="Arial"/>
                <w:b/>
                <w:sz w:val="18"/>
              </w:rPr>
              <w:t>n_years</w:t>
            </w:r>
          </w:p>
        </w:tc>
        <w:tc>
          <w:tcPr>
            <w:tcW w:type="dxa" w:w="1134"/>
          </w:tcPr>
          <w:p>
            <w:pPr>
              <w:spacing w:line="276" w:lineRule="auto"/>
            </w:pPr>
            <w:r>
              <w:rPr>
                <w:rFonts w:ascii="Arial" w:hAnsi="Arial"/>
                <w:b/>
                <w:sz w:val="18"/>
              </w:rPr>
              <w:t>raw_sos_median_d</w:t>
            </w:r>
          </w:p>
        </w:tc>
        <w:tc>
          <w:tcPr>
            <w:tcW w:type="dxa" w:w="1134"/>
          </w:tcPr>
          <w:p>
            <w:pPr>
              <w:spacing w:line="276" w:lineRule="auto"/>
            </w:pPr>
            <w:r>
              <w:rPr>
                <w:rFonts w:ascii="Arial" w:hAnsi="Arial"/>
                <w:b/>
                <w:sz w:val="18"/>
              </w:rPr>
              <w:t>v21_sos_median_d</w:t>
            </w:r>
          </w:p>
        </w:tc>
        <w:tc>
          <w:tcPr>
            <w:tcW w:type="dxa" w:w="1134"/>
          </w:tcPr>
          <w:p>
            <w:pPr>
              <w:spacing w:line="276" w:lineRule="auto"/>
            </w:pPr>
            <w:r>
              <w:rPr>
                <w:rFonts w:ascii="Arial" w:hAnsi="Arial"/>
                <w:b/>
                <w:sz w:val="18"/>
              </w:rPr>
              <w:t>mean_abs_delta_d</w:t>
            </w:r>
          </w:p>
        </w:tc>
        <w:tc>
          <w:tcPr>
            <w:tcW w:type="dxa" w:w="1134"/>
          </w:tcPr>
          <w:p>
            <w:pPr>
              <w:spacing w:line="276" w:lineRule="auto"/>
            </w:pPr>
            <w:r>
              <w:rPr>
                <w:rFonts w:ascii="Arial" w:hAnsi="Arial"/>
                <w:b/>
                <w:sz w:val="18"/>
              </w:rPr>
              <w:t>max_abs_delta_d</w:t>
            </w:r>
          </w:p>
        </w:tc>
        <w:tc>
          <w:tcPr>
            <w:tcW w:type="dxa" w:w="1134"/>
          </w:tcPr>
          <w:p>
            <w:pPr>
              <w:spacing w:line="276" w:lineRule="auto"/>
            </w:pPr>
            <w:r>
              <w:rPr>
                <w:rFonts w:ascii="Arial" w:hAnsi="Arial"/>
                <w:b/>
                <w:sz w:val="18"/>
              </w:rPr>
              <w:t>ratio_to_quantum</w:t>
            </w:r>
          </w:p>
        </w:tc>
        <w:tc>
          <w:tcPr>
            <w:tcW w:type="dxa" w:w="1134"/>
          </w:tcPr>
          <w:p>
            <w:pPr>
              <w:spacing w:line="276" w:lineRule="auto"/>
            </w:pPr>
            <w:r>
              <w:rPr>
                <w:rFonts w:ascii="Arial" w:hAnsi="Arial"/>
                <w:b/>
                <w:sz w:val="18"/>
              </w:rPr>
              <w:t>below_nyquist</w:t>
            </w:r>
          </w:p>
        </w:tc>
      </w:tr>
      <w:tr>
        <w:tc>
          <w:tcPr>
            <w:tcW w:type="dxa" w:w="1134"/>
          </w:tcPr>
          <w:p>
            <w:pPr>
              <w:spacing w:line="276" w:lineRule="auto"/>
            </w:pPr>
            <w:r>
              <w:rPr>
                <w:rFonts w:ascii="Arial" w:hAnsi="Arial"/>
                <w:sz w:val="18"/>
              </w:rPr>
              <w:t>Angul</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Baleshwar</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181.5000</w:t>
            </w:r>
          </w:p>
        </w:tc>
        <w:tc>
          <w:tcPr>
            <w:tcW w:type="dxa" w:w="1134"/>
          </w:tcPr>
          <w:p>
            <w:pPr>
              <w:spacing w:line="276" w:lineRule="auto"/>
            </w:pPr>
            <w:r>
              <w:rPr>
                <w:rFonts w:ascii="Arial" w:hAnsi="Arial"/>
                <w:sz w:val="18"/>
              </w:rPr>
              <w:t>181.5000</w:t>
            </w:r>
          </w:p>
        </w:tc>
        <w:tc>
          <w:tcPr>
            <w:tcW w:type="dxa" w:w="1134"/>
          </w:tcPr>
          <w:p>
            <w:pPr>
              <w:spacing w:line="276" w:lineRule="auto"/>
            </w:pPr>
            <w:r>
              <w:rPr>
                <w:rFonts w:ascii="Arial" w:hAnsi="Arial"/>
                <w:sz w:val="18"/>
              </w:rPr>
              <w:t>0.0150</w:t>
            </w:r>
          </w:p>
        </w:tc>
        <w:tc>
          <w:tcPr>
            <w:tcW w:type="dxa" w:w="1134"/>
          </w:tcPr>
          <w:p>
            <w:pPr>
              <w:spacing w:line="276" w:lineRule="auto"/>
            </w:pPr>
            <w:r>
              <w:rPr>
                <w:rFonts w:ascii="Arial" w:hAnsi="Arial"/>
                <w:sz w:val="18"/>
              </w:rPr>
              <w:t>0.0700</w:t>
            </w:r>
          </w:p>
        </w:tc>
        <w:tc>
          <w:tcPr>
            <w:tcW w:type="dxa" w:w="1134"/>
          </w:tcPr>
          <w:p>
            <w:pPr>
              <w:spacing w:line="276" w:lineRule="auto"/>
            </w:pPr>
            <w:r>
              <w:rPr>
                <w:rFonts w:ascii="Arial" w:hAnsi="Arial"/>
                <w:sz w:val="18"/>
              </w:rPr>
              <w:t>0.0087</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Bhadrak</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0.1400</w:t>
            </w:r>
          </w:p>
        </w:tc>
        <w:tc>
          <w:tcPr>
            <w:tcW w:type="dxa" w:w="1134"/>
          </w:tcPr>
          <w:p>
            <w:pPr>
              <w:spacing w:line="276" w:lineRule="auto"/>
            </w:pPr>
            <w:r>
              <w:rPr>
                <w:rFonts w:ascii="Arial" w:hAnsi="Arial"/>
                <w:sz w:val="18"/>
              </w:rPr>
              <w:t>1.0100</w:t>
            </w:r>
          </w:p>
        </w:tc>
        <w:tc>
          <w:tcPr>
            <w:tcW w:type="dxa" w:w="1134"/>
          </w:tcPr>
          <w:p>
            <w:pPr>
              <w:spacing w:line="276" w:lineRule="auto"/>
            </w:pPr>
            <w:r>
              <w:rPr>
                <w:rFonts w:ascii="Arial" w:hAnsi="Arial"/>
                <w:sz w:val="18"/>
              </w:rPr>
              <w:t>0.1262</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Cuttack</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0.0225</w:t>
            </w:r>
          </w:p>
        </w:tc>
        <w:tc>
          <w:tcPr>
            <w:tcW w:type="dxa" w:w="1134"/>
          </w:tcPr>
          <w:p>
            <w:pPr>
              <w:spacing w:line="276" w:lineRule="auto"/>
            </w:pPr>
            <w:r>
              <w:rPr>
                <w:rFonts w:ascii="Arial" w:hAnsi="Arial"/>
                <w:sz w:val="18"/>
              </w:rPr>
              <w:t>0.1800</w:t>
            </w:r>
          </w:p>
        </w:tc>
        <w:tc>
          <w:tcPr>
            <w:tcW w:type="dxa" w:w="1134"/>
          </w:tcPr>
          <w:p>
            <w:pPr>
              <w:spacing w:line="276" w:lineRule="auto"/>
            </w:pPr>
            <w:r>
              <w:rPr>
                <w:rFonts w:ascii="Arial" w:hAnsi="Arial"/>
                <w:sz w:val="18"/>
              </w:rPr>
              <w:t>0.0225</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Dhenkanal</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Jagatsinghpur</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211.5000</w:t>
            </w:r>
          </w:p>
        </w:tc>
        <w:tc>
          <w:tcPr>
            <w:tcW w:type="dxa" w:w="1134"/>
          </w:tcPr>
          <w:p>
            <w:pPr>
              <w:spacing w:line="276" w:lineRule="auto"/>
            </w:pPr>
            <w:r>
              <w:rPr>
                <w:rFonts w:ascii="Arial" w:hAnsi="Arial"/>
                <w:sz w:val="18"/>
              </w:rPr>
              <w:t>211.4800</w:t>
            </w:r>
          </w:p>
        </w:tc>
        <w:tc>
          <w:tcPr>
            <w:tcW w:type="dxa" w:w="1134"/>
          </w:tcPr>
          <w:p>
            <w:pPr>
              <w:spacing w:line="276" w:lineRule="auto"/>
            </w:pPr>
            <w:r>
              <w:rPr>
                <w:rFonts w:ascii="Arial" w:hAnsi="Arial"/>
                <w:sz w:val="18"/>
              </w:rPr>
              <w:t>0.0963</w:t>
            </w:r>
          </w:p>
        </w:tc>
        <w:tc>
          <w:tcPr>
            <w:tcW w:type="dxa" w:w="1134"/>
          </w:tcPr>
          <w:p>
            <w:pPr>
              <w:spacing w:line="276" w:lineRule="auto"/>
            </w:pPr>
            <w:r>
              <w:rPr>
                <w:rFonts w:ascii="Arial" w:hAnsi="Arial"/>
                <w:sz w:val="18"/>
              </w:rPr>
              <w:t>0.4600</w:t>
            </w:r>
          </w:p>
        </w:tc>
        <w:tc>
          <w:tcPr>
            <w:tcW w:type="dxa" w:w="1134"/>
          </w:tcPr>
          <w:p>
            <w:pPr>
              <w:spacing w:line="276" w:lineRule="auto"/>
            </w:pPr>
            <w:r>
              <w:rPr>
                <w:rFonts w:ascii="Arial" w:hAnsi="Arial"/>
                <w:sz w:val="18"/>
              </w:rPr>
              <w:t>0.0575</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Kendrapara</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195.9650</w:t>
            </w:r>
          </w:p>
        </w:tc>
        <w:tc>
          <w:tcPr>
            <w:tcW w:type="dxa" w:w="1134"/>
          </w:tcPr>
          <w:p>
            <w:pPr>
              <w:spacing w:line="276" w:lineRule="auto"/>
            </w:pPr>
            <w:r>
              <w:rPr>
                <w:rFonts w:ascii="Arial" w:hAnsi="Arial"/>
                <w:sz w:val="18"/>
              </w:rPr>
              <w:t>0.0738</w:t>
            </w:r>
          </w:p>
        </w:tc>
        <w:tc>
          <w:tcPr>
            <w:tcW w:type="dxa" w:w="1134"/>
          </w:tcPr>
          <w:p>
            <w:pPr>
              <w:spacing w:line="276" w:lineRule="auto"/>
            </w:pPr>
            <w:r>
              <w:rPr>
                <w:rFonts w:ascii="Arial" w:hAnsi="Arial"/>
                <w:sz w:val="18"/>
              </w:rPr>
              <w:t>0.4100</w:t>
            </w:r>
          </w:p>
        </w:tc>
        <w:tc>
          <w:tcPr>
            <w:tcW w:type="dxa" w:w="1134"/>
          </w:tcPr>
          <w:p>
            <w:pPr>
              <w:spacing w:line="276" w:lineRule="auto"/>
            </w:pPr>
            <w:r>
              <w:rPr>
                <w:rFonts w:ascii="Arial" w:hAnsi="Arial"/>
                <w:sz w:val="18"/>
              </w:rPr>
              <w:t>0.0512</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Puri</w:t>
            </w:r>
          </w:p>
        </w:tc>
        <w:tc>
          <w:tcPr>
            <w:tcW w:type="dxa" w:w="1134"/>
          </w:tcPr>
          <w:p>
            <w:pPr>
              <w:spacing w:line="276" w:lineRule="auto"/>
            </w:pPr>
            <w:r>
              <w:rPr>
                <w:rFonts w:ascii="Arial" w:hAnsi="Arial"/>
                <w:sz w:val="18"/>
              </w:rPr>
              <w:t>8</w:t>
            </w:r>
          </w:p>
        </w:tc>
        <w:tc>
          <w:tcPr>
            <w:tcW w:type="dxa" w:w="1134"/>
          </w:tcPr>
          <w:p>
            <w:pPr>
              <w:spacing w:line="276" w:lineRule="auto"/>
            </w:pPr>
            <w:r>
              <w:rPr>
                <w:rFonts w:ascii="Arial" w:hAnsi="Arial"/>
                <w:sz w:val="18"/>
              </w:rPr>
              <w:t>227.5000</w:t>
            </w:r>
          </w:p>
        </w:tc>
        <w:tc>
          <w:tcPr>
            <w:tcW w:type="dxa" w:w="1134"/>
          </w:tcPr>
          <w:p>
            <w:pPr>
              <w:spacing w:line="276" w:lineRule="auto"/>
            </w:pPr>
            <w:r>
              <w:rPr>
                <w:rFonts w:ascii="Arial" w:hAnsi="Arial"/>
                <w:sz w:val="18"/>
              </w:rPr>
              <w:t>227.5000</w:t>
            </w:r>
          </w:p>
        </w:tc>
        <w:tc>
          <w:tcPr>
            <w:tcW w:type="dxa" w:w="1134"/>
          </w:tcPr>
          <w:p>
            <w:pPr>
              <w:spacing w:line="276" w:lineRule="auto"/>
            </w:pPr>
            <w:r>
              <w:rPr>
                <w:rFonts w:ascii="Arial" w:hAnsi="Arial"/>
                <w:sz w:val="18"/>
              </w:rPr>
              <w:t>0.0512</w:t>
            </w:r>
          </w:p>
        </w:tc>
        <w:tc>
          <w:tcPr>
            <w:tcW w:type="dxa" w:w="1134"/>
          </w:tcPr>
          <w:p>
            <w:pPr>
              <w:spacing w:line="276" w:lineRule="auto"/>
            </w:pPr>
            <w:r>
              <w:rPr>
                <w:rFonts w:ascii="Arial" w:hAnsi="Arial"/>
                <w:sz w:val="18"/>
              </w:rPr>
              <w:t>0.3500</w:t>
            </w:r>
          </w:p>
        </w:tc>
        <w:tc>
          <w:tcPr>
            <w:tcW w:type="dxa" w:w="1134"/>
          </w:tcPr>
          <w:p>
            <w:pPr>
              <w:spacing w:line="276" w:lineRule="auto"/>
            </w:pPr>
            <w:r>
              <w:rPr>
                <w:rFonts w:ascii="Arial" w:hAnsi="Arial"/>
                <w:sz w:val="18"/>
              </w:rPr>
              <w:t>0.0437</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ALL (pooled)</w:t>
            </w:r>
          </w:p>
        </w:tc>
        <w:tc>
          <w:tcPr>
            <w:tcW w:type="dxa" w:w="1134"/>
          </w:tcPr>
          <w:p>
            <w:pPr>
              <w:spacing w:line="276" w:lineRule="auto"/>
            </w:pPr>
            <w:r>
              <w:rPr>
                <w:rFonts w:ascii="Arial" w:hAnsi="Arial"/>
                <w:sz w:val="18"/>
              </w:rPr>
              <w:t>64</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0.0498</w:t>
            </w:r>
          </w:p>
        </w:tc>
        <w:tc>
          <w:tcPr>
            <w:tcW w:type="dxa" w:w="1134"/>
          </w:tcPr>
          <w:p>
            <w:pPr>
              <w:spacing w:line="276" w:lineRule="auto"/>
            </w:pPr>
            <w:r>
              <w:rPr>
                <w:rFonts w:ascii="Arial" w:hAnsi="Arial"/>
                <w:sz w:val="18"/>
              </w:rPr>
              <w:t>1.0100</w:t>
            </w:r>
          </w:p>
        </w:tc>
        <w:tc>
          <w:tcPr>
            <w:tcW w:type="dxa" w:w="1134"/>
          </w:tcPr>
          <w:p>
            <w:pPr>
              <w:spacing w:line="276" w:lineRule="auto"/>
            </w:pPr>
            <w:r>
              <w:rPr>
                <w:rFonts w:ascii="Arial" w:hAnsi="Arial"/>
                <w:sz w:val="18"/>
              </w:rPr>
              <w:t>0.1262</w:t>
            </w:r>
          </w:p>
        </w:tc>
        <w:tc>
          <w:tcPr>
            <w:tcW w:type="dxa" w:w="1134"/>
          </w:tcPr>
          <w:p>
            <w:pPr>
              <w:spacing w:line="276" w:lineRule="auto"/>
            </w:pPr>
            <w:r>
              <w:rPr>
                <w:rFonts w:ascii="Arial" w:hAnsi="Arial"/>
                <w:sz w:val="18"/>
              </w:rPr>
              <w:t>Yes</w:t>
            </w:r>
          </w:p>
        </w:tc>
      </w:tr>
    </w:tbl>
    <w:p>
      <w:r>
        <w:rPr>
          <w:sz w:val="12"/>
        </w:rPr>
        <w:br/>
      </w:r>
    </w:p>
    <w:p>
      <w:pPr>
        <w:pStyle w:val="Heading2"/>
      </w:pPr>
      <w:r>
        <w:rPr>
          <w:rFonts w:ascii="Arial" w:hAnsi="Arial"/>
        </w:rPr>
        <w:t>Table S11 — ICRISAT VDSA Bhadrak reconciliation</w:t>
      </w:r>
    </w:p>
    <w:p>
      <w:pPr>
        <w:spacing w:line="276" w:lineRule="auto" w:after="120"/>
      </w:pPr>
      <w:r>
        <w:rPr>
          <w:rFonts w:ascii="Arial" w:hAnsi="Arial"/>
          <w:i/>
          <w:sz w:val="20"/>
        </w:rPr>
        <w:t>Table S11.  Year-by-year reconciliation of v2.1-corrected SOS for Bhadrak (the most cyclone-exposed coastal district) against ICRISAT VDSA village-panel inter-village SD benchmarks. The within_vdsa_sd column applies the conservative 5-day lower bound from Pandey (2018) and ICRISAT Odisha Bhoomi Chetana Annual Report 2019-20. The maximum correction (1.01 d in 2021, the Yaas year) is 20.2 % of the published 5-day inter-village SD; five of eight years have zero correction.</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76" w:lineRule="auto"/>
            </w:pPr>
            <w:r>
              <w:rPr>
                <w:rFonts w:ascii="Arial" w:hAnsi="Arial"/>
                <w:b/>
                <w:sz w:val="18"/>
              </w:rPr>
              <w:t>year</w:t>
            </w:r>
          </w:p>
        </w:tc>
        <w:tc>
          <w:tcPr>
            <w:tcW w:type="dxa" w:w="1134"/>
          </w:tcPr>
          <w:p>
            <w:pPr>
              <w:spacing w:line="276" w:lineRule="auto"/>
            </w:pPr>
            <w:r>
              <w:rPr>
                <w:rFonts w:ascii="Arial" w:hAnsi="Arial"/>
                <w:b/>
                <w:sz w:val="18"/>
              </w:rPr>
              <w:t>year_type</w:t>
            </w:r>
          </w:p>
        </w:tc>
        <w:tc>
          <w:tcPr>
            <w:tcW w:type="dxa" w:w="1134"/>
          </w:tcPr>
          <w:p>
            <w:pPr>
              <w:spacing w:line="276" w:lineRule="auto"/>
            </w:pPr>
            <w:r>
              <w:rPr>
                <w:rFonts w:ascii="Arial" w:hAnsi="Arial"/>
                <w:b/>
                <w:sz w:val="18"/>
              </w:rPr>
              <w:t>cyclone_exposure</w:t>
            </w:r>
          </w:p>
        </w:tc>
        <w:tc>
          <w:tcPr>
            <w:tcW w:type="dxa" w:w="1134"/>
          </w:tcPr>
          <w:p>
            <w:pPr>
              <w:spacing w:line="276" w:lineRule="auto"/>
            </w:pPr>
            <w:r>
              <w:rPr>
                <w:rFonts w:ascii="Arial" w:hAnsi="Arial"/>
                <w:b/>
                <w:sz w:val="18"/>
              </w:rPr>
              <w:t>raw_sos_doy</w:t>
            </w:r>
          </w:p>
        </w:tc>
        <w:tc>
          <w:tcPr>
            <w:tcW w:type="dxa" w:w="1134"/>
          </w:tcPr>
          <w:p>
            <w:pPr>
              <w:spacing w:line="276" w:lineRule="auto"/>
            </w:pPr>
            <w:r>
              <w:rPr>
                <w:rFonts w:ascii="Arial" w:hAnsi="Arial"/>
                <w:b/>
                <w:sz w:val="18"/>
              </w:rPr>
              <w:t>v21_sos_doy</w:t>
            </w:r>
          </w:p>
        </w:tc>
        <w:tc>
          <w:tcPr>
            <w:tcW w:type="dxa" w:w="1134"/>
          </w:tcPr>
          <w:p>
            <w:pPr>
              <w:spacing w:line="276" w:lineRule="auto"/>
            </w:pPr>
            <w:r>
              <w:rPr>
                <w:rFonts w:ascii="Arial" w:hAnsi="Arial"/>
                <w:b/>
                <w:sz w:val="18"/>
              </w:rPr>
              <w:t>delta_d</w:t>
            </w:r>
          </w:p>
        </w:tc>
        <w:tc>
          <w:tcPr>
            <w:tcW w:type="dxa" w:w="1134"/>
          </w:tcPr>
          <w:p>
            <w:pPr>
              <w:spacing w:line="276" w:lineRule="auto"/>
            </w:pPr>
            <w:r>
              <w:rPr>
                <w:rFonts w:ascii="Arial" w:hAnsi="Arial"/>
                <w:b/>
                <w:sz w:val="18"/>
              </w:rPr>
              <w:t>abs_delta_d</w:t>
            </w:r>
          </w:p>
        </w:tc>
        <w:tc>
          <w:tcPr>
            <w:tcW w:type="dxa" w:w="1134"/>
          </w:tcPr>
          <w:p>
            <w:pPr>
              <w:spacing w:line="276" w:lineRule="auto"/>
            </w:pPr>
            <w:r>
              <w:rPr>
                <w:rFonts w:ascii="Arial" w:hAnsi="Arial"/>
                <w:b/>
                <w:sz w:val="18"/>
              </w:rPr>
              <w:t>within_vdsa_sd</w:t>
            </w:r>
          </w:p>
        </w:tc>
      </w:tr>
      <w:tr>
        <w:tc>
          <w:tcPr>
            <w:tcW w:type="dxa" w:w="1134"/>
          </w:tcPr>
          <w:p>
            <w:pPr>
              <w:spacing w:line="276" w:lineRule="auto"/>
            </w:pPr>
            <w:r>
              <w:rPr>
                <w:rFonts w:ascii="Arial" w:hAnsi="Arial"/>
                <w:sz w:val="18"/>
              </w:rPr>
              <w:t>2017</w:t>
            </w:r>
          </w:p>
        </w:tc>
        <w:tc>
          <w:tcPr>
            <w:tcW w:type="dxa" w:w="1134"/>
          </w:tcPr>
          <w:p>
            <w:pPr>
              <w:spacing w:line="276" w:lineRule="auto"/>
            </w:pPr>
            <w:r>
              <w:rPr>
                <w:rFonts w:ascii="Arial" w:hAnsi="Arial"/>
                <w:sz w:val="18"/>
              </w:rPr>
              <w:t>control</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319.0000</w:t>
            </w:r>
          </w:p>
        </w:tc>
        <w:tc>
          <w:tcPr>
            <w:tcW w:type="dxa" w:w="1134"/>
          </w:tcPr>
          <w:p>
            <w:pPr>
              <w:spacing w:line="276" w:lineRule="auto"/>
            </w:pPr>
            <w:r>
              <w:rPr>
                <w:rFonts w:ascii="Arial" w:hAnsi="Arial"/>
                <w:sz w:val="18"/>
              </w:rPr>
              <w:t>319.0000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2018</w:t>
            </w:r>
          </w:p>
        </w:tc>
        <w:tc>
          <w:tcPr>
            <w:tcW w:type="dxa" w:w="1134"/>
          </w:tcPr>
          <w:p>
            <w:pPr>
              <w:spacing w:line="276" w:lineRule="auto"/>
            </w:pPr>
            <w:r>
              <w:rPr>
                <w:rFonts w:ascii="Arial" w:hAnsi="Arial"/>
                <w:sz w:val="18"/>
              </w:rPr>
              <w:t>control</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135.0000</w:t>
            </w:r>
          </w:p>
        </w:tc>
        <w:tc>
          <w:tcPr>
            <w:tcW w:type="dxa" w:w="1134"/>
          </w:tcPr>
          <w:p>
            <w:pPr>
              <w:spacing w:line="276" w:lineRule="auto"/>
            </w:pPr>
            <w:r>
              <w:rPr>
                <w:rFonts w:ascii="Arial" w:hAnsi="Arial"/>
                <w:sz w:val="18"/>
              </w:rPr>
              <w:t>135.0000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2019</w:t>
            </w:r>
          </w:p>
        </w:tc>
        <w:tc>
          <w:tcPr>
            <w:tcW w:type="dxa" w:w="1134"/>
          </w:tcPr>
          <w:p>
            <w:pPr>
              <w:spacing w:line="276" w:lineRule="auto"/>
            </w:pPr>
            <w:r>
              <w:rPr>
                <w:rFonts w:ascii="Arial" w:hAnsi="Arial"/>
                <w:sz w:val="18"/>
              </w:rPr>
              <w:t>treatment</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2020</w:t>
            </w:r>
          </w:p>
        </w:tc>
        <w:tc>
          <w:tcPr>
            <w:tcW w:type="dxa" w:w="1134"/>
          </w:tcPr>
          <w:p>
            <w:pPr>
              <w:spacing w:line="276" w:lineRule="auto"/>
            </w:pPr>
            <w:r>
              <w:rPr>
                <w:rFonts w:ascii="Arial" w:hAnsi="Arial"/>
                <w:sz w:val="18"/>
              </w:rPr>
              <w:t>treatment</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259.0000</w:t>
            </w:r>
          </w:p>
        </w:tc>
        <w:tc>
          <w:tcPr>
            <w:tcW w:type="dxa" w:w="1134"/>
          </w:tcPr>
          <w:p>
            <w:pPr>
              <w:spacing w:line="276" w:lineRule="auto"/>
            </w:pPr>
            <w:r>
              <w:rPr>
                <w:rFonts w:ascii="Arial" w:hAnsi="Arial"/>
                <w:sz w:val="18"/>
              </w:rPr>
              <w:t>258.8900</w:t>
            </w:r>
          </w:p>
        </w:tc>
        <w:tc>
          <w:tcPr>
            <w:tcW w:type="dxa" w:w="1134"/>
          </w:tcPr>
          <w:p>
            <w:pPr>
              <w:spacing w:line="276" w:lineRule="auto"/>
            </w:pPr>
            <w:r>
              <w:rPr>
                <w:rFonts w:ascii="Arial" w:hAnsi="Arial"/>
                <w:sz w:val="18"/>
              </w:rPr>
              <w:t>0.1100</w:t>
            </w:r>
          </w:p>
        </w:tc>
        <w:tc>
          <w:tcPr>
            <w:tcW w:type="dxa" w:w="1134"/>
          </w:tcPr>
          <w:p>
            <w:pPr>
              <w:spacing w:line="276" w:lineRule="auto"/>
            </w:pPr>
            <w:r>
              <w:rPr>
                <w:rFonts w:ascii="Arial" w:hAnsi="Arial"/>
                <w:sz w:val="18"/>
              </w:rPr>
              <w:t>0.1100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2021</w:t>
            </w:r>
          </w:p>
        </w:tc>
        <w:tc>
          <w:tcPr>
            <w:tcW w:type="dxa" w:w="1134"/>
          </w:tcPr>
          <w:p>
            <w:pPr>
              <w:spacing w:line="276" w:lineRule="auto"/>
            </w:pPr>
            <w:r>
              <w:rPr>
                <w:rFonts w:ascii="Arial" w:hAnsi="Arial"/>
                <w:sz w:val="18"/>
              </w:rPr>
              <w:t>treatment</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196.0000</w:t>
            </w:r>
          </w:p>
        </w:tc>
        <w:tc>
          <w:tcPr>
            <w:tcW w:type="dxa" w:w="1134"/>
          </w:tcPr>
          <w:p>
            <w:pPr>
              <w:spacing w:line="276" w:lineRule="auto"/>
            </w:pPr>
            <w:r>
              <w:rPr>
                <w:rFonts w:ascii="Arial" w:hAnsi="Arial"/>
                <w:sz w:val="18"/>
              </w:rPr>
              <w:t>194.9900</w:t>
            </w:r>
          </w:p>
        </w:tc>
        <w:tc>
          <w:tcPr>
            <w:tcW w:type="dxa" w:w="1134"/>
          </w:tcPr>
          <w:p>
            <w:pPr>
              <w:spacing w:line="276" w:lineRule="auto"/>
            </w:pPr>
            <w:r>
              <w:rPr>
                <w:rFonts w:ascii="Arial" w:hAnsi="Arial"/>
                <w:sz w:val="18"/>
              </w:rPr>
              <w:t>1.0100</w:t>
            </w:r>
          </w:p>
        </w:tc>
        <w:tc>
          <w:tcPr>
            <w:tcW w:type="dxa" w:w="1134"/>
          </w:tcPr>
          <w:p>
            <w:pPr>
              <w:spacing w:line="276" w:lineRule="auto"/>
            </w:pPr>
            <w:r>
              <w:rPr>
                <w:rFonts w:ascii="Arial" w:hAnsi="Arial"/>
                <w:sz w:val="18"/>
              </w:rPr>
              <w:t>1.0100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2022</w:t>
            </w:r>
          </w:p>
        </w:tc>
        <w:tc>
          <w:tcPr>
            <w:tcW w:type="dxa" w:w="1134"/>
          </w:tcPr>
          <w:p>
            <w:pPr>
              <w:spacing w:line="276" w:lineRule="auto"/>
            </w:pPr>
            <w:r>
              <w:rPr>
                <w:rFonts w:ascii="Arial" w:hAnsi="Arial"/>
                <w:sz w:val="18"/>
              </w:rPr>
              <w:t>control</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2023</w:t>
            </w:r>
          </w:p>
        </w:tc>
        <w:tc>
          <w:tcPr>
            <w:tcW w:type="dxa" w:w="1134"/>
          </w:tcPr>
          <w:p>
            <w:pPr>
              <w:spacing w:line="276" w:lineRule="auto"/>
            </w:pPr>
            <w:r>
              <w:rPr>
                <w:rFonts w:ascii="Arial" w:hAnsi="Arial"/>
                <w:sz w:val="18"/>
              </w:rPr>
              <w:t>control</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2024</w:t>
            </w:r>
          </w:p>
        </w:tc>
        <w:tc>
          <w:tcPr>
            <w:tcW w:type="dxa" w:w="1134"/>
          </w:tcPr>
          <w:p>
            <w:pPr>
              <w:spacing w:line="276" w:lineRule="auto"/>
            </w:pPr>
            <w:r>
              <w:rPr>
                <w:rFonts w:ascii="Arial" w:hAnsi="Arial"/>
                <w:sz w:val="18"/>
              </w:rPr>
              <w:t>control</w:t>
            </w:r>
          </w:p>
        </w:tc>
        <w:tc>
          <w:tcPr>
            <w:tcW w:type="dxa" w:w="1134"/>
          </w:tcPr>
          <w:p>
            <w:pPr>
              <w:spacing w:line="276" w:lineRule="auto"/>
            </w:pPr>
            <w:r>
              <w:rPr>
                <w:rFonts w:ascii="Arial" w:hAnsi="Arial"/>
                <w:sz w:val="18"/>
              </w:rPr>
              <w:t>coastal_treatment</w:t>
            </w:r>
          </w:p>
        </w:tc>
        <w:tc>
          <w:tcPr>
            <w:tcW w:type="dxa" w:w="1134"/>
          </w:tcPr>
          <w:p>
            <w:pPr>
              <w:spacing w:line="276" w:lineRule="auto"/>
            </w:pPr>
            <w:r>
              <w:rPr>
                <w:rFonts w:ascii="Arial" w:hAnsi="Arial"/>
                <w:sz w:val="18"/>
              </w:rPr>
              <w:t>197.0000</w:t>
            </w:r>
          </w:p>
        </w:tc>
        <w:tc>
          <w:tcPr>
            <w:tcW w:type="dxa" w:w="1134"/>
          </w:tcPr>
          <w:p>
            <w:pPr>
              <w:spacing w:line="276" w:lineRule="auto"/>
            </w:pPr>
            <w:r>
              <w:rPr>
                <w:rFonts w:ascii="Arial" w:hAnsi="Arial"/>
                <w:sz w:val="18"/>
              </w:rPr>
              <w:t>197.0000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Yes</w:t>
            </w:r>
          </w:p>
        </w:tc>
      </w:tr>
      <w:tr>
        <w:tc>
          <w:tcPr>
            <w:tcW w:type="dxa" w:w="1134"/>
          </w:tcPr>
          <w:p>
            <w:pPr>
              <w:spacing w:line="276" w:lineRule="auto"/>
            </w:pPr>
            <w:r>
              <w:rPr>
                <w:rFonts w:ascii="Arial" w:hAnsi="Arial"/>
                <w:sz w:val="18"/>
              </w:rPr>
              <w:t>SUMMARY</w:t>
            </w:r>
          </w:p>
        </w:tc>
        <w:tc>
          <w:tcPr>
            <w:tcW w:type="dxa" w:w="1134"/>
          </w:tcPr>
          <w:p>
            <w:pPr>
              <w:spacing w:line="276" w:lineRule="auto"/>
            </w:pPr>
            <w:r>
              <w:rPr>
                <w:rFonts w:ascii="Arial" w:hAnsi="Arial"/>
                <w:sz w:val="18"/>
              </w:rPr>
              <w:t>—</w:t>
            </w:r>
          </w:p>
        </w:tc>
        <w:tc>
          <w:tcPr>
            <w:tcW w:type="dxa" w:w="1134"/>
          </w:tcPr>
          <w:p>
            <w:pPr>
              <w:spacing w:line="276" w:lineRule="auto"/>
            </w:pPr>
            <w:r>
              <w:rPr>
                <w:rFonts w:ascii="Arial" w:hAnsi="Arial"/>
                <w:sz w:val="18"/>
              </w:rPr>
              <w:t>—</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258.0000</w:t>
            </w:r>
          </w:p>
        </w:tc>
        <w:tc>
          <w:tcPr>
            <w:tcW w:type="dxa" w:w="1134"/>
          </w:tcPr>
          <w:p>
            <w:pPr>
              <w:spacing w:line="276" w:lineRule="auto"/>
            </w:pPr>
            <w:r>
              <w:rPr>
                <w:rFonts w:ascii="Arial" w:hAnsi="Arial"/>
                <w:sz w:val="18"/>
              </w:rPr>
              <w:t>0.1400</w:t>
            </w:r>
          </w:p>
        </w:tc>
        <w:tc>
          <w:tcPr>
            <w:tcW w:type="dxa" w:w="1134"/>
          </w:tcPr>
          <w:p>
            <w:pPr>
              <w:spacing w:line="276" w:lineRule="auto"/>
            </w:pPr>
            <w:r>
              <w:rPr>
                <w:rFonts w:ascii="Arial" w:hAnsi="Arial"/>
                <w:sz w:val="18"/>
              </w:rPr>
              <w:t>1.0100</w:t>
            </w:r>
          </w:p>
        </w:tc>
        <w:tc>
          <w:tcPr>
            <w:tcW w:type="dxa" w:w="1134"/>
          </w:tcPr>
          <w:p>
            <w:pPr>
              <w:spacing w:line="276" w:lineRule="auto"/>
            </w:pPr>
            <w:r>
              <w:rPr>
                <w:rFonts w:ascii="Arial" w:hAnsi="Arial"/>
                <w:sz w:val="18"/>
              </w:rPr>
              <w:t>Yes</w:t>
            </w:r>
          </w:p>
        </w:tc>
      </w:tr>
    </w:tbl>
    <w:p>
      <w:r>
        <w:rPr>
          <w:sz w:val="12"/>
        </w:rPr>
        <w:br/>
      </w:r>
    </w:p>
    <w:p>
      <w:pPr>
        <w:pStyle w:val="Heading2"/>
      </w:pPr>
      <w:r>
        <w:rPr>
          <w:rFonts w:ascii="Arial" w:hAnsi="Arial"/>
        </w:rPr>
        <w:t>Table S12 — District yield-anomaly correlation cross-check</w:t>
      </w:r>
    </w:p>
    <w:p>
      <w:pPr>
        <w:spacing w:line="276" w:lineRule="auto" w:after="120"/>
      </w:pPr>
      <w:r>
        <w:rPr>
          <w:rFonts w:ascii="Arial" w:hAnsi="Arial"/>
          <w:i/>
          <w:sz w:val="20"/>
        </w:rPr>
        <w:t>Table S12.  Pearson and Spearman correlations between SOS anomalies (district-year SOS minus district mean) and a binary yield-loss-event indicator (Phailin 2013, Hudhud 2014, Titli 2018, Fani 2019, Bulbul 2019, Yaas 2021; DES-Agri Odisha, ICRISAT 2019-20, IFPRI 2014). Reported separately for the raw v1 panel and the v2.1 corrected panel. The Δ row shows that the corrected and raw correlations differ by Δr ≤ 0.01 — the corrected pipeline preserves the sign, magnitude and significance of the agronomic yield-anomaly signal.</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76" w:lineRule="auto"/>
            </w:pPr>
            <w:r>
              <w:rPr>
                <w:rFonts w:ascii="Arial" w:hAnsi="Arial"/>
                <w:b/>
                <w:sz w:val="18"/>
              </w:rPr>
              <w:t>pipeline</w:t>
            </w:r>
          </w:p>
        </w:tc>
        <w:tc>
          <w:tcPr>
            <w:tcW w:type="dxa" w:w="1134"/>
          </w:tcPr>
          <w:p>
            <w:pPr>
              <w:spacing w:line="276" w:lineRule="auto"/>
            </w:pPr>
            <w:r>
              <w:rPr>
                <w:rFonts w:ascii="Arial" w:hAnsi="Arial"/>
                <w:b/>
                <w:sz w:val="18"/>
              </w:rPr>
              <w:t>n_obs</w:t>
            </w:r>
          </w:p>
        </w:tc>
        <w:tc>
          <w:tcPr>
            <w:tcW w:type="dxa" w:w="1134"/>
          </w:tcPr>
          <w:p>
            <w:pPr>
              <w:spacing w:line="276" w:lineRule="auto"/>
            </w:pPr>
            <w:r>
              <w:rPr>
                <w:rFonts w:ascii="Arial" w:hAnsi="Arial"/>
                <w:b/>
                <w:sz w:val="18"/>
              </w:rPr>
              <w:t>pearson_r_all</w:t>
            </w:r>
          </w:p>
        </w:tc>
        <w:tc>
          <w:tcPr>
            <w:tcW w:type="dxa" w:w="1134"/>
          </w:tcPr>
          <w:p>
            <w:pPr>
              <w:spacing w:line="276" w:lineRule="auto"/>
            </w:pPr>
            <w:r>
              <w:rPr>
                <w:rFonts w:ascii="Arial" w:hAnsi="Arial"/>
                <w:b/>
                <w:sz w:val="18"/>
              </w:rPr>
              <w:t>pearson_p_all</w:t>
            </w:r>
          </w:p>
        </w:tc>
        <w:tc>
          <w:tcPr>
            <w:tcW w:type="dxa" w:w="1134"/>
          </w:tcPr>
          <w:p>
            <w:pPr>
              <w:spacing w:line="276" w:lineRule="auto"/>
            </w:pPr>
            <w:r>
              <w:rPr>
                <w:rFonts w:ascii="Arial" w:hAnsi="Arial"/>
                <w:b/>
                <w:sz w:val="18"/>
              </w:rPr>
              <w:t>spearman_r_all</w:t>
            </w:r>
          </w:p>
        </w:tc>
        <w:tc>
          <w:tcPr>
            <w:tcW w:type="dxa" w:w="1134"/>
          </w:tcPr>
          <w:p>
            <w:pPr>
              <w:spacing w:line="276" w:lineRule="auto"/>
            </w:pPr>
            <w:r>
              <w:rPr>
                <w:rFonts w:ascii="Arial" w:hAnsi="Arial"/>
                <w:b/>
                <w:sz w:val="18"/>
              </w:rPr>
              <w:t>spearman_p_all</w:t>
            </w:r>
          </w:p>
        </w:tc>
        <w:tc>
          <w:tcPr>
            <w:tcW w:type="dxa" w:w="1134"/>
          </w:tcPr>
          <w:p>
            <w:pPr>
              <w:spacing w:line="276" w:lineRule="auto"/>
            </w:pPr>
            <w:r>
              <w:rPr>
                <w:rFonts w:ascii="Arial" w:hAnsi="Arial"/>
                <w:b/>
                <w:sz w:val="18"/>
              </w:rPr>
              <w:t>pearson_r_coastal</w:t>
            </w:r>
          </w:p>
        </w:tc>
        <w:tc>
          <w:tcPr>
            <w:tcW w:type="dxa" w:w="1134"/>
          </w:tcPr>
          <w:p>
            <w:pPr>
              <w:spacing w:line="276" w:lineRule="auto"/>
            </w:pPr>
            <w:r>
              <w:rPr>
                <w:rFonts w:ascii="Arial" w:hAnsi="Arial"/>
                <w:b/>
                <w:sz w:val="18"/>
              </w:rPr>
              <w:t>pearson_p_coastal</w:t>
            </w:r>
          </w:p>
        </w:tc>
      </w:tr>
      <w:tr>
        <w:tc>
          <w:tcPr>
            <w:tcW w:type="dxa" w:w="1134"/>
          </w:tcPr>
          <w:p>
            <w:pPr>
              <w:spacing w:line="276" w:lineRule="auto"/>
            </w:pPr>
            <w:r>
              <w:rPr>
                <w:rFonts w:ascii="Arial" w:hAnsi="Arial"/>
                <w:sz w:val="18"/>
              </w:rPr>
              <w:t>raw</w:t>
            </w:r>
          </w:p>
        </w:tc>
        <w:tc>
          <w:tcPr>
            <w:tcW w:type="dxa" w:w="1134"/>
          </w:tcPr>
          <w:p>
            <w:pPr>
              <w:spacing w:line="276" w:lineRule="auto"/>
            </w:pPr>
            <w:r>
              <w:rPr>
                <w:rFonts w:ascii="Arial" w:hAnsi="Arial"/>
                <w:sz w:val="18"/>
              </w:rPr>
              <w:t>64</w:t>
            </w:r>
          </w:p>
        </w:tc>
        <w:tc>
          <w:tcPr>
            <w:tcW w:type="dxa" w:w="1134"/>
          </w:tcPr>
          <w:p>
            <w:pPr>
              <w:spacing w:line="276" w:lineRule="auto"/>
            </w:pPr>
            <w:r>
              <w:rPr>
                <w:rFonts w:ascii="Arial" w:hAnsi="Arial"/>
                <w:sz w:val="18"/>
              </w:rPr>
              <w:t>-0.2930</w:t>
            </w:r>
          </w:p>
        </w:tc>
        <w:tc>
          <w:tcPr>
            <w:tcW w:type="dxa" w:w="1134"/>
          </w:tcPr>
          <w:p>
            <w:pPr>
              <w:spacing w:line="276" w:lineRule="auto"/>
            </w:pPr>
            <w:r>
              <w:rPr>
                <w:rFonts w:ascii="Arial" w:hAnsi="Arial"/>
                <w:sz w:val="18"/>
              </w:rPr>
              <w:t>0.0188</w:t>
            </w:r>
          </w:p>
        </w:tc>
        <w:tc>
          <w:tcPr>
            <w:tcW w:type="dxa" w:w="1134"/>
          </w:tcPr>
          <w:p>
            <w:pPr>
              <w:spacing w:line="276" w:lineRule="auto"/>
            </w:pPr>
            <w:r>
              <w:rPr>
                <w:rFonts w:ascii="Arial" w:hAnsi="Arial"/>
                <w:sz w:val="18"/>
              </w:rPr>
              <w:t>-0.3026</w:t>
            </w:r>
          </w:p>
        </w:tc>
        <w:tc>
          <w:tcPr>
            <w:tcW w:type="dxa" w:w="1134"/>
          </w:tcPr>
          <w:p>
            <w:pPr>
              <w:spacing w:line="276" w:lineRule="auto"/>
            </w:pPr>
            <w:r>
              <w:rPr>
                <w:rFonts w:ascii="Arial" w:hAnsi="Arial"/>
                <w:sz w:val="18"/>
              </w:rPr>
              <w:t>0.0151</w:t>
            </w:r>
          </w:p>
        </w:tc>
        <w:tc>
          <w:tcPr>
            <w:tcW w:type="dxa" w:w="1134"/>
          </w:tcPr>
          <w:p>
            <w:pPr>
              <w:spacing w:line="276" w:lineRule="auto"/>
            </w:pPr>
            <w:r>
              <w:rPr>
                <w:rFonts w:ascii="Arial" w:hAnsi="Arial"/>
                <w:sz w:val="18"/>
              </w:rPr>
              <w:t>-0.4038</w:t>
            </w:r>
          </w:p>
        </w:tc>
        <w:tc>
          <w:tcPr>
            <w:tcW w:type="dxa" w:w="1134"/>
          </w:tcPr>
          <w:p>
            <w:pPr>
              <w:spacing w:line="276" w:lineRule="auto"/>
            </w:pPr>
            <w:r>
              <w:rPr>
                <w:rFonts w:ascii="Arial" w:hAnsi="Arial"/>
                <w:sz w:val="18"/>
              </w:rPr>
              <w:t>0.0098</w:t>
            </w:r>
          </w:p>
        </w:tc>
      </w:tr>
      <w:tr>
        <w:tc>
          <w:tcPr>
            <w:tcW w:type="dxa" w:w="1134"/>
          </w:tcPr>
          <w:p>
            <w:pPr>
              <w:spacing w:line="276" w:lineRule="auto"/>
            </w:pPr>
            <w:r>
              <w:rPr>
                <w:rFonts w:ascii="Arial" w:hAnsi="Arial"/>
                <w:sz w:val="18"/>
              </w:rPr>
              <w:t>corrected</w:t>
            </w:r>
          </w:p>
        </w:tc>
        <w:tc>
          <w:tcPr>
            <w:tcW w:type="dxa" w:w="1134"/>
          </w:tcPr>
          <w:p>
            <w:pPr>
              <w:spacing w:line="276" w:lineRule="auto"/>
            </w:pPr>
            <w:r>
              <w:rPr>
                <w:rFonts w:ascii="Arial" w:hAnsi="Arial"/>
                <w:sz w:val="18"/>
              </w:rPr>
              <w:t>64</w:t>
            </w:r>
          </w:p>
        </w:tc>
        <w:tc>
          <w:tcPr>
            <w:tcW w:type="dxa" w:w="1134"/>
          </w:tcPr>
          <w:p>
            <w:pPr>
              <w:spacing w:line="276" w:lineRule="auto"/>
            </w:pPr>
            <w:r>
              <w:rPr>
                <w:rFonts w:ascii="Arial" w:hAnsi="Arial"/>
                <w:sz w:val="18"/>
              </w:rPr>
              <w:t>-0.2942</w:t>
            </w:r>
          </w:p>
        </w:tc>
        <w:tc>
          <w:tcPr>
            <w:tcW w:type="dxa" w:w="1134"/>
          </w:tcPr>
          <w:p>
            <w:pPr>
              <w:spacing w:line="276" w:lineRule="auto"/>
            </w:pPr>
            <w:r>
              <w:rPr>
                <w:rFonts w:ascii="Arial" w:hAnsi="Arial"/>
                <w:sz w:val="18"/>
              </w:rPr>
              <w:t>0.0183</w:t>
            </w:r>
          </w:p>
        </w:tc>
        <w:tc>
          <w:tcPr>
            <w:tcW w:type="dxa" w:w="1134"/>
          </w:tcPr>
          <w:p>
            <w:pPr>
              <w:spacing w:line="276" w:lineRule="auto"/>
            </w:pPr>
            <w:r>
              <w:rPr>
                <w:rFonts w:ascii="Arial" w:hAnsi="Arial"/>
                <w:sz w:val="18"/>
              </w:rPr>
              <w:t>-0.3095</w:t>
            </w:r>
          </w:p>
        </w:tc>
        <w:tc>
          <w:tcPr>
            <w:tcW w:type="dxa" w:w="1134"/>
          </w:tcPr>
          <w:p>
            <w:pPr>
              <w:spacing w:line="276" w:lineRule="auto"/>
            </w:pPr>
            <w:r>
              <w:rPr>
                <w:rFonts w:ascii="Arial" w:hAnsi="Arial"/>
                <w:sz w:val="18"/>
              </w:rPr>
              <w:t>0.0128</w:t>
            </w:r>
          </w:p>
        </w:tc>
        <w:tc>
          <w:tcPr>
            <w:tcW w:type="dxa" w:w="1134"/>
          </w:tcPr>
          <w:p>
            <w:pPr>
              <w:spacing w:line="276" w:lineRule="auto"/>
            </w:pPr>
            <w:r>
              <w:rPr>
                <w:rFonts w:ascii="Arial" w:hAnsi="Arial"/>
                <w:sz w:val="18"/>
              </w:rPr>
              <w:t>-0.4052</w:t>
            </w:r>
          </w:p>
        </w:tc>
        <w:tc>
          <w:tcPr>
            <w:tcW w:type="dxa" w:w="1134"/>
          </w:tcPr>
          <w:p>
            <w:pPr>
              <w:spacing w:line="276" w:lineRule="auto"/>
            </w:pPr>
            <w:r>
              <w:rPr>
                <w:rFonts w:ascii="Arial" w:hAnsi="Arial"/>
                <w:sz w:val="18"/>
              </w:rPr>
              <w:t>0.0095</w:t>
            </w:r>
          </w:p>
        </w:tc>
      </w:tr>
      <w:tr>
        <w:tc>
          <w:tcPr>
            <w:tcW w:type="dxa" w:w="1134"/>
          </w:tcPr>
          <w:p>
            <w:pPr>
              <w:spacing w:line="276" w:lineRule="auto"/>
            </w:pPr>
            <w:r>
              <w:rPr>
                <w:rFonts w:ascii="Arial" w:hAnsi="Arial"/>
                <w:sz w:val="18"/>
              </w:rPr>
              <w:t>Δ (v21 − v1)</w:t>
            </w:r>
          </w:p>
        </w:tc>
        <w:tc>
          <w:tcPr>
            <w:tcW w:type="dxa" w:w="1134"/>
          </w:tcPr>
          <w:p>
            <w:pPr>
              <w:spacing w:line="276" w:lineRule="auto"/>
            </w:pPr>
            <w:r>
              <w:rPr>
                <w:rFonts w:ascii="Arial" w:hAnsi="Arial"/>
                <w:sz w:val="18"/>
              </w:rPr>
              <w:t>0</w:t>
            </w:r>
          </w:p>
        </w:tc>
        <w:tc>
          <w:tcPr>
            <w:tcW w:type="dxa" w:w="1134"/>
          </w:tcPr>
          <w:p>
            <w:pPr>
              <w:spacing w:line="276" w:lineRule="auto"/>
            </w:pPr>
            <w:r>
              <w:rPr>
                <w:rFonts w:ascii="Arial" w:hAnsi="Arial"/>
                <w:sz w:val="18"/>
              </w:rPr>
              <w:t>-0.0012</w:t>
            </w:r>
          </w:p>
        </w:tc>
        <w:tc>
          <w:tcPr>
            <w:tcW w:type="dxa" w:w="1134"/>
          </w:tcPr>
          <w:p>
            <w:pPr>
              <w:spacing w:line="276" w:lineRule="auto"/>
            </w:pPr>
            <w:r>
              <w:rPr>
                <w:rFonts w:ascii="Arial" w:hAnsi="Arial"/>
                <w:sz w:val="18"/>
              </w:rPr>
              <w:t>-4.836e-04</w:t>
            </w:r>
          </w:p>
        </w:tc>
        <w:tc>
          <w:tcPr>
            <w:tcW w:type="dxa" w:w="1134"/>
          </w:tcPr>
          <w:p>
            <w:pPr>
              <w:spacing w:line="276" w:lineRule="auto"/>
            </w:pPr>
            <w:r>
              <w:rPr>
                <w:rFonts w:ascii="Arial" w:hAnsi="Arial"/>
                <w:sz w:val="18"/>
              </w:rPr>
              <w:t>-0.0069</w:t>
            </w:r>
          </w:p>
        </w:tc>
        <w:tc>
          <w:tcPr>
            <w:tcW w:type="dxa" w:w="1134"/>
          </w:tcPr>
          <w:p>
            <w:pPr>
              <w:spacing w:line="276" w:lineRule="auto"/>
            </w:pPr>
            <w:r>
              <w:rPr>
                <w:rFonts w:ascii="Arial" w:hAnsi="Arial"/>
                <w:sz w:val="18"/>
              </w:rPr>
              <w:t>-0.0023</w:t>
            </w:r>
          </w:p>
        </w:tc>
        <w:tc>
          <w:tcPr>
            <w:tcW w:type="dxa" w:w="1134"/>
          </w:tcPr>
          <w:p>
            <w:pPr>
              <w:spacing w:line="276" w:lineRule="auto"/>
            </w:pPr>
            <w:r>
              <w:rPr>
                <w:rFonts w:ascii="Arial" w:hAnsi="Arial"/>
                <w:sz w:val="18"/>
              </w:rPr>
              <w:t>-0.0014</w:t>
            </w:r>
          </w:p>
        </w:tc>
        <w:tc>
          <w:tcPr>
            <w:tcW w:type="dxa" w:w="1134"/>
          </w:tcPr>
          <w:p>
            <w:pPr>
              <w:spacing w:line="276" w:lineRule="auto"/>
            </w:pPr>
            <w:r>
              <w:rPr>
                <w:rFonts w:ascii="Arial" w:hAnsi="Arial"/>
                <w:sz w:val="18"/>
              </w:rPr>
              <w:t>-2.786e-04</w:t>
            </w:r>
          </w:p>
        </w:tc>
      </w:tr>
    </w:tbl>
    <w:p>
      <w:r>
        <w:rPr>
          <w:sz w:val="12"/>
        </w:rPr>
        <w:br/>
      </w:r>
    </w:p>
    <w:p>
      <w:pPr>
        <w:pStyle w:val="Heading2"/>
      </w:pPr>
      <w:r>
        <w:rPr>
          <w:rFonts w:ascii="Arial" w:hAnsi="Arial"/>
        </w:rPr>
        <w:t>Table S13a — Odisha per-district cyclone-flood pixel share</w:t>
      </w:r>
    </w:p>
    <w:p>
      <w:pPr>
        <w:spacing w:line="276" w:lineRule="auto" w:after="120"/>
      </w:pPr>
      <w:r>
        <w:rPr>
          <w:rFonts w:ascii="Arial" w:hAnsi="Arial"/>
          <w:i/>
          <w:sz w:val="20"/>
        </w:rPr>
        <w:t>Table S13a.  Per-district share of pixels classified as cyclone-flood by the v0.3.0 classifier for the three identification cyclones (Fani 2019, Amphan 2020, Yaas 2021). Columns: share_&lt;cyclone&gt; = flood pixels / district area; area_km²_&lt;cyclone&gt; = absolute flooded area. Bhadrak (Yaas, 7.21 %) and Puri (Fani, 2.52 %) are the dominant signals; Angul and Dhenkanal (inland controls) carry essentially zero pixel share, as expected.</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76" w:lineRule="auto"/>
            </w:pPr>
            <w:r>
              <w:rPr>
                <w:rFonts w:ascii="Arial" w:hAnsi="Arial"/>
                <w:b/>
                <w:sz w:val="18"/>
              </w:rPr>
              <w:t>district</w:t>
            </w:r>
          </w:p>
        </w:tc>
        <w:tc>
          <w:tcPr>
            <w:tcW w:type="dxa" w:w="1296"/>
          </w:tcPr>
          <w:p>
            <w:pPr>
              <w:spacing w:line="276" w:lineRule="auto"/>
            </w:pPr>
            <w:r>
              <w:rPr>
                <w:rFonts w:ascii="Arial" w:hAnsi="Arial"/>
                <w:b/>
                <w:sz w:val="18"/>
              </w:rPr>
              <w:t>share_Amphan</w:t>
            </w:r>
          </w:p>
        </w:tc>
        <w:tc>
          <w:tcPr>
            <w:tcW w:type="dxa" w:w="1296"/>
          </w:tcPr>
          <w:p>
            <w:pPr>
              <w:spacing w:line="276" w:lineRule="auto"/>
            </w:pPr>
            <w:r>
              <w:rPr>
                <w:rFonts w:ascii="Arial" w:hAnsi="Arial"/>
                <w:b/>
                <w:sz w:val="18"/>
              </w:rPr>
              <w:t>share_Fani</w:t>
            </w:r>
          </w:p>
        </w:tc>
        <w:tc>
          <w:tcPr>
            <w:tcW w:type="dxa" w:w="1296"/>
          </w:tcPr>
          <w:p>
            <w:pPr>
              <w:spacing w:line="276" w:lineRule="auto"/>
            </w:pPr>
            <w:r>
              <w:rPr>
                <w:rFonts w:ascii="Arial" w:hAnsi="Arial"/>
                <w:b/>
                <w:sz w:val="18"/>
              </w:rPr>
              <w:t>share_Yaas</w:t>
            </w:r>
          </w:p>
        </w:tc>
        <w:tc>
          <w:tcPr>
            <w:tcW w:type="dxa" w:w="1296"/>
          </w:tcPr>
          <w:p>
            <w:pPr>
              <w:spacing w:line="276" w:lineRule="auto"/>
            </w:pPr>
            <w:r>
              <w:rPr>
                <w:rFonts w:ascii="Arial" w:hAnsi="Arial"/>
                <w:b/>
                <w:sz w:val="18"/>
              </w:rPr>
              <w:t>area_km2_Amphan</w:t>
            </w:r>
          </w:p>
        </w:tc>
        <w:tc>
          <w:tcPr>
            <w:tcW w:type="dxa" w:w="1296"/>
          </w:tcPr>
          <w:p>
            <w:pPr>
              <w:spacing w:line="276" w:lineRule="auto"/>
            </w:pPr>
            <w:r>
              <w:rPr>
                <w:rFonts w:ascii="Arial" w:hAnsi="Arial"/>
                <w:b/>
                <w:sz w:val="18"/>
              </w:rPr>
              <w:t>area_km2_Fani</w:t>
            </w:r>
          </w:p>
        </w:tc>
        <w:tc>
          <w:tcPr>
            <w:tcW w:type="dxa" w:w="1296"/>
          </w:tcPr>
          <w:p>
            <w:pPr>
              <w:spacing w:line="276" w:lineRule="auto"/>
            </w:pPr>
            <w:r>
              <w:rPr>
                <w:rFonts w:ascii="Arial" w:hAnsi="Arial"/>
                <w:b/>
                <w:sz w:val="18"/>
              </w:rPr>
              <w:t>area_km2_Yaas</w:t>
            </w:r>
          </w:p>
        </w:tc>
      </w:tr>
      <w:tr>
        <w:tc>
          <w:tcPr>
            <w:tcW w:type="dxa" w:w="1296"/>
          </w:tcPr>
          <w:p>
            <w:pPr>
              <w:spacing w:line="276" w:lineRule="auto"/>
            </w:pPr>
            <w:r>
              <w:rPr>
                <w:rFonts w:ascii="Arial" w:hAnsi="Arial"/>
                <w:sz w:val="18"/>
              </w:rPr>
              <w:t>Angul</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7.321e-06</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0.04679</w:t>
            </w:r>
          </w:p>
        </w:tc>
      </w:tr>
      <w:tr>
        <w:tc>
          <w:tcPr>
            <w:tcW w:type="dxa" w:w="1296"/>
          </w:tcPr>
          <w:p>
            <w:pPr>
              <w:spacing w:line="276" w:lineRule="auto"/>
            </w:pPr>
            <w:r>
              <w:rPr>
                <w:rFonts w:ascii="Arial" w:hAnsi="Arial"/>
                <w:sz w:val="18"/>
              </w:rPr>
              <w:t>Baleshwar</w:t>
            </w:r>
          </w:p>
        </w:tc>
        <w:tc>
          <w:tcPr>
            <w:tcW w:type="dxa" w:w="1296"/>
          </w:tcPr>
          <w:p>
            <w:pPr>
              <w:spacing w:line="276" w:lineRule="auto"/>
            </w:pPr>
            <w:r>
              <w:rPr>
                <w:rFonts w:ascii="Arial" w:hAnsi="Arial"/>
                <w:sz w:val="18"/>
              </w:rPr>
              <w:t>0.00334</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0.00529</w:t>
            </w:r>
          </w:p>
        </w:tc>
        <w:tc>
          <w:tcPr>
            <w:tcW w:type="dxa" w:w="1296"/>
          </w:tcPr>
          <w:p>
            <w:pPr>
              <w:spacing w:line="276" w:lineRule="auto"/>
            </w:pPr>
            <w:r>
              <w:rPr>
                <w:rFonts w:ascii="Arial" w:hAnsi="Arial"/>
                <w:sz w:val="18"/>
              </w:rPr>
              <w:t>12.35114</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19.56558</w:t>
            </w:r>
          </w:p>
        </w:tc>
      </w:tr>
      <w:tr>
        <w:tc>
          <w:tcPr>
            <w:tcW w:type="dxa" w:w="1296"/>
          </w:tcPr>
          <w:p>
            <w:pPr>
              <w:spacing w:line="276" w:lineRule="auto"/>
            </w:pPr>
            <w:r>
              <w:rPr>
                <w:rFonts w:ascii="Arial" w:hAnsi="Arial"/>
                <w:sz w:val="18"/>
              </w:rPr>
              <w:t>Bhadrak</w:t>
            </w:r>
          </w:p>
        </w:tc>
        <w:tc>
          <w:tcPr>
            <w:tcW w:type="dxa" w:w="1296"/>
          </w:tcPr>
          <w:p>
            <w:pPr>
              <w:spacing w:line="276" w:lineRule="auto"/>
            </w:pPr>
            <w:r>
              <w:rPr>
                <w:rFonts w:ascii="Arial" w:hAnsi="Arial"/>
                <w:sz w:val="18"/>
              </w:rPr>
              <w:t>0.00785</w:t>
            </w:r>
          </w:p>
        </w:tc>
        <w:tc>
          <w:tcPr>
            <w:tcW w:type="dxa" w:w="1296"/>
          </w:tcPr>
          <w:p>
            <w:pPr>
              <w:spacing w:line="276" w:lineRule="auto"/>
            </w:pPr>
            <w:r>
              <w:rPr>
                <w:rFonts w:ascii="Arial" w:hAnsi="Arial"/>
                <w:sz w:val="18"/>
              </w:rPr>
              <w:t>9.910e-04</w:t>
            </w:r>
          </w:p>
        </w:tc>
        <w:tc>
          <w:tcPr>
            <w:tcW w:type="dxa" w:w="1296"/>
          </w:tcPr>
          <w:p>
            <w:pPr>
              <w:spacing w:line="276" w:lineRule="auto"/>
            </w:pPr>
            <w:r>
              <w:rPr>
                <w:rFonts w:ascii="Arial" w:hAnsi="Arial"/>
                <w:sz w:val="18"/>
              </w:rPr>
              <w:t>0.07212</w:t>
            </w:r>
          </w:p>
        </w:tc>
        <w:tc>
          <w:tcPr>
            <w:tcW w:type="dxa" w:w="1296"/>
          </w:tcPr>
          <w:p>
            <w:pPr>
              <w:spacing w:line="276" w:lineRule="auto"/>
            </w:pPr>
            <w:r>
              <w:rPr>
                <w:rFonts w:ascii="Arial" w:hAnsi="Arial"/>
                <w:sz w:val="18"/>
              </w:rPr>
              <w:t>19.26695</w:t>
            </w:r>
          </w:p>
        </w:tc>
        <w:tc>
          <w:tcPr>
            <w:tcW w:type="dxa" w:w="1296"/>
          </w:tcPr>
          <w:p>
            <w:pPr>
              <w:spacing w:line="276" w:lineRule="auto"/>
            </w:pPr>
            <w:r>
              <w:rPr>
                <w:rFonts w:ascii="Arial" w:hAnsi="Arial"/>
                <w:sz w:val="18"/>
              </w:rPr>
              <w:t>2.42980</w:t>
            </w:r>
          </w:p>
        </w:tc>
        <w:tc>
          <w:tcPr>
            <w:tcW w:type="dxa" w:w="1296"/>
          </w:tcPr>
          <w:p>
            <w:pPr>
              <w:spacing w:line="276" w:lineRule="auto"/>
            </w:pPr>
            <w:r>
              <w:rPr>
                <w:rFonts w:ascii="Arial" w:hAnsi="Arial"/>
                <w:sz w:val="18"/>
              </w:rPr>
              <w:t>177.01010</w:t>
            </w:r>
          </w:p>
        </w:tc>
      </w:tr>
      <w:tr>
        <w:tc>
          <w:tcPr>
            <w:tcW w:type="dxa" w:w="1296"/>
          </w:tcPr>
          <w:p>
            <w:pPr>
              <w:spacing w:line="276" w:lineRule="auto"/>
            </w:pPr>
            <w:r>
              <w:rPr>
                <w:rFonts w:ascii="Arial" w:hAnsi="Arial"/>
                <w:sz w:val="18"/>
              </w:rPr>
              <w:t>Cuttack</w:t>
            </w:r>
          </w:p>
        </w:tc>
        <w:tc>
          <w:tcPr>
            <w:tcW w:type="dxa" w:w="1296"/>
          </w:tcPr>
          <w:p>
            <w:pPr>
              <w:spacing w:line="276" w:lineRule="auto"/>
            </w:pPr>
            <w:r>
              <w:rPr>
                <w:rFonts w:ascii="Arial" w:hAnsi="Arial"/>
                <w:sz w:val="18"/>
              </w:rPr>
              <w:t>4.616e-05</w:t>
            </w:r>
          </w:p>
        </w:tc>
        <w:tc>
          <w:tcPr>
            <w:tcW w:type="dxa" w:w="1296"/>
          </w:tcPr>
          <w:p>
            <w:pPr>
              <w:spacing w:line="276" w:lineRule="auto"/>
            </w:pPr>
            <w:r>
              <w:rPr>
                <w:rFonts w:ascii="Arial" w:hAnsi="Arial"/>
                <w:sz w:val="18"/>
              </w:rPr>
              <w:t>0.01311</w:t>
            </w:r>
          </w:p>
        </w:tc>
        <w:tc>
          <w:tcPr>
            <w:tcW w:type="dxa" w:w="1296"/>
          </w:tcPr>
          <w:p>
            <w:pPr>
              <w:spacing w:line="276" w:lineRule="auto"/>
            </w:pPr>
            <w:r>
              <w:rPr>
                <w:rFonts w:ascii="Arial" w:hAnsi="Arial"/>
                <w:sz w:val="18"/>
              </w:rPr>
              <w:t>1.771e-04</w:t>
            </w:r>
          </w:p>
        </w:tc>
        <w:tc>
          <w:tcPr>
            <w:tcW w:type="dxa" w:w="1296"/>
          </w:tcPr>
          <w:p>
            <w:pPr>
              <w:spacing w:line="276" w:lineRule="auto"/>
            </w:pPr>
            <w:r>
              <w:rPr>
                <w:rFonts w:ascii="Arial" w:hAnsi="Arial"/>
                <w:sz w:val="18"/>
              </w:rPr>
              <w:t>0.18261</w:t>
            </w:r>
          </w:p>
        </w:tc>
        <w:tc>
          <w:tcPr>
            <w:tcW w:type="dxa" w:w="1296"/>
          </w:tcPr>
          <w:p>
            <w:pPr>
              <w:spacing w:line="276" w:lineRule="auto"/>
            </w:pPr>
            <w:r>
              <w:rPr>
                <w:rFonts w:ascii="Arial" w:hAnsi="Arial"/>
                <w:sz w:val="18"/>
              </w:rPr>
              <w:t>51.70720</w:t>
            </w:r>
          </w:p>
        </w:tc>
        <w:tc>
          <w:tcPr>
            <w:tcW w:type="dxa" w:w="1296"/>
          </w:tcPr>
          <w:p>
            <w:pPr>
              <w:spacing w:line="276" w:lineRule="auto"/>
            </w:pPr>
            <w:r>
              <w:rPr>
                <w:rFonts w:ascii="Arial" w:hAnsi="Arial"/>
                <w:sz w:val="18"/>
              </w:rPr>
              <w:t>0.70065</w:t>
            </w:r>
          </w:p>
        </w:tc>
      </w:tr>
      <w:tr>
        <w:tc>
          <w:tcPr>
            <w:tcW w:type="dxa" w:w="1296"/>
          </w:tcPr>
          <w:p>
            <w:pPr>
              <w:spacing w:line="276" w:lineRule="auto"/>
            </w:pPr>
            <w:r>
              <w:rPr>
                <w:rFonts w:ascii="Arial" w:hAnsi="Arial"/>
                <w:sz w:val="18"/>
              </w:rPr>
              <w:t>Dhenkanal</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1.082e-05</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w:t>
            </w:r>
          </w:p>
        </w:tc>
        <w:tc>
          <w:tcPr>
            <w:tcW w:type="dxa" w:w="1296"/>
          </w:tcPr>
          <w:p>
            <w:pPr>
              <w:spacing w:line="276" w:lineRule="auto"/>
            </w:pPr>
            <w:r>
              <w:rPr>
                <w:rFonts w:ascii="Arial" w:hAnsi="Arial"/>
                <w:sz w:val="18"/>
              </w:rPr>
              <w:t>0.04864</w:t>
            </w:r>
          </w:p>
        </w:tc>
      </w:tr>
      <w:tr>
        <w:tc>
          <w:tcPr>
            <w:tcW w:type="dxa" w:w="1296"/>
          </w:tcPr>
          <w:p>
            <w:pPr>
              <w:spacing w:line="276" w:lineRule="auto"/>
            </w:pPr>
            <w:r>
              <w:rPr>
                <w:rFonts w:ascii="Arial" w:hAnsi="Arial"/>
                <w:sz w:val="18"/>
              </w:rPr>
              <w:t>Jagatsinghpur</w:t>
            </w:r>
          </w:p>
        </w:tc>
        <w:tc>
          <w:tcPr>
            <w:tcW w:type="dxa" w:w="1296"/>
          </w:tcPr>
          <w:p>
            <w:pPr>
              <w:spacing w:line="276" w:lineRule="auto"/>
            </w:pPr>
            <w:r>
              <w:rPr>
                <w:rFonts w:ascii="Arial" w:hAnsi="Arial"/>
                <w:sz w:val="18"/>
              </w:rPr>
              <w:t>0.01921</w:t>
            </w:r>
          </w:p>
        </w:tc>
        <w:tc>
          <w:tcPr>
            <w:tcW w:type="dxa" w:w="1296"/>
          </w:tcPr>
          <w:p>
            <w:pPr>
              <w:spacing w:line="276" w:lineRule="auto"/>
            </w:pPr>
            <w:r>
              <w:rPr>
                <w:rFonts w:ascii="Arial" w:hAnsi="Arial"/>
                <w:sz w:val="18"/>
              </w:rPr>
              <w:t>0.00291</w:t>
            </w:r>
          </w:p>
        </w:tc>
        <w:tc>
          <w:tcPr>
            <w:tcW w:type="dxa" w:w="1296"/>
          </w:tcPr>
          <w:p>
            <w:pPr>
              <w:spacing w:line="276" w:lineRule="auto"/>
            </w:pPr>
            <w:r>
              <w:rPr>
                <w:rFonts w:ascii="Arial" w:hAnsi="Arial"/>
                <w:sz w:val="18"/>
              </w:rPr>
              <w:t>0.03256</w:t>
            </w:r>
          </w:p>
        </w:tc>
        <w:tc>
          <w:tcPr>
            <w:tcW w:type="dxa" w:w="1296"/>
          </w:tcPr>
          <w:p>
            <w:pPr>
              <w:spacing w:line="276" w:lineRule="auto"/>
            </w:pPr>
            <w:r>
              <w:rPr>
                <w:rFonts w:ascii="Arial" w:hAnsi="Arial"/>
                <w:sz w:val="18"/>
              </w:rPr>
              <w:t>32.49060</w:t>
            </w:r>
          </w:p>
        </w:tc>
        <w:tc>
          <w:tcPr>
            <w:tcW w:type="dxa" w:w="1296"/>
          </w:tcPr>
          <w:p>
            <w:pPr>
              <w:spacing w:line="276" w:lineRule="auto"/>
            </w:pPr>
            <w:r>
              <w:rPr>
                <w:rFonts w:ascii="Arial" w:hAnsi="Arial"/>
                <w:sz w:val="18"/>
              </w:rPr>
              <w:t>4.86000</w:t>
            </w:r>
          </w:p>
        </w:tc>
        <w:tc>
          <w:tcPr>
            <w:tcW w:type="dxa" w:w="1296"/>
          </w:tcPr>
          <w:p>
            <w:pPr>
              <w:spacing w:line="276" w:lineRule="auto"/>
            </w:pPr>
            <w:r>
              <w:rPr>
                <w:rFonts w:ascii="Arial" w:hAnsi="Arial"/>
                <w:sz w:val="18"/>
              </w:rPr>
              <w:t>55.06754</w:t>
            </w:r>
          </w:p>
        </w:tc>
      </w:tr>
      <w:tr>
        <w:tc>
          <w:tcPr>
            <w:tcW w:type="dxa" w:w="1296"/>
          </w:tcPr>
          <w:p>
            <w:pPr>
              <w:spacing w:line="276" w:lineRule="auto"/>
            </w:pPr>
            <w:r>
              <w:rPr>
                <w:rFonts w:ascii="Arial" w:hAnsi="Arial"/>
                <w:sz w:val="18"/>
              </w:rPr>
              <w:t>Kendrapara</w:t>
            </w:r>
          </w:p>
        </w:tc>
        <w:tc>
          <w:tcPr>
            <w:tcW w:type="dxa" w:w="1296"/>
          </w:tcPr>
          <w:p>
            <w:pPr>
              <w:spacing w:line="276" w:lineRule="auto"/>
            </w:pPr>
            <w:r>
              <w:rPr>
                <w:rFonts w:ascii="Arial" w:hAnsi="Arial"/>
                <w:sz w:val="18"/>
              </w:rPr>
              <w:t>0.00790</w:t>
            </w:r>
          </w:p>
        </w:tc>
        <w:tc>
          <w:tcPr>
            <w:tcW w:type="dxa" w:w="1296"/>
          </w:tcPr>
          <w:p>
            <w:pPr>
              <w:spacing w:line="276" w:lineRule="auto"/>
            </w:pPr>
            <w:r>
              <w:rPr>
                <w:rFonts w:ascii="Arial" w:hAnsi="Arial"/>
                <w:sz w:val="18"/>
              </w:rPr>
              <w:t>0.00535</w:t>
            </w:r>
          </w:p>
        </w:tc>
        <w:tc>
          <w:tcPr>
            <w:tcW w:type="dxa" w:w="1296"/>
          </w:tcPr>
          <w:p>
            <w:pPr>
              <w:spacing w:line="276" w:lineRule="auto"/>
            </w:pPr>
            <w:r>
              <w:rPr>
                <w:rFonts w:ascii="Arial" w:hAnsi="Arial"/>
                <w:sz w:val="18"/>
              </w:rPr>
              <w:t>0.02903</w:t>
            </w:r>
          </w:p>
        </w:tc>
        <w:tc>
          <w:tcPr>
            <w:tcW w:type="dxa" w:w="1296"/>
          </w:tcPr>
          <w:p>
            <w:pPr>
              <w:spacing w:line="276" w:lineRule="auto"/>
            </w:pPr>
            <w:r>
              <w:rPr>
                <w:rFonts w:ascii="Arial" w:hAnsi="Arial"/>
                <w:sz w:val="18"/>
              </w:rPr>
              <w:t>19.61493</w:t>
            </w:r>
          </w:p>
        </w:tc>
        <w:tc>
          <w:tcPr>
            <w:tcW w:type="dxa" w:w="1296"/>
          </w:tcPr>
          <w:p>
            <w:pPr>
              <w:spacing w:line="276" w:lineRule="auto"/>
            </w:pPr>
            <w:r>
              <w:rPr>
                <w:rFonts w:ascii="Arial" w:hAnsi="Arial"/>
                <w:sz w:val="18"/>
              </w:rPr>
              <w:t>13.27270</w:t>
            </w:r>
          </w:p>
        </w:tc>
        <w:tc>
          <w:tcPr>
            <w:tcW w:type="dxa" w:w="1296"/>
          </w:tcPr>
          <w:p>
            <w:pPr>
              <w:spacing w:line="276" w:lineRule="auto"/>
            </w:pPr>
            <w:r>
              <w:rPr>
                <w:rFonts w:ascii="Arial" w:hAnsi="Arial"/>
                <w:sz w:val="18"/>
              </w:rPr>
              <w:t>72.05006</w:t>
            </w:r>
          </w:p>
        </w:tc>
      </w:tr>
      <w:tr>
        <w:tc>
          <w:tcPr>
            <w:tcW w:type="dxa" w:w="1296"/>
          </w:tcPr>
          <w:p>
            <w:pPr>
              <w:spacing w:line="276" w:lineRule="auto"/>
            </w:pPr>
            <w:r>
              <w:rPr>
                <w:rFonts w:ascii="Arial" w:hAnsi="Arial"/>
                <w:sz w:val="18"/>
              </w:rPr>
              <w:t>Puri</w:t>
            </w:r>
          </w:p>
        </w:tc>
        <w:tc>
          <w:tcPr>
            <w:tcW w:type="dxa" w:w="1296"/>
          </w:tcPr>
          <w:p>
            <w:pPr>
              <w:spacing w:line="276" w:lineRule="auto"/>
            </w:pPr>
            <w:r>
              <w:rPr>
                <w:rFonts w:ascii="Arial" w:hAnsi="Arial"/>
                <w:sz w:val="18"/>
              </w:rPr>
              <w:t>3.970e-04</w:t>
            </w:r>
          </w:p>
        </w:tc>
        <w:tc>
          <w:tcPr>
            <w:tcW w:type="dxa" w:w="1296"/>
          </w:tcPr>
          <w:p>
            <w:pPr>
              <w:spacing w:line="276" w:lineRule="auto"/>
            </w:pPr>
            <w:r>
              <w:rPr>
                <w:rFonts w:ascii="Arial" w:hAnsi="Arial"/>
                <w:sz w:val="18"/>
              </w:rPr>
              <w:t>0.02519</w:t>
            </w:r>
          </w:p>
        </w:tc>
        <w:tc>
          <w:tcPr>
            <w:tcW w:type="dxa" w:w="1296"/>
          </w:tcPr>
          <w:p>
            <w:pPr>
              <w:spacing w:line="276" w:lineRule="auto"/>
            </w:pPr>
            <w:r>
              <w:rPr>
                <w:rFonts w:ascii="Arial" w:hAnsi="Arial"/>
                <w:sz w:val="18"/>
              </w:rPr>
              <w:t>0.00418</w:t>
            </w:r>
          </w:p>
        </w:tc>
        <w:tc>
          <w:tcPr>
            <w:tcW w:type="dxa" w:w="1296"/>
          </w:tcPr>
          <w:p>
            <w:pPr>
              <w:spacing w:line="276" w:lineRule="auto"/>
            </w:pPr>
            <w:r>
              <w:rPr>
                <w:rFonts w:ascii="Arial" w:hAnsi="Arial"/>
                <w:sz w:val="18"/>
              </w:rPr>
              <w:t>1.39422</w:t>
            </w:r>
          </w:p>
        </w:tc>
        <w:tc>
          <w:tcPr>
            <w:tcW w:type="dxa" w:w="1296"/>
          </w:tcPr>
          <w:p>
            <w:pPr>
              <w:spacing w:line="276" w:lineRule="auto"/>
            </w:pPr>
            <w:r>
              <w:rPr>
                <w:rFonts w:ascii="Arial" w:hAnsi="Arial"/>
                <w:sz w:val="18"/>
              </w:rPr>
              <w:t>88.18240</w:t>
            </w:r>
          </w:p>
        </w:tc>
        <w:tc>
          <w:tcPr>
            <w:tcW w:type="dxa" w:w="1296"/>
          </w:tcPr>
          <w:p>
            <w:pPr>
              <w:spacing w:line="276" w:lineRule="auto"/>
            </w:pPr>
            <w:r>
              <w:rPr>
                <w:rFonts w:ascii="Arial" w:hAnsi="Arial"/>
                <w:sz w:val="18"/>
              </w:rPr>
              <w:t>14.68012</w:t>
            </w:r>
          </w:p>
        </w:tc>
      </w:tr>
    </w:tbl>
    <w:p>
      <w:r>
        <w:rPr>
          <w:sz w:val="12"/>
        </w:rPr>
        <w:br/>
      </w:r>
    </w:p>
    <w:p>
      <w:pPr>
        <w:pStyle w:val="Heading2"/>
      </w:pPr>
      <w:r>
        <w:rPr>
          <w:rFonts w:ascii="Arial" w:hAnsi="Arial"/>
        </w:rPr>
        <w:t>Table S13b — Hudhud (Andhra Pradesh) transferability</w:t>
      </w:r>
    </w:p>
    <w:p>
      <w:pPr>
        <w:spacing w:line="276" w:lineRule="auto" w:after="120"/>
      </w:pPr>
      <w:r>
        <w:rPr>
          <w:rFonts w:ascii="Arial" w:hAnsi="Arial"/>
          <w:i/>
          <w:sz w:val="20"/>
        </w:rPr>
        <w:t>Table S13b.  Structural transferability assessment for Cyclone Hudhud (Andhra Pradesh, 12 October 2014). The v0.3.0 classifier was trained on the Odisha cohort only; this table documents the published damage benchmarks, Copernicus EMS EMSR104 activation, and the recommended Stage-2 retraining protocol. Hudhud transferability is reported as a methodological extension and a §5.4 limitation, not as an in-distribution evaluation.</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spacing w:line="276" w:lineRule="auto"/>
            </w:pPr>
            <w:r>
              <w:rPr>
                <w:rFonts w:ascii="Arial" w:hAnsi="Arial"/>
                <w:b/>
                <w:sz w:val="18"/>
              </w:rPr>
              <w:t>metric</w:t>
            </w:r>
          </w:p>
        </w:tc>
        <w:tc>
          <w:tcPr>
            <w:tcW w:type="dxa" w:w="3024"/>
          </w:tcPr>
          <w:p>
            <w:pPr>
              <w:spacing w:line="276" w:lineRule="auto"/>
            </w:pPr>
            <w:r>
              <w:rPr>
                <w:rFonts w:ascii="Arial" w:hAnsi="Arial"/>
                <w:b/>
                <w:sz w:val="18"/>
              </w:rPr>
              <w:t>value</w:t>
            </w:r>
          </w:p>
        </w:tc>
        <w:tc>
          <w:tcPr>
            <w:tcW w:type="dxa" w:w="3024"/>
          </w:tcPr>
          <w:p>
            <w:pPr>
              <w:spacing w:line="276" w:lineRule="auto"/>
            </w:pPr>
            <w:r>
              <w:rPr>
                <w:rFonts w:ascii="Arial" w:hAnsi="Arial"/>
                <w:b/>
                <w:sz w:val="18"/>
              </w:rPr>
              <w:t>source</w:t>
            </w:r>
          </w:p>
        </w:tc>
      </w:tr>
      <w:tr>
        <w:tc>
          <w:tcPr>
            <w:tcW w:type="dxa" w:w="3024"/>
          </w:tcPr>
          <w:p>
            <w:pPr>
              <w:spacing w:line="276" w:lineRule="auto"/>
            </w:pPr>
            <w:r>
              <w:rPr>
                <w:rFonts w:ascii="Arial" w:hAnsi="Arial"/>
                <w:sz w:val="18"/>
              </w:rPr>
              <w:t>Training cohort (n cyclones)</w:t>
            </w:r>
          </w:p>
        </w:tc>
        <w:tc>
          <w:tcPr>
            <w:tcW w:type="dxa" w:w="3024"/>
          </w:tcPr>
          <w:p>
            <w:pPr>
              <w:spacing w:line="276" w:lineRule="auto"/>
            </w:pPr>
            <w:r>
              <w:rPr>
                <w:rFonts w:ascii="Arial" w:hAnsi="Arial"/>
                <w:sz w:val="18"/>
              </w:rPr>
              <w:t>3 (Fani 2019, Amphan 2020, Yaas 2021)</w:t>
            </w:r>
          </w:p>
        </w:tc>
        <w:tc>
          <w:tcPr>
            <w:tcW w:type="dxa" w:w="3024"/>
          </w:tcPr>
          <w:p>
            <w:pPr>
              <w:spacing w:line="276" w:lineRule="auto"/>
            </w:pPr>
            <w:r>
              <w:rPr>
                <w:rFonts w:ascii="Arial" w:hAnsi="Arial"/>
                <w:sz w:val="18"/>
              </w:rPr>
              <w:t>v0.3.0 model card</w:t>
            </w:r>
          </w:p>
        </w:tc>
      </w:tr>
      <w:tr>
        <w:tc>
          <w:tcPr>
            <w:tcW w:type="dxa" w:w="3024"/>
          </w:tcPr>
          <w:p>
            <w:pPr>
              <w:spacing w:line="276" w:lineRule="auto"/>
            </w:pPr>
            <w:r>
              <w:rPr>
                <w:rFonts w:ascii="Arial" w:hAnsi="Arial"/>
                <w:sz w:val="18"/>
              </w:rPr>
              <w:t>Training labels (n)</w:t>
            </w:r>
          </w:p>
        </w:tc>
        <w:tc>
          <w:tcPr>
            <w:tcW w:type="dxa" w:w="3024"/>
          </w:tcPr>
          <w:p>
            <w:pPr>
              <w:spacing w:line="276" w:lineRule="auto"/>
            </w:pPr>
            <w:r>
              <w:rPr>
                <w:rFonts w:ascii="Arial" w:hAnsi="Arial"/>
                <w:sz w:val="18"/>
              </w:rPr>
              <w:t>480</w:t>
            </w:r>
          </w:p>
        </w:tc>
        <w:tc>
          <w:tcPr>
            <w:tcW w:type="dxa" w:w="3024"/>
          </w:tcPr>
          <w:p>
            <w:pPr>
              <w:spacing w:line="276" w:lineRule="auto"/>
            </w:pPr>
            <w:r>
              <w:rPr>
                <w:rFonts w:ascii="Arial" w:hAnsi="Arial"/>
                <w:sz w:val="18"/>
              </w:rPr>
              <w:t>v0.3.0 model card</w:t>
            </w:r>
          </w:p>
        </w:tc>
      </w:tr>
      <w:tr>
        <w:tc>
          <w:tcPr>
            <w:tcW w:type="dxa" w:w="3024"/>
          </w:tcPr>
          <w:p>
            <w:pPr>
              <w:spacing w:line="276" w:lineRule="auto"/>
            </w:pPr>
            <w:r>
              <w:rPr>
                <w:rFonts w:ascii="Arial" w:hAnsi="Arial"/>
                <w:sz w:val="18"/>
              </w:rPr>
              <w:t>Hold-out OA (in-distribution, Odisha)</w:t>
            </w:r>
          </w:p>
        </w:tc>
        <w:tc>
          <w:tcPr>
            <w:tcW w:type="dxa" w:w="3024"/>
          </w:tcPr>
          <w:p>
            <w:pPr>
              <w:spacing w:line="276" w:lineRule="auto"/>
            </w:pPr>
            <w:r>
              <w:rPr>
                <w:rFonts w:ascii="Arial" w:hAnsi="Arial"/>
                <w:sz w:val="18"/>
              </w:rPr>
              <w:t>0.9896</w:t>
            </w:r>
          </w:p>
        </w:tc>
        <w:tc>
          <w:tcPr>
            <w:tcW w:type="dxa" w:w="3024"/>
          </w:tcPr>
          <w:p>
            <w:pPr>
              <w:spacing w:line="276" w:lineRule="auto"/>
            </w:pPr>
            <w:r>
              <w:rPr>
                <w:rFonts w:ascii="Arial" w:hAnsi="Arial"/>
                <w:sz w:val="18"/>
              </w:rPr>
              <w:t>v0.3.0 model card</w:t>
            </w:r>
          </w:p>
        </w:tc>
      </w:tr>
      <w:tr>
        <w:tc>
          <w:tcPr>
            <w:tcW w:type="dxa" w:w="3024"/>
          </w:tcPr>
          <w:p>
            <w:pPr>
              <w:spacing w:line="276" w:lineRule="auto"/>
            </w:pPr>
            <w:r>
              <w:rPr>
                <w:rFonts w:ascii="Arial" w:hAnsi="Arial"/>
                <w:sz w:val="18"/>
              </w:rPr>
              <w:t>5-fold CV OA (in-distribution, Odisha)</w:t>
            </w:r>
          </w:p>
        </w:tc>
        <w:tc>
          <w:tcPr>
            <w:tcW w:type="dxa" w:w="3024"/>
          </w:tcPr>
          <w:p>
            <w:pPr>
              <w:spacing w:line="276" w:lineRule="auto"/>
            </w:pPr>
            <w:r>
              <w:rPr>
                <w:rFonts w:ascii="Arial" w:hAnsi="Arial"/>
                <w:sz w:val="18"/>
              </w:rPr>
              <w:t>0.9958</w:t>
            </w:r>
          </w:p>
        </w:tc>
        <w:tc>
          <w:tcPr>
            <w:tcW w:type="dxa" w:w="3024"/>
          </w:tcPr>
          <w:p>
            <w:pPr>
              <w:spacing w:line="276" w:lineRule="auto"/>
            </w:pPr>
            <w:r>
              <w:rPr>
                <w:rFonts w:ascii="Arial" w:hAnsi="Arial"/>
                <w:sz w:val="18"/>
              </w:rPr>
              <w:t>v0.3.0 model card</w:t>
            </w:r>
          </w:p>
        </w:tc>
      </w:tr>
      <w:tr>
        <w:tc>
          <w:tcPr>
            <w:tcW w:type="dxa" w:w="3024"/>
          </w:tcPr>
          <w:p>
            <w:pPr>
              <w:spacing w:line="276" w:lineRule="auto"/>
            </w:pPr>
            <w:r>
              <w:rPr>
                <w:rFonts w:ascii="Arial" w:hAnsi="Arial"/>
                <w:sz w:val="18"/>
              </w:rPr>
              <w:t>Cyclone Hudhud (Oct 2014) landfall</w:t>
            </w:r>
          </w:p>
        </w:tc>
        <w:tc>
          <w:tcPr>
            <w:tcW w:type="dxa" w:w="3024"/>
          </w:tcPr>
          <w:p>
            <w:pPr>
              <w:spacing w:line="276" w:lineRule="auto"/>
            </w:pPr>
            <w:r>
              <w:rPr>
                <w:rFonts w:ascii="Arial" w:hAnsi="Arial"/>
                <w:sz w:val="18"/>
              </w:rPr>
              <w:t>Pudimadaka, ~50 km from Visakhapatnam</w:t>
            </w:r>
          </w:p>
        </w:tc>
        <w:tc>
          <w:tcPr>
            <w:tcW w:type="dxa" w:w="3024"/>
          </w:tcPr>
          <w:p>
            <w:pPr>
              <w:spacing w:line="276" w:lineRule="auto"/>
            </w:pPr>
            <w:r>
              <w:rPr>
                <w:rFonts w:ascii="Arial" w:hAnsi="Arial"/>
                <w:sz w:val="18"/>
              </w:rPr>
              <w:t>NDMA 2014; Red Cross AAR 2015</w:t>
            </w:r>
          </w:p>
        </w:tc>
      </w:tr>
      <w:tr>
        <w:tc>
          <w:tcPr>
            <w:tcW w:type="dxa" w:w="3024"/>
          </w:tcPr>
          <w:p>
            <w:pPr>
              <w:spacing w:line="276" w:lineRule="auto"/>
            </w:pPr>
            <w:r>
              <w:rPr>
                <w:rFonts w:ascii="Arial" w:hAnsi="Arial"/>
                <w:sz w:val="18"/>
              </w:rPr>
              <w:t>Hudhud worst-hit districts</w:t>
            </w:r>
          </w:p>
        </w:tc>
        <w:tc>
          <w:tcPr>
            <w:tcW w:type="dxa" w:w="3024"/>
          </w:tcPr>
          <w:p>
            <w:pPr>
              <w:spacing w:line="276" w:lineRule="auto"/>
            </w:pPr>
            <w:r>
              <w:rPr>
                <w:rFonts w:ascii="Arial" w:hAnsi="Arial"/>
                <w:sz w:val="18"/>
              </w:rPr>
              <w:t>Visakhapatnam, Vizianagaram, Srikakulam, East Godavari</w:t>
            </w:r>
          </w:p>
        </w:tc>
        <w:tc>
          <w:tcPr>
            <w:tcW w:type="dxa" w:w="3024"/>
          </w:tcPr>
          <w:p>
            <w:pPr>
              <w:spacing w:line="276" w:lineRule="auto"/>
            </w:pPr>
            <w:r>
              <w:rPr>
                <w:rFonts w:ascii="Arial" w:hAnsi="Arial"/>
                <w:sz w:val="18"/>
              </w:rPr>
              <w:t>NDMA 2014; IFRC Oct 2014</w:t>
            </w:r>
          </w:p>
        </w:tc>
      </w:tr>
      <w:tr>
        <w:tc>
          <w:tcPr>
            <w:tcW w:type="dxa" w:w="3024"/>
          </w:tcPr>
          <w:p>
            <w:pPr>
              <w:spacing w:line="276" w:lineRule="auto"/>
            </w:pPr>
            <w:r>
              <w:rPr>
                <w:rFonts w:ascii="Arial" w:hAnsi="Arial"/>
                <w:sz w:val="18"/>
              </w:rPr>
              <w:t>Copernicus EMS Hudhud activation</w:t>
            </w:r>
          </w:p>
        </w:tc>
        <w:tc>
          <w:tcPr>
            <w:tcW w:type="dxa" w:w="3024"/>
          </w:tcPr>
          <w:p>
            <w:pPr>
              <w:spacing w:line="276" w:lineRule="auto"/>
            </w:pPr>
            <w:r>
              <w:rPr>
                <w:rFonts w:ascii="Arial" w:hAnsi="Arial"/>
                <w:sz w:val="18"/>
              </w:rPr>
              <w:t>EMSR104 (14 Oct 2014); 9 reference + 9 delineation maps</w:t>
            </w:r>
          </w:p>
        </w:tc>
        <w:tc>
          <w:tcPr>
            <w:tcW w:type="dxa" w:w="3024"/>
          </w:tcPr>
          <w:p>
            <w:pPr>
              <w:spacing w:line="276" w:lineRule="auto"/>
            </w:pPr>
            <w:r>
              <w:rPr>
                <w:rFonts w:ascii="Arial" w:hAnsi="Arial"/>
                <w:sz w:val="18"/>
              </w:rPr>
              <w:t>Copernicus EMS; gisresources.com 2014</w:t>
            </w:r>
          </w:p>
        </w:tc>
      </w:tr>
      <w:tr>
        <w:tc>
          <w:tcPr>
            <w:tcW w:type="dxa" w:w="3024"/>
          </w:tcPr>
          <w:p>
            <w:pPr>
              <w:spacing w:line="276" w:lineRule="auto"/>
            </w:pPr>
            <w:r>
              <w:rPr>
                <w:rFonts w:ascii="Arial" w:hAnsi="Arial"/>
                <w:sz w:val="18"/>
              </w:rPr>
              <w:t>Visakhapatnam pre-Hudhud water (4 Oct 2014)</w:t>
            </w:r>
          </w:p>
        </w:tc>
        <w:tc>
          <w:tcPr>
            <w:tcW w:type="dxa" w:w="3024"/>
          </w:tcPr>
          <w:p>
            <w:pPr>
              <w:spacing w:line="276" w:lineRule="auto"/>
            </w:pPr>
            <w:r>
              <w:rPr>
                <w:rFonts w:ascii="Arial" w:hAnsi="Arial"/>
                <w:sz w:val="18"/>
              </w:rPr>
              <w:t>176.27 km²</w:t>
            </w:r>
          </w:p>
        </w:tc>
        <w:tc>
          <w:tcPr>
            <w:tcW w:type="dxa" w:w="3024"/>
          </w:tcPr>
          <w:p>
            <w:pPr>
              <w:spacing w:line="276" w:lineRule="auto"/>
            </w:pPr>
            <w:r>
              <w:rPr>
                <w:rFonts w:ascii="Arial" w:hAnsi="Arial"/>
                <w:sz w:val="18"/>
              </w:rPr>
              <w:t>ISPRS Annals II-2-W2 (2015)</w:t>
            </w:r>
          </w:p>
        </w:tc>
      </w:tr>
      <w:tr>
        <w:tc>
          <w:tcPr>
            <w:tcW w:type="dxa" w:w="3024"/>
          </w:tcPr>
          <w:p>
            <w:pPr>
              <w:spacing w:line="276" w:lineRule="auto"/>
            </w:pPr>
            <w:r>
              <w:rPr>
                <w:rFonts w:ascii="Arial" w:hAnsi="Arial"/>
                <w:sz w:val="18"/>
              </w:rPr>
              <w:t>Visakhapatnam pre-Hudhud cropland+sparse veg</w:t>
            </w:r>
          </w:p>
        </w:tc>
        <w:tc>
          <w:tcPr>
            <w:tcW w:type="dxa" w:w="3024"/>
          </w:tcPr>
          <w:p>
            <w:pPr>
              <w:spacing w:line="276" w:lineRule="auto"/>
            </w:pPr>
            <w:r>
              <w:rPr>
                <w:rFonts w:ascii="Arial" w:hAnsi="Arial"/>
                <w:sz w:val="18"/>
              </w:rPr>
              <w:t>275.01 km²</w:t>
            </w:r>
          </w:p>
        </w:tc>
        <w:tc>
          <w:tcPr>
            <w:tcW w:type="dxa" w:w="3024"/>
          </w:tcPr>
          <w:p>
            <w:pPr>
              <w:spacing w:line="276" w:lineRule="auto"/>
            </w:pPr>
            <w:r>
              <w:rPr>
                <w:rFonts w:ascii="Arial" w:hAnsi="Arial"/>
                <w:sz w:val="18"/>
              </w:rPr>
              <w:t>ISPRS Annals II-2-W2 (2015)</w:t>
            </w:r>
          </w:p>
        </w:tc>
      </w:tr>
      <w:tr>
        <w:tc>
          <w:tcPr>
            <w:tcW w:type="dxa" w:w="3024"/>
          </w:tcPr>
          <w:p>
            <w:pPr>
              <w:spacing w:line="276" w:lineRule="auto"/>
            </w:pPr>
            <w:r>
              <w:rPr>
                <w:rFonts w:ascii="Arial" w:hAnsi="Arial"/>
                <w:sz w:val="18"/>
              </w:rPr>
              <w:t>Damage assessment (Andhra Pradesh)</w:t>
            </w:r>
          </w:p>
        </w:tc>
        <w:tc>
          <w:tcPr>
            <w:tcW w:type="dxa" w:w="3024"/>
          </w:tcPr>
          <w:p>
            <w:pPr>
              <w:spacing w:line="276" w:lineRule="auto"/>
            </w:pPr>
            <w:r>
              <w:rPr>
                <w:rFonts w:ascii="Arial" w:hAnsi="Arial"/>
                <w:sz w:val="18"/>
              </w:rPr>
              <w:t>₹13,263 crore (~USD 2.16 B); 7,52,540 ag households</w:t>
            </w:r>
          </w:p>
        </w:tc>
        <w:tc>
          <w:tcPr>
            <w:tcW w:type="dxa" w:w="3024"/>
          </w:tcPr>
          <w:p>
            <w:pPr>
              <w:spacing w:line="276" w:lineRule="auto"/>
            </w:pPr>
            <w:r>
              <w:rPr>
                <w:rFonts w:ascii="Arial" w:hAnsi="Arial"/>
                <w:sz w:val="18"/>
              </w:rPr>
              <w:t>World Bank rapid assessment; NDMA 2014</w:t>
            </w:r>
          </w:p>
        </w:tc>
      </w:tr>
      <w:tr>
        <w:tc>
          <w:tcPr>
            <w:tcW w:type="dxa" w:w="3024"/>
          </w:tcPr>
          <w:p>
            <w:pPr>
              <w:spacing w:line="276" w:lineRule="auto"/>
            </w:pPr>
            <w:r>
              <w:rPr>
                <w:rFonts w:ascii="Arial" w:hAnsi="Arial"/>
                <w:sz w:val="18"/>
              </w:rPr>
              <w:t>Andhra-Odisha cropping calendar offset</w:t>
            </w:r>
          </w:p>
        </w:tc>
        <w:tc>
          <w:tcPr>
            <w:tcW w:type="dxa" w:w="3024"/>
          </w:tcPr>
          <w:p>
            <w:pPr>
              <w:spacing w:line="276" w:lineRule="auto"/>
            </w:pPr>
            <w:r>
              <w:rPr>
                <w:rFonts w:ascii="Arial" w:hAnsi="Arial"/>
                <w:sz w:val="18"/>
              </w:rPr>
              <w:t>~10–15 d lag (Andhra coastal kharif onset)</w:t>
            </w:r>
          </w:p>
        </w:tc>
        <w:tc>
          <w:tcPr>
            <w:tcW w:type="dxa" w:w="3024"/>
          </w:tcPr>
          <w:p>
            <w:pPr>
              <w:spacing w:line="276" w:lineRule="auto"/>
            </w:pPr>
            <w:r>
              <w:rPr>
                <w:rFonts w:ascii="Arial" w:hAnsi="Arial"/>
                <w:sz w:val="18"/>
              </w:rPr>
              <w:t>IMD agromet bulletins; ICAR-CRIDA</w:t>
            </w:r>
          </w:p>
        </w:tc>
      </w:tr>
      <w:tr>
        <w:tc>
          <w:tcPr>
            <w:tcW w:type="dxa" w:w="3024"/>
          </w:tcPr>
          <w:p>
            <w:pPr>
              <w:spacing w:line="276" w:lineRule="auto"/>
            </w:pPr>
            <w:r>
              <w:rPr>
                <w:rFonts w:ascii="Arial" w:hAnsi="Arial"/>
                <w:sz w:val="18"/>
              </w:rPr>
              <w:t>Expected OA penalty under domain shift</w:t>
            </w:r>
          </w:p>
        </w:tc>
        <w:tc>
          <w:tcPr>
            <w:tcW w:type="dxa" w:w="3024"/>
          </w:tcPr>
          <w:p>
            <w:pPr>
              <w:spacing w:line="276" w:lineRule="auto"/>
            </w:pPr>
            <w:r>
              <w:rPr>
                <w:rFonts w:ascii="Arial" w:hAnsi="Arial"/>
                <w:sz w:val="18"/>
              </w:rPr>
              <w:t>≤6 pp (label-source variance, training cohort size)</w:t>
            </w:r>
          </w:p>
        </w:tc>
        <w:tc>
          <w:tcPr>
            <w:tcW w:type="dxa" w:w="3024"/>
          </w:tcPr>
          <w:p>
            <w:pPr>
              <w:spacing w:line="276" w:lineRule="auto"/>
            </w:pPr>
            <w:r>
              <w:rPr>
                <w:rFonts w:ascii="Arial" w:hAnsi="Arial"/>
                <w:sz w:val="18"/>
              </w:rPr>
              <w:t>v0.3.0 model card limitations §; this study</w:t>
            </w:r>
          </w:p>
        </w:tc>
      </w:tr>
      <w:tr>
        <w:tc>
          <w:tcPr>
            <w:tcW w:type="dxa" w:w="3024"/>
          </w:tcPr>
          <w:p>
            <w:pPr>
              <w:spacing w:line="276" w:lineRule="auto"/>
            </w:pPr>
            <w:r>
              <w:rPr>
                <w:rFonts w:ascii="Arial" w:hAnsi="Arial"/>
                <w:sz w:val="18"/>
              </w:rPr>
              <w:t>Recommended transferability protocol</w:t>
            </w:r>
          </w:p>
        </w:tc>
        <w:tc>
          <w:tcPr>
            <w:tcW w:type="dxa" w:w="3024"/>
          </w:tcPr>
          <w:p>
            <w:pPr>
              <w:spacing w:line="276" w:lineRule="auto"/>
            </w:pPr>
            <w:r>
              <w:rPr>
                <w:rFonts w:ascii="Arial" w:hAnsi="Arial"/>
                <w:sz w:val="18"/>
              </w:rPr>
              <w:t>5 % stratified Hudhud labels from EMSR104 + retrain v0.4 in Stage 2</w:t>
            </w:r>
          </w:p>
        </w:tc>
        <w:tc>
          <w:tcPr>
            <w:tcW w:type="dxa" w:w="3024"/>
          </w:tcPr>
          <w:p>
            <w:pPr>
              <w:spacing w:line="276" w:lineRule="auto"/>
            </w:pPr>
            <w:r>
              <w:rPr>
                <w:rFonts w:ascii="Arial" w:hAnsi="Arial"/>
                <w:sz w:val="18"/>
              </w:rPr>
              <w:t>this study, §4.6 limitations</w:t>
            </w:r>
          </w:p>
        </w:tc>
      </w:tr>
    </w:tbl>
    <w:p>
      <w:pPr>
        <w:spacing w:before="0" w:after="120" w:line="276" w:lineRule="auto"/>
      </w:pPr>
      <w:r>
        <w:rPr>
          <w:rFonts w:ascii="Arial" w:hAnsi="Arial"/>
          <w:i/>
          <w:sz w:val="19"/>
          <w:szCs w:val="19"/>
          <w:color w:val="595959"/>
        </w:rPr>
        <w:t xml:space="preserve">Abbreviations: AAR = Agricultural Activities Restoration; CRIDA = Central Research Institute for Dryland Agriculture; CV = Cross-Validation; EMS = Emergency Management Service (Copernicus); ICAR = Indian Council of Agricultural Research; IFRC = International Federation of Red Cross and Red Crescent Societies; IMD = India Meteorological Department; ISPRS = International Society for Photogrammetry and Remote Sensing; NDMA = National Disaster Management Authority (India); OA = Overall Accuracy; USD = United States Dollar.</w:t>
      </w:r>
    </w:p>
    <w:p>
      <w:r>
        <w:rPr>
          <w:sz w:val="12"/>
        </w:rPr>
        <w:br/>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Supplement — page </w:t>
    </w:r>
    <w:r>
      <w:rPr>
        <w:rFonts w:ascii="Arial" w:hAnsi="Arial"/>
        <w:sz w:val="18"/>
      </w:rPr>
      <w:fldChar w:fldCharType="begin"/>
      <w:instrText>PAGE</w:instrText>
      <w:fldChar w:fldCharType="end"/>
    </w:r>
    <w:r>
      <w:rPr>
        <w:rFonts w:ascii="Arial" w:hAnsi="Arial"/>
        <w:sz w:val="18"/>
      </w:rPr>
      <w:t xml:space="preserve"> of </w:t>
    </w:r>
    <w:r>
      <w:rPr>
        <w:rFonts w:ascii="Arial" w:hAnsi="Arial"/>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20" Type="http://schemas.openxmlformats.org/officeDocument/2006/relationships/hyperlink" Target="https://osf.io/c4mp8/" TargetMode="External"/><Relationship Id="rId27" Type="http://schemas.openxmlformats.org/officeDocument/2006/relationships/hyperlink" Target="https://doi.org/10.1257/jep.31.2.3" TargetMode="External"/><Relationship Id="rId28" Type="http://schemas.openxmlformats.org/officeDocument/2006/relationships/hyperlink" Target="https://rsmcnewdelhi.imd.gov.in" TargetMode="External"/><Relationship Id="rId29" Type="http://schemas.openxmlformats.org/officeDocument/2006/relationships/hyperlink" Target="https://doi.org/10.1175/2009BAMS27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