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95417" w:name="provenance"/>
      <w:r>
        <w:rPr>
          <w:rFonts w:ascii="Arial" w:hAnsi="Arial"/>
          <w:b/>
          <w:color w:val="A12C7B"/>
          <w:sz w:val="32"/>
        </w:rPr>
        <w:t>Data provenance declaration</w:t>
      </w:r>
      <w:bookmarkEnd w:id="95417"/>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34921" w:name="toc"/>
      <w:r>
        <w:rPr>
          <w:rFonts w:ascii="Arial" w:hAnsi="Arial"/>
          <w:b/>
          <w:color w:val="141414"/>
          <w:sz w:val="32"/>
        </w:rPr>
        <w:t>Contents</w:t>
      </w:r>
      <w:bookmarkEnd w:id="34921"/>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80939" w:name="note_s1"/>
      <w:r>
        <w:rPr>
          <w:rFonts w:ascii="Arial" w:hAnsi="Arial"/>
          <w:b/>
          <w:color w:val="1F3A5F"/>
          <w:sz w:val="32"/>
        </w:rPr>
        <w:t>Note S1 — Bulbul (2019) transferability probe</w:t>
      </w:r>
      <w:bookmarkEnd w:id="80939"/>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pP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pP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14608" w:name="note_s2"/>
      <w:r>
        <w:rPr>
          <w:rFonts w:ascii="Arial" w:hAnsi="Arial"/>
          <w:b/>
          <w:color w:val="1F3A5F"/>
          <w:sz w:val="32"/>
        </w:rPr>
        <w:t>Note S2 — Pre-Kharif Bay-of-Bengal cyclone climatology</w:t>
      </w:r>
      <w:bookmarkEnd w:id="14608"/>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73085" w:name="note_s3"/>
      <w:r>
        <w:rPr>
          <w:rFonts w:ascii="Arial" w:hAnsi="Arial"/>
          <w:b/>
          <w:color w:val="1F3A5F"/>
          <w:sz w:val="32"/>
        </w:rPr>
        <w:t>Note S3 — Sentinel-1 dual-polarisation backscatter signatures</w:t>
      </w:r>
      <w:bookmarkEnd w:id="73085"/>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12746" w:name="table_s1"/>
      <w:r>
        <w:rPr>
          <w:rFonts w:ascii="Arial" w:hAnsi="Arial"/>
          <w:b/>
          <w:color w:val="1F3A5F"/>
          <w:sz w:val="32"/>
        </w:rPr>
        <w:t>Table S1 — Static TWFE-DiD point estimates</w:t>
      </w:r>
      <w:bookmarkEnd w:id="12746"/>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27590" w:name="table_s2"/>
      <w:r>
        <w:rPr>
          <w:rFonts w:ascii="Arial" w:hAnsi="Arial"/>
          <w:b/>
          <w:color w:val="1F3A5F"/>
          <w:sz w:val="32"/>
        </w:rPr>
        <w:t>Table S2 — Pre-trend tests</w:t>
      </w:r>
      <w:bookmarkEnd w:id="27590"/>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268" w:name="table_s3"/>
      <w:r>
        <w:rPr>
          <w:rFonts w:ascii="Arial" w:hAnsi="Arial"/>
          <w:b/>
          <w:color w:val="1F3A5F"/>
          <w:sz w:val="32"/>
        </w:rPr>
        <w:t>Table S3 — Bulbul transferability residuals</w:t>
      </w:r>
      <w:bookmarkEnd w:id="268"/>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9"/>
              </w:rPr>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9"/>
              </w:rPr>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9"/>
              </w:rPr>
            </w:r>
          </w:p>
        </w:tc>
        <w:tc>
          <w:tcPr>
            <w:tcW w:type="dxa" w:w="1108"/>
          </w:tcPr>
          <w:p>
            <w:r>
              <w:rPr>
                <w:rFonts w:ascii="Arial" w:hAnsi="Arial"/>
                <w:b/>
                <w:sz w:val="19"/>
              </w:rPr>
              <w:t>-8.11 – +22.49</w:t>
            </w:r>
          </w:p>
        </w:tc>
        <w:tc>
          <w:tcPr>
            <w:tcW w:type="dxa" w:w="1108"/>
          </w:tcPr>
          <w:p>
            <w:r>
              <w:rPr>
                <w:rFonts w:ascii="Arial" w:hAnsi="Arial"/>
                <w:b/>
                <w:sz w:val="19"/>
              </w:rPr>
            </w:r>
          </w:p>
        </w:tc>
        <w:tc>
          <w:tcPr>
            <w:tcW w:type="dxa" w:w="1108"/>
          </w:tcPr>
          <w:p>
            <w:r>
              <w:rPr>
                <w:rFonts w:ascii="Arial" w:hAnsi="Arial"/>
                <w:b/>
                <w:sz w:val="19"/>
              </w:rPr>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50862" w:name="table_s4"/>
      <w:r>
        <w:rPr>
          <w:rFonts w:ascii="Arial" w:hAnsi="Arial"/>
          <w:b/>
          <w:color w:val="1F3A5F"/>
          <w:sz w:val="32"/>
        </w:rPr>
        <w:t>Table S4 — Wild-cluster bootstrap (G = 8)</w:t>
      </w:r>
      <w:bookmarkEnd w:id="5086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30695" w:name="table_s5"/>
      <w:r>
        <w:rPr>
          <w:rFonts w:ascii="Arial" w:hAnsi="Arial"/>
          <w:b/>
          <w:color w:val="1F3A5F"/>
          <w:sz w:val="32"/>
        </w:rPr>
        <w:t>Table S5 — Jackknife leave-one-out</w:t>
      </w:r>
      <w:bookmarkEnd w:id="30695"/>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90018" w:name="table_s6"/>
      <w:r>
        <w:rPr>
          <w:rFonts w:ascii="Arial" w:hAnsi="Arial"/>
          <w:b/>
          <w:color w:val="1F3A5F"/>
          <w:sz w:val="32"/>
        </w:rPr>
        <w:t>Table S6 — MDE / power</w:t>
      </w:r>
      <w:bookmarkEnd w:id="9001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57888" w:name="table_s7"/>
      <w:r>
        <w:rPr>
          <w:rFonts w:ascii="Arial" w:hAnsi="Arial"/>
          <w:b/>
          <w:color w:val="1F3A5F"/>
          <w:sz w:val="32"/>
        </w:rPr>
        <w:t>Table S7 — Placebo / falsification</w:t>
      </w:r>
      <w:bookmarkEnd w:id="5788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90603" w:name="table_s8"/>
      <w:r>
        <w:rPr>
          <w:rFonts w:ascii="Arial" w:hAnsi="Arial"/>
          <w:b/>
          <w:color w:val="1F3A5F"/>
          <w:sz w:val="32"/>
        </w:rPr>
        <w:t>Table S8 — Pre-Kharif cyclone climatology</w:t>
      </w:r>
      <w:bookmarkEnd w:id="90603"/>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74713" w:name="table_s9"/>
      <w:r>
        <w:rPr>
          <w:rFonts w:ascii="Arial" w:hAnsi="Arial"/>
          <w:b/>
          <w:color w:val="1F3A5F"/>
          <w:sz w:val="32"/>
        </w:rPr>
        <w:t>Table S9 — Canonical S1 dual-pol features</w:t>
      </w:r>
      <w:bookmarkEnd w:id="74713"/>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19251" w:name="figure_s1"/>
      <w:r>
        <w:rPr>
          <w:rFonts w:ascii="Arial" w:hAnsi="Arial"/>
          <w:b/>
          <w:color w:val="1F3A5F"/>
          <w:sz w:val="32"/>
        </w:rPr>
        <w:t>Figure S1 — Pre-Kharif cyclone climatology</w:t>
      </w:r>
      <w:bookmarkEnd w:id="19251"/>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25455" w:name="figure_s2"/>
      <w:r>
        <w:rPr>
          <w:rFonts w:ascii="Arial" w:hAnsi="Arial"/>
          <w:b/>
          <w:color w:val="1F3A5F"/>
          <w:sz w:val="32"/>
        </w:rPr>
        <w:t>Figure S2 — Canonical Sentinel-1 backscatter signatures</w:t>
      </w:r>
      <w:bookmarkEnd w:id="25455"/>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