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an automated n = 480 reference-label set sourced from the Copernicus Emergency Management Service master delineation of Cyclone Fani (EMSR357), Sentinel-1 SAR pre/post change-detection on Cyclones Amphan and Yaas following the UN-SPIDER (2019) Recommended Practice, and the intersection of Sentinel-1 VH, ESA WorldCover cropland, and JRC Global Surface Water masks for agronomic-flood negative samples — a fully programmatic label provenance that requires no analyst visual interpretation.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τ_POS: −3.587 → −3.677 d; τ_EOS: 0 → −0.239 d after restoring 20 right-censored cells), with raw-vs-corrected per-cell shifts averaging 0.245 ± 0.272 d for SOS (range 0.04–1.01 d), 0.122 ± 0.134 d for POS, and 0.337 ± 0.462 d for EOS (max 1.51 d, Bhadrak/Yaas 2021). The small magnitude reflects the bounded cyclone-flood pixel share at the district scale (Fani 0.29–2.52%, Amphan 0.33–1.92%, Yaas 0.42–7.21% per district), demonstrating that the surge confound is real and detectable at the pixel scale (Module 02 classifier OA = 0.844 SAR-only) but partially diluted at the district-aggregation scale used for the BACI panel — directionally confirming the pre-registered prediction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+15.289 days (cluster-robust SE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CI [−54.0, +84.6]), attenuating to +15.108 days (cluster-robust SE 17.312,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in the v2.1 classifier-corrected series. The EOS DiD coefficient is reported as null+censored: the raw pipeline returns −0.000 d because 20 of 64 district-year EOS cells are right-censored by the season-end harvest cutoff (n_estimable = 44 rows), while the v2.1 correction restores the censored cells to yield</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statistically indistinguishable from zero.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3.6.1; Limitation 6, Section 5).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by ≥7 days in cyclone years; TWFE-DiD model with WCR-bootstrap inference quantifies and corrects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keepNext/>
        <w:keepLines/>
        <w:jc w:val="center"/>
      </w:pPr>
      <w:r>
        <w:rPr>
          <w:rFonts w:ascii="Arial" w:hAnsi="Arial"/>
          <w:i/>
          <w:sz w:val="18"/>
        </w:rPr>
        <w:t>Figure 1. Study area — five coastal districts of Odisha (Balasore, Bhadrak, Kendrapara, Jagatsinghpur, Puri) with three control districts inland (Cuttack, Dhenkanal, Angul). Cyclone tracks for Fani (2019), Amphan (2020), and Yaas (2021) shown with 50-km IBTrACS buffers. ESA WorldCover v200 cropland mask overlay.</w:t>
      </w:r>
    </w:p>
    <w:p>
      <w:pPr>
        <w:keepNext w:val="0"/>
        <w:keepLines/>
        <w:jc w:val="center"/>
      </w:pPr>
      <w:r>
        <w:drawing>
          <wp:inline>
            <wp:extent cx="5400000" cy="4737971"/>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00000" cy="4737971"/>
                    </a:xfrm>
                    <a:prstGeom prst="rect"/>
                  </pic:spPr>
                </pic:pic>
              </a:graphicData>
            </a:graphic>
          </wp:inline>
        </w:drawing>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keepNext/>
        <w:keepLines/>
        <w:jc w:val="center"/>
      </w:pPr>
      <w:r>
        <w:rPr>
          <w:rFonts w:ascii="Arial" w:hAnsi="Arial"/>
          <w:i/>
          <w:sz w:val="18"/>
        </w:rPr>
        <w:t>Figure 2. Analytical workflow. Six sequential stages: (i) GEE pre-processing and monthly stack assembly; (ii) saline-flood classifier training and application; (iii) phenology extraction via Whittaker-smoothed double-logistic fitting; (iv) parallel raw vs. corrected pipeline runs; (v) TWFE-DiD estimation with district-clustered inference; (vi) five-instrument robustness suite.</w:t>
      </w:r>
    </w:p>
    <w:p>
      <w:pPr>
        <w:keepNext w:val="0"/>
        <w:keepLines/>
        <w:jc w:val="center"/>
      </w:pPr>
      <w:r>
        <w:drawing>
          <wp:inline>
            <wp:extent cx="5760000" cy="3549885"/>
            <wp:docPr id="3" name="Picture 3"/>
            <wp:cNvGraphicFramePr>
              <a:graphicFrameLocks noChangeAspect="1"/>
            </wp:cNvGraphicFramePr>
            <a:graphic>
              <a:graphicData uri="http://schemas.openxmlformats.org/drawingml/2006/picture">
                <pic:pic>
                  <pic:nvPicPr>
                    <pic:cNvPr id="0" name="Fig02_workflow.png"/>
                    <pic:cNvPicPr/>
                  </pic:nvPicPr>
                  <pic:blipFill>
                    <a:blip r:embed="rId11"/>
                    <a:stretch>
                      <a:fillRect/>
                    </a:stretch>
                  </pic:blipFill>
                  <pic:spPr>
                    <a:xfrm>
                      <a:off x="0" y="0"/>
                      <a:ext cx="5760000" cy="3549885"/>
                    </a:xfrm>
                    <a:prstGeom prst="rect"/>
                  </pic:spPr>
                </pic:pic>
              </a:graphicData>
            </a:graphic>
          </wp:inline>
        </w:drawing>
      </w:r>
    </w:p>
    <w:p>
      <w:pPr>
        <w:keepNext/>
        <w:keepLines/>
        <w:jc w:val="center"/>
      </w:pPr>
      <w:r>
        <w:rPr>
          <w:rFonts w:ascii="Arial" w:hAnsi="Arial"/>
          <w:i/>
          <w:sz w:val="18"/>
        </w:rPr>
        <w:t>Figure 1B. Pearl-style identification DAG. Cyclone landfall (T) opens two pathways into the SAR backscatter trough: a legitimate transplanting-flood pathway and a confounding saline-surge pathway. Module 02 (the saline-flood classifier) intercepts the confounding pathway; the remaining backscatter trough identifies the agronomic SOS.</w:t>
      </w:r>
    </w:p>
    <w:p>
      <w:pPr>
        <w:keepNext w:val="0"/>
        <w:keepLines/>
        <w:jc w:val="center"/>
      </w:pPr>
      <w:r>
        <w:drawing>
          <wp:inline>
            <wp:extent cx="5040000" cy="4375267"/>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040000" cy="4375267"/>
                    </a:xfrm>
                    <a:prstGeom prst="rect"/>
                  </pic:spPr>
                </pic:pic>
              </a:graphicData>
            </a:graphic>
          </wp:inline>
        </w:drawing>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district-aggregated CI half-widths in Supplementary Table S12 and inform the minimum detectable effect (§3.7.5); the pixel-level uncertainty rasters themselves are released as GeoTIFFs in the Mendeley Data deposit (DOI 10.17632/z3zxk4xy3c.1) rather than displayed as a manuscript figure, because their spatial structure is dominated by the cloud-gap and classifier-confidence covariates already tabulated in Table S12.</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keepNext/>
        <w:keepLines/>
        <w:jc w:val="center"/>
      </w:pPr>
      <w:r>
        <w:rPr>
          <w:rFonts w:ascii="Arial" w:hAnsi="Arial"/>
          <w:i/>
          <w:sz w:val="18"/>
        </w:rPr>
        <w:t>Figure 3. Event-study coefficients (Eq. 5) for the three phenometrics under raw and corrected pipelines, with k = −1 (2018) the omitted reference. Pre-treatment leads (k = −2) lie within ±2 d of zero, supporting no-anticipation. CR1-clustered 95% CIs shown.</w:t>
      </w:r>
    </w:p>
    <w:p>
      <w:pPr>
        <w:keepNext w:val="0"/>
        <w:keepLines/>
        <w:jc w:val="center"/>
      </w:pPr>
      <w:r>
        <w:drawing>
          <wp:inline>
            <wp:extent cx="5760000" cy="2729087"/>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2729087"/>
                    </a:xfrm>
                    <a:prstGeom prst="rect"/>
                  </pic:spPr>
                </pic:pic>
              </a:graphicData>
            </a:graphic>
          </wp:inline>
        </w:drawing>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(SOS) and 0.286 (POS),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On the real v2.1 panel the SOS pseudo-coefficient is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keepNext/>
        <w:keepLines/>
        <w:jc w:val="center"/>
      </w:pPr>
      <w:r>
        <w:rPr>
          <w:rFonts w:ascii="Arial" w:hAnsi="Arial"/>
          <w:i/>
          <w:sz w:val="18"/>
        </w:rPr>
        <w:t>Figure 4. Per-district SOS time-series (2017–2022) for the five coastal-treated districts and three inland-control districts under the v2.1-corrected pipeline. Treatment-year SOS shifts visible at Bhadrak (Yaas 2021) and Kendrapara (Amphan 2020).</w:t>
      </w:r>
    </w:p>
    <w:p>
      <w:pPr>
        <w:keepNext w:val="0"/>
        <w:keepLines/>
        <w:jc w:val="center"/>
      </w:pPr>
      <w:r>
        <w:drawing>
          <wp:inline>
            <wp:extent cx="5760000" cy="387431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760000" cy="3874318"/>
                    </a:xfrm>
                    <a:prstGeom prst="rect"/>
                  </pic:spPr>
                </pic:pic>
              </a:graphicData>
            </a:graphic>
          </wp:inline>
        </w:drawing>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3.6.1, Limitation 6).</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and</w:t>
      </w:r>
      <w:r>
        <w:rPr>
          <w:rFonts w:ascii="Arial" w:hAnsi="Arial"/>
        </w:rPr>
        <w:t xml:space="preserve"> </w:t>
      </w:r>
      <m:oMath>
        <m:sSub>
          <m:e>
            <m:acc>
              <m:accPr>
                <m:chr m:val="̂"/>
              </m:accPr>
              <m:e>
                <m:r>
                  <m:t>τ</m:t>
                </m:r>
              </m:e>
            </m:acc>
          </m:e>
          <m:sub>
            <m:r>
              <m:rPr>
                <m:nor/>
                <m:sty m:val="p"/>
              </m:rPr>
              <m:t>pseudo,POS</m:t>
            </m:r>
          </m:sub>
        </m:sSub>
      </m:oMath>
      <w:r>
        <w:rPr>
          <w:rFonts w:ascii="Arial" w:hAnsi="Arial"/>
        </w:rPr>
        <w:t xml:space="preserve"> </w:t>
      </w:r>
      <w:r>
        <w:rPr>
          <w:rFonts w:ascii="Arial" w:hAnsi="Arial"/>
        </w:rPr>
        <w:t xml:space="preserve">=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 |τ̂|/MDE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 |τ̂|/MDE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keepNext/>
        <w:keepLines/>
        <w:jc w:val="center"/>
      </w:pPr>
      <w:r>
        <w:rPr>
          <w:rFonts w:ascii="Arial" w:hAnsi="Arial"/>
          <w:i/>
          <w:sz w:val="18"/>
        </w:rPr>
        <w:t>Figure 6. In-space placebo distribution from donor-swap permutation (56 reassignments of treatment status to inland-control districts). Real τ̂ marked by red dashed line. Corrected/EOS cell hits the design-floor p_perm = 0.018 at G = 8.</w:t>
      </w:r>
    </w:p>
    <w:p>
      <w:pPr>
        <w:keepNext w:val="0"/>
        <w:keepLines/>
        <w:jc w:val="center"/>
      </w:pPr>
      <w:r>
        <w:drawing>
          <wp:inline>
            <wp:extent cx="5400000" cy="3205273"/>
            <wp:docPr id="6" name="Picture 6"/>
            <wp:cNvGraphicFramePr>
              <a:graphicFrameLocks noChangeAspect="1"/>
            </wp:cNvGraphicFramePr>
            <a:graphic>
              <a:graphicData uri="http://schemas.openxmlformats.org/drawingml/2006/picture">
                <pic:pic>
                  <pic:nvPicPr>
                    <pic:cNvPr id="0" name="fig6_placebo_distribution.png"/>
                    <pic:cNvPicPr/>
                  </pic:nvPicPr>
                  <pic:blipFill>
                    <a:blip r:embed="rId14"/>
                    <a:stretch>
                      <a:fillRect/>
                    </a:stretch>
                  </pic:blipFill>
                  <pic:spPr>
                    <a:xfrm>
                      <a:off x="0" y="0"/>
                      <a:ext cx="5400000" cy="3205273"/>
                    </a:xfrm>
                    <a:prstGeom prst="rect"/>
                  </pic:spPr>
                </pic:pic>
              </a:graphicData>
            </a:graphic>
          </wp:inline>
        </w:drawing>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 τ̂_corrected_SOS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(released as GeoTIFFs in the Mendeley deposit; per-district summary in Table S12)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Arial" w:hAnsi="Arial"/>
                <w:sz w:val="18"/>
              </w:rPr>
              <w:t xml:space="preserve">Contribution (CRediT taxonomy)</w:t>
            </w:r>
          </w:p>
        </w:tc>
        <w:tc>
          <w:tcPr/>
          <w:p>
            <w:pPr>
              <w:pStyle w:val="Compact"/>
              <w:jc w:val="left"/>
            </w:pPr>
            <w:r>
              <w:rPr>
                <w:rFonts w:ascii="Arial" w:hAnsi="Arial"/>
                <w:sz w:val="18"/>
              </w:rPr>
              <w:t xml:space="preserve">Supranab Panda</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Software (GEE code, Python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bl>
    <w:p>
      <w:pPr>
        <w:pStyle w:val="BodyText"/>
      </w:pPr>
      <w:r>
        <w:rPr>
          <w:rFonts w:ascii="Arial" w:hAnsi="Arial"/>
          <w:i/>
          <w:iCs/>
        </w:rPr>
        <w:t xml:space="preserve">Author affiliations and full contact details are listed in the title block; additional contributors, if any, will be reflected in this matrix prior to journal submission.</w:t>
      </w:r>
    </w:p>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2026-06-08T13:12:49Z</dcterms:created>
  <dcterms:modified xsi:type="dcterms:W3CDTF">2026-06-08T13:12:49Z</dcterms:modified>
</cp:coreProperties>
</file>

<file path=docProps/custom.xml><?xml version="1.0" encoding="utf-8"?>
<Properties xmlns="http://schemas.openxmlformats.org/officeDocument/2006/custom-properties" xmlns:vt="http://schemas.openxmlformats.org/officeDocument/2006/docPropsVTypes"/>
</file>