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S1.  Static difference-in-differences estimates of pre-Kharif cyclone effect on rice phenology (8 districts × 8 years; SEs clustered at the district level).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N obs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N dist.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τ (d)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SE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t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p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CI₂.₅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CI₉₇.₅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R²ᵥᵥ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17.328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0.882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0.378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-18.673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49.250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0.013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2.882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-1.245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0.213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-9.235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2.062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0.011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-2.038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0.042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+15.108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17.312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0.873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0.383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-18.822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49.039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0.013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-3.677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2.897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-1.269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0.204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-9.356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2.002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0.011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-0.239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0.169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-1.411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0.158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-0.570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0.093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0.074</w:t>
            </w:r>
          </w:p>
        </w:tc>
      </w:tr>
    </w:tbl>
    <w:p/>
    <w:p>
      <w:r>
        <w:rPr>
          <w:sz w:val="18"/>
        </w:rPr>
        <w:t>Notes. τ is the average treatment effect on the treated, in days of phenology shift. *** p&lt;0.001; ** p&lt;0.01; * p&lt;0.05. R²ᵥᵥ is the partial within-R² of the DiD term after absorbing district and year fixed effects. Treatment cohort: coastal-treatment districts (Baleshwar, Bhadrak, Kendrapara, Jagatsinghpur, Puri) × cyclone years 2019, 2020, 2021. Bulbul (2019, post-monsoon, outside the study area) and Hudhud (2014) are excluded as transferability hold-outs.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