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20"/>
        </w:rPr>
        <w:t>Table S2.  Parallel-trends test: regression of phenology metric on year × treat interaction in pre-treatment period (years &lt; 2019). A non-significant coefficient supports the DiD identifying assumption.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Arial" w:hAnsi="Arial"/>
                <w:b/>
                <w:sz w:val="20"/>
              </w:rPr>
              <w:t>Pipeline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/>
                <w:sz w:val="20"/>
              </w:rPr>
              <w:t>Metric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/>
                <w:sz w:val="20"/>
              </w:rPr>
              <w:t>β (year×treat)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/>
                <w:sz w:val="20"/>
              </w:rPr>
              <w:t>SE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/>
                <w:sz w:val="20"/>
              </w:rPr>
              <w:t>p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/>
                <w:sz w:val="20"/>
              </w:rPr>
              <w:t>N pre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b/>
                <w:sz w:val="20"/>
              </w:rPr>
              <w:t>Verdict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raw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SOS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-63.600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67.077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0.3430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cluster; pre-trend OK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raw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POS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-2.400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19.665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0.9029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cluster; pre-trend OK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raw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EOS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+nan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too few pre-period obs for inference (n=11, residual df=0); only 2 pre-cyclone years available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corrected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SOS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-63.600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67.077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0.3430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cluster; pre-trend OK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corrected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POS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-2.400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19.665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0.9029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cluster; pre-trend OK</w:t>
            </w:r>
          </w:p>
        </w:tc>
      </w:tr>
      <w:tr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corrected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EOS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+nan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nan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rFonts w:ascii="Arial" w:hAnsi="Arial"/>
                <w:sz w:val="20"/>
              </w:rPr>
              <w:t>too few pre-period obs for inference (n=11, residual df=0); only 2 pre-cyclone years available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