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20"/>
        </w:rPr>
        <w:t>Table S6. Minimum detectable effect (MDE) at α = 0.05, power = 0.80, df = G−1 = 7. Cluster-robust SE recovered from Module 05a (WCR). “detectable” = yes when |τ̂| ≥ MDE_2sided.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Arial" w:hAnsi="Arial"/>
                <w:b/>
                <w:sz w:val="18"/>
              </w:rPr>
              <w:t>Pipeline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b/>
                <w:sz w:val="18"/>
              </w:rPr>
              <w:t>τ̂ (d)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b/>
                <w:sz w:val="18"/>
              </w:rPr>
              <w:t>SE (d)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b/>
                <w:sz w:val="18"/>
              </w:rPr>
              <w:t>MDE 2-sided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b/>
                <w:sz w:val="18"/>
              </w:rPr>
              <w:t>MDE 1-sided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b/>
                <w:sz w:val="18"/>
              </w:rPr>
              <w:t>|τ̂|/MDE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b/>
                <w:sz w:val="18"/>
              </w:rPr>
              <w:t>Detectable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15.289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17.328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56.501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48.356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0.27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-3.587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2.882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9.397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8.043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0.38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raw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-0.000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0.000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nan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SOS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15.108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17.312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56.448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48.311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0.27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POS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-3.677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2.897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9.446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8.084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0.39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</w:tr>
      <w:tr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corrected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EOS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-0.239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0.169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0.551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0.472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0.43</w:t>
            </w:r>
          </w:p>
        </w:tc>
        <w:tc>
          <w:tcPr>
            <w:tcW w:type="dxa" w:w="1080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</w:tr>
    </w:tbl>
    <w:p>
      <w:r>
        <w:rPr>
          <w:sz w:val="18"/>
        </w:rPr>
        <w:t>Notes. MDE = (t_{α/2,G−1} + t_{1−β,G−1}) × SE. At G = 8, t_{0.025,7} = 2.365 and t_{0.80,7} = 0.896, so the multiplier is 3.261. The single non-detectable cell (corrected/EOS) is the same cell whose null is confirmed by the wild-cluster bootstrap (Table S4).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