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Figures Bundle</w:t>
      </w:r>
    </w:p>
    <w:p>
      <w:pPr>
        <w:jc w:val="center"/>
      </w:pPr>
      <w:r>
        <w:rPr>
          <w:i/>
        </w:rPr>
        <w:t>Decoupling Cyclone-Induced Saline Inundation from Agronomic Flooding in Sentinel-1/2 Rice Phenology Retrieval: A Multi-Year Bay-of-Bengal Coastal Framework (2017-2024)</w:t>
      </w:r>
    </w:p>
    <w:p>
      <w:pPr>
        <w:jc w:val="center"/>
      </w:pPr>
      <w:r>
        <w:rPr>
          <w:b/>
        </w:rPr>
        <w:t>Supranab Panda, Sarat Chandra Sahu</w:t>
      </w:r>
    </w:p>
    <w:p>
      <w:pPr>
        <w:jc w:val="center"/>
      </w:pPr>
      <w:r>
        <w:t>All figures are embedded at publication size (6.0-inch column width) from PNGs in figures/ regenerated from analysis/results/real_v21/. Each figure carries a short caption immediately below the image.</w:t>
      </w:r>
    </w:p>
    <w:p>
      <w:r>
        <w:br w:type="page"/>
      </w:r>
    </w:p>
    <w:p>
      <w:pPr>
        <w:pStyle w:val="Heading2"/>
      </w:pPr>
      <w:r>
        <w:t>Figure 1. figure1_study_area.png</w:t>
      </w:r>
    </w:p>
    <w:p>
      <w:pPr>
        <w:jc w:val="center"/>
      </w:pPr>
      <w:r>
        <w:drawing>
          <wp:inline xmlns:a="http://schemas.openxmlformats.org/drawingml/2006/main" xmlns:pic="http://schemas.openxmlformats.org/drawingml/2006/pictur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r>
        <w:rPr>
          <w:b/>
        </w:rPr>
        <w:t xml:space="preserve">Figure 1. </w:t>
      </w:r>
      <w: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r>
        <w:br w:type="page"/>
      </w:r>
    </w:p>
    <w:p>
      <w:pPr>
        <w:pStyle w:val="Heading2"/>
      </w:pPr>
      <w:r>
        <w:t>Figure 1B. fig1b_identification_dag.png</w:t>
      </w:r>
    </w:p>
    <w:p>
      <w:pPr>
        <w:jc w:val="center"/>
      </w:pPr>
      <w:r>
        <w:drawing>
          <wp:inline xmlns:a="http://schemas.openxmlformats.org/drawingml/2006/main" xmlns:pic="http://schemas.openxmlformats.org/drawingml/2006/pictur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p>
      <w:r>
        <w:rPr>
          <w:b/>
        </w:rPr>
        <w:t xml:space="preserve">Figure 1B. </w:t>
      </w:r>
      <w: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p>
      <w:r>
        <w:br w:type="page"/>
      </w:r>
    </w:p>
    <w:p>
      <w:pPr>
        <w:pStyle w:val="Heading2"/>
      </w:pPr>
      <w:r>
        <w:t>Figure 2. fig2_did_coefplot.png</w:t>
      </w:r>
    </w:p>
    <w:p>
      <w:pPr>
        <w:jc w:val="center"/>
      </w:pPr>
      <w:r>
        <w:drawing>
          <wp:inline xmlns:a="http://schemas.openxmlformats.org/drawingml/2006/main" xmlns:pic="http://schemas.openxmlformats.org/drawingml/2006/picture">
            <wp:extent cx="5486400" cy="3143220"/>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3143220"/>
                    </a:xfrm>
                    <a:prstGeom prst="rect"/>
                  </pic:spPr>
                </pic:pic>
              </a:graphicData>
            </a:graphic>
          </wp:inline>
        </w:drawing>
      </w:r>
    </w:p>
    <w:p>
      <w:r>
        <w:rPr>
          <w:b/>
        </w:rPr>
        <w:t xml:space="preserve">Figure 2. </w:t>
      </w:r>
      <w:r>
        <w:t>TWFE-DiD coefficients (raw vs. classifier-corrected panel). Point estimates with district-clustered (CR1) standard-error bars and 95% wild-cluster restricted bootstrap intervals for SOS, POS, and EOS, raw and corrected pipelines on the real v2.1 panel.</w:t>
      </w:r>
    </w:p>
    <w:p>
      <w:r>
        <w:br w:type="page"/>
      </w:r>
    </w:p>
    <w:p>
      <w:pPr>
        <w:pStyle w:val="Heading2"/>
      </w:pPr>
      <w:r>
        <w:t>Figure 3. fig3_event_study.png</w:t>
      </w:r>
    </w:p>
    <w:p>
      <w:pPr>
        <w:jc w:val="center"/>
      </w:pPr>
      <w:r>
        <w:drawing>
          <wp:inline xmlns:a="http://schemas.openxmlformats.org/drawingml/2006/main" xmlns:pic="http://schemas.openxmlformats.org/drawingml/2006/picture">
            <wp:extent cx="5486400" cy="2599456"/>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2599456"/>
                    </a:xfrm>
                    <a:prstGeom prst="rect"/>
                  </pic:spPr>
                </pic:pic>
              </a:graphicData>
            </a:graphic>
          </wp:inline>
        </w:drawing>
      </w:r>
    </w:p>
    <w:p>
      <w:r>
        <w:rPr>
          <w:b/>
        </w:rPr>
        <w:t xml:space="preserve">Figure 3. </w:t>
      </w:r>
      <w:r>
        <w:t>Event-study plot, raw vs. corrected pipelines (Kharif 2017-2024). Coefficients at relative-year leads (k = -2, -1) test for pre-trends; coefficients at lags (k = 0, 1, 2) trace dynamic treatment effects; k = -1 (2018) is the omitted reference.</w:t>
      </w:r>
    </w:p>
    <w:p>
      <w:r>
        <w:br w:type="page"/>
      </w:r>
    </w:p>
    <w:p>
      <w:pPr>
        <w:pStyle w:val="Heading2"/>
      </w:pPr>
      <w:r>
        <w:t>Figure 4. fig4_district_sos_panel.png</w:t>
      </w:r>
    </w:p>
    <w:p>
      <w:pPr>
        <w:jc w:val="center"/>
      </w:pPr>
      <w:r>
        <w:drawing>
          <wp:inline xmlns:a="http://schemas.openxmlformats.org/drawingml/2006/main" xmlns:pic="http://schemas.openxmlformats.org/drawingml/2006/pictur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r>
        <w:rPr>
          <w:b/>
        </w:rPr>
        <w:t xml:space="preserve">Figure 4. </w:t>
      </w:r>
      <w:r>
        <w:t>District-level SOS trajectories, raw vs. corrected (2017-2024). Solid lines show raw-pipeline SOS dates; dashed lines show classifier-corrected SOS dates; vertical bands mark cyclone landfall years. Treated coastal districts are coloured; inland controls are grey.</w:t>
      </w:r>
    </w:p>
    <w:p>
      <w:r>
        <w:br w:type="page"/>
      </w:r>
    </w:p>
    <w:p>
      <w:pPr>
        <w:pStyle w:val="Heading2"/>
      </w:pPr>
      <w:r>
        <w:t>Figure 5. fig5_power_curves.png</w:t>
      </w:r>
    </w:p>
    <w:p>
      <w:pPr>
        <w:jc w:val="center"/>
      </w:pPr>
      <w:r>
        <w:drawing>
          <wp:inline xmlns:a="http://schemas.openxmlformats.org/drawingml/2006/main" xmlns:pic="http://schemas.openxmlformats.org/drawingml/2006/picture">
            <wp:extent cx="5486400" cy="3729294"/>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29294"/>
                    </a:xfrm>
                    <a:prstGeom prst="rect"/>
                  </pic:spPr>
                </pic:pic>
              </a:graphicData>
            </a:graphic>
          </wp:inline>
        </w:drawing>
      </w:r>
    </w:p>
    <w:p>
      <w:r>
        <w:rPr>
          <w:b/>
        </w:rPr>
        <w:t xml:space="preserve">Figure 5. </w:t>
      </w:r>
      <w: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r>
        <w:br w:type="page"/>
      </w:r>
    </w:p>
    <w:p>
      <w:pPr>
        <w:pStyle w:val="Heading2"/>
      </w:pPr>
      <w:r>
        <w:t>Figure 6. fig6_placebo_distribution.png</w:t>
      </w:r>
    </w:p>
    <w:p>
      <w:pPr>
        <w:jc w:val="center"/>
      </w:pPr>
      <w:r>
        <w:drawing>
          <wp:inline xmlns:a="http://schemas.openxmlformats.org/drawingml/2006/main" xmlns:pic="http://schemas.openxmlformats.org/drawingml/2006/picture">
            <wp:extent cx="5486400" cy="3256558"/>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256558"/>
                    </a:xfrm>
                    <a:prstGeom prst="rect"/>
                  </pic:spPr>
                </pic:pic>
              </a:graphicData>
            </a:graphic>
          </wp:inline>
        </w:drawing>
      </w:r>
    </w:p>
    <w:p>
      <w:r>
        <w:rPr>
          <w:b/>
        </w:rPr>
        <w:t xml:space="preserve">Figure 6. </w:t>
      </w:r>
      <w:r>
        <w:t>In-space placebo distributions (donor-swap, 56 permutations). Histograms of placebo tau_hat values from all swaps of treated/control labels across district pairs, with the observed tau_hat marked as a vertical line. The corrected/EOS cell yields p_perm = 0.018 (non-significant after Bonferroni correction across the six-cell family).</w:t>
      </w:r>
    </w:p>
    <w:p>
      <w:r>
        <w:br w:type="page"/>
      </w:r>
    </w:p>
    <w:p>
      <w:pPr>
        <w:pStyle w:val="Heading2"/>
      </w:pPr>
      <w:r>
        <w:t>Figure S1. figS1_cyclone_climatology.png</w:t>
      </w:r>
    </w:p>
    <w:p>
      <w:pPr>
        <w:jc w:val="center"/>
      </w:pPr>
      <w:r>
        <w:drawing>
          <wp:inline xmlns:a="http://schemas.openxmlformats.org/drawingml/2006/main" xmlns:pic="http://schemas.openxmlformats.org/drawingml/2006/picture">
            <wp:extent cx="5486400" cy="2191435"/>
            <wp:docPr id="8" name="Picture 8"/>
            <wp:cNvGraphicFramePr>
              <a:graphicFrameLocks noChangeAspect="1"/>
            </wp:cNvGraphicFramePr>
            <a:graphic>
              <a:graphicData uri="http://schemas.openxmlformats.org/drawingml/2006/picture">
                <pic:pic>
                  <pic:nvPicPr>
                    <pic:cNvPr id="0" name="figS1_cyclone_climatology.png"/>
                    <pic:cNvPicPr/>
                  </pic:nvPicPr>
                  <pic:blipFill>
                    <a:blip r:embed="rId16"/>
                    <a:stretch>
                      <a:fillRect/>
                    </a:stretch>
                  </pic:blipFill>
                  <pic:spPr>
                    <a:xfrm>
                      <a:off x="0" y="0"/>
                      <a:ext cx="5486400" cy="2191435"/>
                    </a:xfrm>
                    <a:prstGeom prst="rect"/>
                  </pic:spPr>
                </pic:pic>
              </a:graphicData>
            </a:graphic>
          </wp:inline>
        </w:drawing>
      </w:r>
    </w:p>
    <w:p>
      <w:r>
        <w:rPr>
          <w:b/>
        </w:rPr>
        <w:t xml:space="preserve">Figure S1. </w:t>
      </w:r>
      <w:r>
        <w:t>Cyclone climatology for the Bay of Bengal, 1980-2024. Annual landfall counts in the 50-km IBTrACS buffer around the coastal Odisha districts, stratified by Saffir-Simpson category and pre-monsoon vs. post-monsoon timing.</w:t>
      </w:r>
    </w:p>
    <w:p>
      <w:r>
        <w:br w:type="page"/>
      </w:r>
    </w:p>
    <w:p>
      <w:pPr>
        <w:pStyle w:val="Heading2"/>
      </w:pPr>
      <w:r>
        <w:t>Figure S2. figS2_backscatter_signatures.png</w:t>
      </w:r>
    </w:p>
    <w:p>
      <w:pPr>
        <w:jc w:val="center"/>
      </w:pPr>
      <w:r>
        <w:drawing>
          <wp:inline xmlns:a="http://schemas.openxmlformats.org/drawingml/2006/main" xmlns:pic="http://schemas.openxmlformats.org/drawingml/2006/picture">
            <wp:extent cx="5486400" cy="5776055"/>
            <wp:docPr id="9" name="Picture 9"/>
            <wp:cNvGraphicFramePr>
              <a:graphicFrameLocks noChangeAspect="1"/>
            </wp:cNvGraphicFramePr>
            <a:graphic>
              <a:graphicData uri="http://schemas.openxmlformats.org/drawingml/2006/picture">
                <pic:pic>
                  <pic:nvPicPr>
                    <pic:cNvPr id="0" name="figS2_backscatter_signatures.png"/>
                    <pic:cNvPicPr/>
                  </pic:nvPicPr>
                  <pic:blipFill>
                    <a:blip r:embed="rId17"/>
                    <a:stretch>
                      <a:fillRect/>
                    </a:stretch>
                  </pic:blipFill>
                  <pic:spPr>
                    <a:xfrm>
                      <a:off x="0" y="0"/>
                      <a:ext cx="5486400" cy="5776055"/>
                    </a:xfrm>
                    <a:prstGeom prst="rect"/>
                  </pic:spPr>
                </pic:pic>
              </a:graphicData>
            </a:graphic>
          </wp:inline>
        </w:drawing>
      </w:r>
    </w:p>
    <w:p>
      <w:r>
        <w:rPr>
          <w:b/>
        </w:rPr>
        <w:t xml:space="preserve">Figure S2. </w:t>
      </w:r>
      <w:r>
        <w:t>Sentinel-1 RTC dual-polarisation VH/VV/CR backscatter signatures across four phenological phases (pre-canopy, early canopy, peak canopy, event window) for the four Bulbul out-of-sample probe districts (Boudh, Ganjam, Khordha, Nayagarh), retrieved from Microsoft Planetary Computer.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