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73012" w:name="provenance"/>
      <w:r>
        <w:rPr>
          <w:rFonts w:ascii="Arial" w:hAnsi="Arial"/>
          <w:b/>
          <w:color w:val="A12C7B"/>
          <w:sz w:val="32"/>
        </w:rPr>
        <w:t>Data provenance declaration</w:t>
      </w:r>
      <w:bookmarkEnd w:id="73012"/>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59448" w:name="toc"/>
      <w:r>
        <w:rPr>
          <w:rFonts w:ascii="Arial" w:hAnsi="Arial"/>
          <w:b/>
          <w:color w:val="141414"/>
          <w:sz w:val="32"/>
        </w:rPr>
        <w:t>Contents</w:t>
      </w:r>
      <w:bookmarkEnd w:id="59448"/>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73878" w:name="note_s1"/>
      <w:r>
        <w:rPr>
          <w:rFonts w:ascii="Arial" w:hAnsi="Arial"/>
          <w:b/>
          <w:color w:val="1F3A5F"/>
          <w:sz w:val="32"/>
        </w:rPr>
        <w:t>Note S1 — Bulbul (2019) transferability probe</w:t>
      </w:r>
      <w:bookmarkEnd w:id="7387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pP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pP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95960" w:name="note_s2"/>
      <w:r>
        <w:rPr>
          <w:rFonts w:ascii="Arial" w:hAnsi="Arial"/>
          <w:b/>
          <w:color w:val="1F3A5F"/>
          <w:sz w:val="32"/>
        </w:rPr>
        <w:t>Note S2 — Pre-Kharif Bay-of-Bengal cyclone climatology</w:t>
      </w:r>
      <w:bookmarkEnd w:id="95960"/>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41977" w:name="note_s3"/>
      <w:r>
        <w:rPr>
          <w:rFonts w:ascii="Arial" w:hAnsi="Arial"/>
          <w:b/>
          <w:color w:val="1F3A5F"/>
          <w:sz w:val="32"/>
        </w:rPr>
        <w:t>Note S3 — Sentinel-1 dual-polarisation backscatter signatures</w:t>
      </w:r>
      <w:bookmarkEnd w:id="41977"/>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Nagano, T., Kotera, A., et al. (2023). Quantifying</w:t>
      </w:r>
      <w:r>
        <w:rPr>
          <w:rFonts w:ascii="Arial" w:hAnsi="Arial"/>
          <w:sz w:val="20"/>
        </w:rPr>
        <w:t xml:space="preserve"> </w:t>
      </w:r>
      <w:r>
        <w:rPr>
          <w:rFonts w:ascii="Arial" w:hAnsi="Arial"/>
          <w:sz w:val="20"/>
        </w:rPr>
        <w:t xml:space="preserve">flood-induced rice loss in the Mekong Delta using SAR.</w:t>
      </w:r>
      <w:r>
        <w:rPr>
          <w:rFonts w:ascii="Arial" w:hAnsi="Arial"/>
          <w:sz w:val="20"/>
        </w:rPr>
        <w:t xml:space="preserve"> </w:t>
      </w:r>
      <w:r>
        <w:rPr>
          <w:rFonts w:ascii="Arial" w:hAnsi="Arial"/>
          <w:i/>
          <w:iCs/>
          <w:sz w:val="20"/>
        </w:rPr>
        <w:t xml:space="preserve">Remote</w:t>
      </w:r>
      <w:r>
        <w:rPr>
          <w:rFonts w:ascii="Arial" w:hAnsi="Arial"/>
          <w:i/>
          <w:iCs/>
          <w:sz w:val="20"/>
        </w:rPr>
        <w:t xml:space="preserve"> </w:t>
      </w:r>
      <w:r>
        <w:rPr>
          <w:rFonts w:ascii="Arial" w:hAnsi="Arial"/>
          <w:i/>
          <w:iCs/>
          <w:sz w:val="20"/>
        </w:rPr>
        <w:t xml:space="preserve">Sensing</w:t>
      </w:r>
      <w:r>
        <w:rPr>
          <w:rFonts w:ascii="Arial" w:hAnsi="Arial"/>
          <w:sz w:val="20"/>
        </w:rPr>
        <w:t xml:space="preserve"> </w:t>
      </w:r>
      <w:r>
        <w:rPr>
          <w:rFonts w:ascii="Arial" w:hAnsi="Arial"/>
          <w:sz w:val="20"/>
        </w:rPr>
        <w:t xml:space="preserve">15(8):2102.</w:t>
      </w:r>
    </w:p>
    <w:p>
      <w:pPr>
        <w:pStyle w:val="Compact"/>
        <w:numPr>
          <w:ilvl w:val="0"/>
          <w:numId w:val="1004"/>
        </w:numPr>
      </w:pPr>
      <w:r>
        <w:rPr>
          <w:rFonts w:ascii="Arial" w:hAnsi="Arial"/>
          <w:sz w:val="20"/>
        </w:rPr>
        <w:t xml:space="preserve">Konkathi, P., Vasundhara, R., Anandh, K., et al. (2024). Sentinel-1</w:t>
      </w:r>
      <w:r>
        <w:rPr>
          <w:rFonts w:ascii="Arial" w:hAnsi="Arial"/>
          <w:sz w:val="20"/>
        </w:rPr>
        <w:t xml:space="preserve"> </w:t>
      </w:r>
      <w:r>
        <w:rPr>
          <w:rFonts w:ascii="Arial" w:hAnsi="Arial"/>
          <w:sz w:val="20"/>
        </w:rPr>
        <w:t xml:space="preserve">C-band SAR for cyclone-induced inundation mapping over Indian east</w:t>
      </w:r>
      <w:r>
        <w:rPr>
          <w:rFonts w:ascii="Arial" w:hAnsi="Arial"/>
          <w:sz w:val="20"/>
        </w:rPr>
        <w:t xml:space="preserve"> </w:t>
      </w:r>
      <w:r>
        <w:rPr>
          <w:rFonts w:ascii="Arial" w:hAnsi="Arial"/>
          <w:sz w:val="20"/>
        </w:rPr>
        <w:t xml:space="preserve">coast.</w:t>
      </w:r>
      <w:r>
        <w:rPr>
          <w:rFonts w:ascii="Arial" w:hAnsi="Arial"/>
          <w:sz w:val="20"/>
        </w:rPr>
        <w:t xml:space="preserve"> </w:t>
      </w:r>
      <w:r>
        <w:rPr>
          <w:rFonts w:ascii="Arial" w:hAnsi="Arial"/>
          <w:i/>
          <w:iCs/>
          <w:sz w:val="20"/>
        </w:rPr>
        <w:t xml:space="preserve">International Journal of Remote Sensing</w:t>
      </w:r>
      <w:r>
        <w:rPr>
          <w:rFonts w:ascii="Arial" w:hAnsi="Arial"/>
          <w:sz w:val="20"/>
        </w:rPr>
        <w:t xml:space="preserve"> </w:t>
      </w:r>
      <w:r>
        <w:rPr>
          <w:rFonts w:ascii="Arial" w:hAnsi="Arial"/>
          <w:sz w:val="20"/>
        </w:rPr>
        <w:t xml:space="preserve">45(3):947–971.</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Jain, M., Mondal, P. (2020). Detecting flooded rice with</w:t>
      </w:r>
      <w:r>
        <w:rPr>
          <w:rFonts w:ascii="Arial" w:hAnsi="Arial"/>
          <w:sz w:val="20"/>
        </w:rPr>
        <w:t xml:space="preserve"> </w:t>
      </w:r>
      <w:r>
        <w:rPr>
          <w:rFonts w:ascii="Arial" w:hAnsi="Arial"/>
          <w:sz w:val="20"/>
        </w:rPr>
        <w:t xml:space="preserve">synthetic aperture radar in cyclone-affected coastal Bangladesh.</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251:112063.</w:t>
      </w:r>
    </w:p>
    <w:bookmarkEnd w:id="28"/>
    <w:bookmarkEnd w:id="29"/>
    <w:p>
      <w:r>
        <w:rPr>
          <w:rFonts w:ascii="Arial" w:hAnsi="Arial"/>
          <w:sz w:val="20"/>
        </w:rPr>
        <w:br w:type="page"/>
      </w:r>
    </w:p>
    <w:p>
      <w:pPr>
        <w:keepNext/>
        <w:spacing w:before="240" w:after="120"/>
      </w:pPr>
      <w:bookmarkStart w:id="44571" w:name="note_s4"/>
      <w:r>
        <w:rPr>
          <w:rFonts w:ascii="Arial" w:hAnsi="Arial"/>
          <w:b/>
          <w:color w:val="1F3A5F"/>
          <w:sz w:val="32"/>
        </w:rPr>
        <w:t>Note S4 — Small-G power / minimum detectable effect simulator</w:t>
      </w:r>
      <w:bookmarkEnd w:id="44571"/>
    </w:p>
    <w:bookmarkStart w:id="23" w:name="Xa4e2dea2d376ab4d6475c8d9700aaff9982f219"/>
    <w:p>
      <w:pPr>
        <w:pStyle w:val="Heading1"/>
      </w:pPr>
      <w:r>
        <w:rPr>
          <w:rFonts w:ascii="Arial" w:hAnsi="Arial"/>
        </w:rPr>
        <w:t xml:space="preserve">Methods §3.Y.4 — Post-hoc power and minimum detectable effect</w:t>
      </w:r>
    </w:p>
    <w:p>
      <w:pPr>
        <w:pStyle w:val="FirstParagraph"/>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pStyle w:val="FirstParagraph"/>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Style w:val="VerbatimCha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Style w:val="VerbatimCha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Style w:val="VerbatimCha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pStyle w:val="FirstParagraph"/>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sz w:val="20"/>
        </w:rPr>
        <w:t xml:space="preserve">with district FE</w:t>
      </w:r>
      <w:r>
        <w:rPr>
          <w:rFonts w:ascii="Arial" w:hAnsi="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sz w:val="20"/>
        </w:rPr>
        <w:t xml:space="preserve"> </w:t>
      </w:r>
      <w:r>
        <w:rPr>
          <w:rFonts w:ascii="Arial" w:hAnsi="Arial"/>
          <w:sz w:val="20"/>
        </w:rPr>
        <w:t xml:space="preserve">(</w:t>
      </w:r>
      <m:oMath>
        <m:sSub>
          <m:e>
            <m:r>
              <m:t>σ</m:t>
            </m:r>
          </m:e>
          <m:sub>
            <m:r>
              <m:t>u</m:t>
            </m:r>
          </m:sub>
        </m:sSub>
        <m:r>
          <m:rPr>
            <m:sty m:val="p"/>
          </m:rPr>
          <m:t>=</m:t>
        </m:r>
        <m:r>
          <m:t>13.06</m:t>
        </m:r>
      </m:oMath>
      <w:r>
        <w:rPr>
          <w:rFonts w:ascii="Arial" w:hAnsi="Arial"/>
          <w:sz w:val="20"/>
        </w:rPr>
        <w:t xml:space="preserve"> </w:t>
      </w:r>
      <w:r>
        <w:rPr>
          <w:rFonts w:ascii="Arial" w:hAnsi="Arial"/>
          <w:sz w:val="20"/>
        </w:rPr>
        <w:t xml:space="preserve">d),</w:t>
      </w:r>
      <w:r>
        <w:rPr>
          <w:rFonts w:ascii="Arial" w:hAnsi="Arial"/>
          <w:sz w:val="20"/>
        </w:rPr>
        <w:t xml:space="preserve"> </w:t>
      </w:r>
      <w:r>
        <w:rPr>
          <w:rFonts w:ascii="Arial" w:hAnsi="Arial"/>
          <w:sz w:val="20"/>
        </w:rPr>
        <w:t xml:space="preserve">year FE</w:t>
      </w:r>
      <w:r>
        <w:rPr>
          <w:rFonts w:ascii="Arial" w:hAnsi="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sz w:val="20"/>
        </w:rPr>
        <w:t xml:space="preserve"> </w:t>
      </w:r>
      <w:r>
        <w:rPr>
          <w:rFonts w:ascii="Arial" w:hAnsi="Arial"/>
          <w:sz w:val="20"/>
        </w:rPr>
        <w:t xml:space="preserve">(</w:t>
      </w:r>
      <m:oMath>
        <m:sSub>
          <m:e>
            <m:r>
              <m:t>σ</m:t>
            </m:r>
          </m:e>
          <m:sub>
            <m:r>
              <m:t>t</m:t>
            </m:r>
          </m:sub>
        </m:sSub>
        <m:r>
          <m:rPr>
            <m:sty m:val="p"/>
          </m:rPr>
          <m:t>=</m:t>
        </m:r>
        <m:r>
          <m:t>41.75</m:t>
        </m:r>
      </m:oMath>
      <w:r>
        <w:rPr>
          <w:rFonts w:ascii="Arial" w:hAnsi="Arial"/>
          <w:sz w:val="20"/>
        </w:rPr>
        <w:t xml:space="preserve"> </w:t>
      </w:r>
      <w:r>
        <w:rPr>
          <w:rFonts w:ascii="Arial" w:hAnsi="Arial"/>
          <w:sz w:val="20"/>
        </w:rPr>
        <w:t xml:space="preserve">d), and</w:t>
      </w:r>
      <w:r>
        <w:rPr>
          <w:rFonts w:ascii="Arial" w:hAnsi="Arial"/>
          <w:sz w:val="20"/>
        </w:rPr>
        <w:t xml:space="preserve"> </w:t>
      </w:r>
      <w:r>
        <w:rPr>
          <w:rFonts w:ascii="Arial" w:hAnsi="Arial"/>
          <w:sz w:val="20"/>
        </w:rPr>
        <w:t xml:space="preserve">idiosyncratic noise</w:t>
      </w:r>
      <w:r>
        <w:rPr>
          <w:rFonts w:ascii="Arial" w:hAnsi="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sz w:val="20"/>
        </w:rPr>
        <w:t xml:space="preserve"> </w:t>
      </w:r>
      <w:r>
        <w:rPr>
          <w:rFonts w:ascii="Arial" w:hAnsi="Arial"/>
          <w:sz w:val="20"/>
        </w:rPr>
        <w:t xml:space="preserve">(</w:t>
      </w:r>
      <m:oMath>
        <m:sSub>
          <m:e>
            <m:r>
              <m:t>σ</m:t>
            </m:r>
          </m:e>
          <m:sub>
            <m:r>
              <m:t>ε</m:t>
            </m:r>
          </m:sub>
        </m:sSub>
        <m:r>
          <m:rPr>
            <m:sty m:val="p"/>
          </m:rPr>
          <m:t>=</m:t>
        </m:r>
        <m:r>
          <m:t>31.28</m:t>
        </m:r>
      </m:oMath>
      <w:r>
        <w:rPr>
          <w:rFonts w:ascii="Arial" w:hAnsi="Arial"/>
          <w:sz w:val="20"/>
        </w:rPr>
        <w:t xml:space="preserve"> </w:t>
      </w:r>
      <w:r>
        <w:rPr>
          <w:rFonts w:ascii="Arial" w:hAnsi="Arial"/>
          <w:sz w:val="20"/>
        </w:rPr>
        <w:t xml:space="preserve">d). Variance components are</w:t>
      </w:r>
      <w:r>
        <w:rPr>
          <w:rFonts w:ascii="Arial" w:hAnsi="Arial"/>
          <w:sz w:val="20"/>
        </w:rPr>
        <w:t xml:space="preserve"> </w:t>
      </w:r>
      <w:r>
        <w:rPr>
          <w:rFonts w:ascii="Arial" w:hAnsi="Arial"/>
          <w:b/>
          <w:bCs/>
          <w:sz w:val="20"/>
        </w:rPr>
        <w:t xml:space="preserve">empirical</w:t>
      </w:r>
      <w:r>
        <w:rPr>
          <w:rFonts w:ascii="Arial" w:hAnsi="Arial"/>
          <w:b/>
          <w:bCs/>
          <w:sz w:val="20"/>
        </w:rPr>
        <w:t xml:space="preserve"> </w:t>
      </w:r>
      <w:r>
        <w:rPr>
          <w:rFonts w:ascii="Arial" w:hAnsi="Arial"/>
          <w:b/>
          <w:bCs/>
          <w:sz w:val="20"/>
        </w:rPr>
        <w:t xml:space="preserve">point estimates</w:t>
      </w:r>
      <w:r>
        <w:rPr>
          <w:rFonts w:ascii="Arial" w:hAnsi="Arial"/>
          <w:sz w:val="20"/>
        </w:rPr>
        <w:t xml:space="preserve"> </w:t>
      </w:r>
      <w:r>
        <w:rPr>
          <w:rFonts w:ascii="Arial" w:hAnsi="Arial"/>
          <w:sz w:val="20"/>
        </w:rPr>
        <w:t xml:space="preserve">obtained from a two-way fixed-effects decomposition of</w:t>
      </w:r>
      <w:r>
        <w:rPr>
          <w:rFonts w:ascii="Arial" w:hAnsi="Arial"/>
          <w:sz w:val="20"/>
        </w:rPr>
        <w:t xml:space="preserve"> </w:t>
      </w:r>
      <w:r>
        <w:rPr>
          <w:rFonts w:ascii="Arial" w:hAnsi="Arial"/>
          <w:sz w:val="20"/>
        </w:rPr>
        <w:t xml:space="preserve">the real v2.1 corrected-SOS panel (</w:t>
      </w:r>
      <w:r>
        <w:rPr>
          <w:rStyle w:val="VerbatimChar"/>
          <w:rFonts w:ascii="Arial" w:hAnsi="Arial"/>
          <w:sz w:val="20"/>
        </w:rPr>
        <w:t xml:space="preserve">analysis/17_estimate_panel_variance_components.py</w:t>
      </w:r>
      <w:r>
        <w:rPr>
          <w:rFonts w:ascii="Arial" w:hAnsi="Arial"/>
          <w:sz w:val="20"/>
        </w:rPr>
        <w:t xml:space="preserve">;</w:t>
      </w:r>
      <w:r>
        <w:rPr>
          <w:rFonts w:ascii="Arial" w:hAnsi="Arial"/>
          <w:sz w:val="20"/>
        </w:rPr>
        <w:t xml:space="preserve"> </w:t>
      </w:r>
      <w:r>
        <w:rPr>
          <w:rFonts w:ascii="Arial" w:hAnsi="Arial"/>
          <w:sz w:val="20"/>
        </w:rPr>
        <w:t xml:space="preserve">output</w:t>
      </w:r>
      <w:r>
        <w:rPr>
          <w:rFonts w:ascii="Arial" w:hAnsi="Arial"/>
          <w:sz w:val="20"/>
        </w:rPr>
        <w:t xml:space="preserve"> </w:t>
      </w:r>
      <w:r>
        <w:rPr>
          <w:rStyle w:val="VerbatimChar"/>
          <w:rFonts w:ascii="Arial" w:hAnsi="Arial"/>
          <w:sz w:val="20"/>
        </w:rPr>
        <w:t xml:space="preserve">analysis/results/real_v21/variance_components_real_v21.csv</w:t>
      </w:r>
      <w:r>
        <w:rPr>
          <w:rFonts w:ascii="Arial" w:hAnsi="Arial"/>
          <w:sz w:val="20"/>
        </w:rPr>
        <w:t xml:space="preserve">):</w:t>
      </w:r>
      <w:r>
        <w:rPr>
          <w:rFonts w:ascii="Arial" w:hAnsi="Arial"/>
          <w:sz w:val="20"/>
        </w:rPr>
        <w:t xml:space="preserve"> </w:t>
      </w:r>
      <w:r>
        <w:rPr>
          <w:rFonts w:ascii="Arial" w:hAnsi="Arial"/>
          <w:sz w:val="20"/>
        </w:rPr>
        <w:t xml:space="preserve">district means and year means are removed sequentially with</w:t>
      </w:r>
      <w:r>
        <w:rPr>
          <w:rFonts w:ascii="Arial" w:hAnsi="Arial"/>
          <w:sz w:val="20"/>
        </w:rPr>
        <w:t xml:space="preserve"> </w:t>
      </w:r>
      <w:r>
        <w:rPr>
          <w:rStyle w:val="VerbatimChar"/>
          <w:rFonts w:ascii="Arial" w:hAnsi="Arial"/>
          <w:sz w:val="20"/>
        </w:rPr>
        <w:t xml:space="preserve">ddof=1</w:t>
      </w:r>
      <w:r>
        <w:rPr>
          <w:rFonts w:ascii="Arial" w:hAnsi="Arial"/>
          <w:sz w:val="20"/>
        </w:rPr>
        <w:t xml:space="preserve"> </w:t>
      </w:r>
      <w:r>
        <w:rPr>
          <w:rFonts w:ascii="Arial" w:hAnsi="Arial"/>
          <w:sz w:val="20"/>
        </w:rPr>
        <w:t xml:space="preserve">and</w:t>
      </w:r>
      <w:r>
        <w:rPr>
          <w:rFonts w:ascii="Arial" w:hAnsi="Arial"/>
          <w:sz w:val="20"/>
        </w:rPr>
        <w:t xml:space="preserve"> </w:t>
      </w:r>
      <w:r>
        <w:rPr>
          <w:rFonts w:ascii="Arial" w:hAnsi="Arial"/>
          <w:sz w:val="20"/>
        </w:rPr>
        <w:t xml:space="preserve">the residual variance gives</w:t>
      </w:r>
      <w:r>
        <w:rPr>
          <w:rFonts w:ascii="Arial" w:hAnsi="Arial"/>
          <w:sz w:val="20"/>
        </w:rPr>
        <w:t xml:space="preserve"> </w:t>
      </w:r>
      <m:oMath>
        <m:sSubSup>
          <m:e>
            <m:r>
              <m:t>σ</m:t>
            </m:r>
          </m:e>
          <m:sub>
            <m:r>
              <m:t>ε</m:t>
            </m:r>
          </m:sub>
          <m:sup>
            <m:r>
              <m:t>2</m:t>
            </m:r>
          </m:sup>
        </m:sSubSup>
      </m:oMath>
      <w:r>
        <w:rPr>
          <w:rFonts w:ascii="Arial" w:hAnsi="Arial"/>
          <w:sz w:val="20"/>
        </w:rPr>
        <w:t xml:space="preserve">. No synthetic or</w:t>
      </w:r>
      <w:r>
        <w:rPr>
          <w:rFonts w:ascii="Arial" w:hAnsi="Arial"/>
          <w:sz w:val="20"/>
        </w:rPr>
        <w:t xml:space="preserve"> </w:t>
      </w:r>
      <w:r>
        <w:rPr>
          <w:rFonts w:ascii="Arial" w:hAnsi="Arial"/>
          <w:sz w:val="20"/>
        </w:rPr>
        <w:t xml:space="preserve">literature-derived values enter the simulator.</w:t>
      </w:r>
      <w:r>
        <w:rPr>
          <w:rFonts w:ascii="Arial" w:hAnsi="Arial"/>
          <w:sz w:val="20"/>
        </w:rPr>
        <w:t xml:space="preserve"> </w:t>
      </w:r>
      <w:r>
        <w:rPr>
          <w:rFonts w:ascii="Arial" w:hAnsi="Arial"/>
          <w:sz w:val="20"/>
        </w:rPr>
        <w:t xml:space="preserve">Half the districts are treated, with the post-period covering the</w:t>
      </w:r>
      <w:r>
        <w:rPr>
          <w:rFonts w:ascii="Arial" w:hAnsi="Arial"/>
          <w:sz w:val="20"/>
        </w:rPr>
        <w:t xml:space="preserve"> </w:t>
      </w:r>
      <w:r>
        <w:rPr>
          <w:rFonts w:ascii="Arial" w:hAnsi="Arial"/>
          <w:sz w:val="20"/>
        </w:rPr>
        <w:t xml:space="preserve">second half of T = 8 years. We test</w:t>
      </w:r>
      <w:r>
        <w:rPr>
          <w:rFonts w:ascii="Arial" w:hAnsi="Arial"/>
          <w:sz w:val="20"/>
        </w:rPr>
        <w:t xml:space="preserve"> </w:t>
      </w:r>
      <m:oMath>
        <m:sSub>
          <m:e>
            <m:r>
              <m:t>H</m:t>
            </m:r>
          </m:e>
          <m:sub>
            <m:r>
              <m:t>0</m:t>
            </m:r>
          </m:sub>
        </m:sSub>
        <m:r>
          <m:t>​</m:t>
        </m:r>
        <m:r>
          <m:rPr>
            <m:sty m:val="p"/>
          </m:rPr>
          <m:t>:</m:t>
        </m:r>
        <m:r>
          <m:t> </m:t>
        </m:r>
        <m:r>
          <m:t>τ</m:t>
        </m:r>
        <m:r>
          <m:rPr>
            <m:sty m:val="p"/>
          </m:rPr>
          <m:t>=</m:t>
        </m:r>
        <m:r>
          <m:t>0</m:t>
        </m:r>
      </m:oMath>
      <w:r>
        <w:rPr>
          <w:rFonts w:ascii="Arial" w:hAnsi="Arial"/>
          <w:sz w:val="20"/>
        </w:rPr>
        <w:t xml:space="preserve"> </w:t>
      </w:r>
      <w:r>
        <w:rPr>
          <w:rFonts w:ascii="Arial" w:hAnsi="Arial"/>
          <w:sz w:val="20"/>
        </w:rPr>
        <w:t xml:space="preserve">using OLS with</w:t>
      </w:r>
      <w:r>
        <w:rPr>
          <w:rFonts w:ascii="Arial" w:hAnsi="Arial"/>
          <w:sz w:val="20"/>
        </w:rPr>
        <w:t xml:space="preserve"> </w:t>
      </w:r>
      <w:r>
        <w:rPr>
          <w:rFonts w:ascii="Arial" w:hAnsi="Arial"/>
          <w:sz w:val="20"/>
        </w:rPr>
        <w:t xml:space="preserve">CR1-corrected cluster-robust SE on G clusters and a t-test at df = G−1.</w:t>
      </w: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Style w:val="VerbatimCha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Style w:val="VerbatimCha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Compact"/>
        <w:numPr>
          <w:ilvl w:val="0"/>
          <w:numId w:val="1001"/>
        </w:numPr>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Style w:val="VerbatimCha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pStyle w:val="FirstParagraph"/>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74298" w:name="table_s1"/>
      <w:r>
        <w:rPr>
          <w:rFonts w:ascii="Arial" w:hAnsi="Arial"/>
          <w:b/>
          <w:color w:val="1F3A5F"/>
          <w:sz w:val="32"/>
        </w:rPr>
        <w:t>Table S1 — Static TWFE-DiD point estimates</w:t>
      </w:r>
      <w:bookmarkEnd w:id="74298"/>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8945" w:name="table_s2"/>
      <w:r>
        <w:rPr>
          <w:rFonts w:ascii="Arial" w:hAnsi="Arial"/>
          <w:b/>
          <w:color w:val="1F3A5F"/>
          <w:sz w:val="32"/>
        </w:rPr>
        <w:t>Table S2 — Pre-trend tests</w:t>
      </w:r>
      <w:bookmarkEnd w:id="8945"/>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588" w:name="table_s3"/>
      <w:r>
        <w:rPr>
          <w:rFonts w:ascii="Arial" w:hAnsi="Arial"/>
          <w:b/>
          <w:color w:val="1F3A5F"/>
          <w:sz w:val="32"/>
        </w:rPr>
        <w:t>Table S3 — Bulbul transferability residuals</w:t>
      </w:r>
      <w:bookmarkEnd w:id="44588"/>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9"/>
              </w:rPr>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9"/>
              </w:rPr>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9"/>
              </w:rPr>
            </w:r>
          </w:p>
        </w:tc>
        <w:tc>
          <w:tcPr>
            <w:tcW w:type="dxa" w:w="1108"/>
          </w:tcPr>
          <w:p>
            <w:r>
              <w:rPr>
                <w:rFonts w:ascii="Arial" w:hAnsi="Arial"/>
                <w:b/>
                <w:sz w:val="19"/>
              </w:rPr>
              <w:t>-8.11 – +22.49</w:t>
            </w:r>
          </w:p>
        </w:tc>
        <w:tc>
          <w:tcPr>
            <w:tcW w:type="dxa" w:w="1108"/>
          </w:tcPr>
          <w:p>
            <w:r>
              <w:rPr>
                <w:rFonts w:ascii="Arial" w:hAnsi="Arial"/>
                <w:b/>
                <w:sz w:val="19"/>
              </w:rPr>
            </w:r>
          </w:p>
        </w:tc>
        <w:tc>
          <w:tcPr>
            <w:tcW w:type="dxa" w:w="1108"/>
          </w:tcPr>
          <w:p>
            <w:r>
              <w:rPr>
                <w:rFonts w:ascii="Arial" w:hAnsi="Arial"/>
                <w:b/>
                <w:sz w:val="19"/>
              </w:rPr>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17700" w:name="table_s4"/>
      <w:r>
        <w:rPr>
          <w:rFonts w:ascii="Arial" w:hAnsi="Arial"/>
          <w:b/>
          <w:color w:val="1F3A5F"/>
          <w:sz w:val="32"/>
        </w:rPr>
        <w:t>Table S4 — Wild-cluster bootstrap (G = 8)</w:t>
      </w:r>
      <w:bookmarkEnd w:id="17700"/>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69895" w:name="table_s5"/>
      <w:r>
        <w:rPr>
          <w:rFonts w:ascii="Arial" w:hAnsi="Arial"/>
          <w:b/>
          <w:color w:val="1F3A5F"/>
          <w:sz w:val="32"/>
        </w:rPr>
        <w:t>Table S5 — Jackknife leave-one-out</w:t>
      </w:r>
      <w:bookmarkEnd w:id="69895"/>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50362" w:name="table_s6"/>
      <w:r>
        <w:rPr>
          <w:rFonts w:ascii="Arial" w:hAnsi="Arial"/>
          <w:b/>
          <w:color w:val="1F3A5F"/>
          <w:sz w:val="32"/>
        </w:rPr>
        <w:t>Table S6 — MDE / power</w:t>
      </w:r>
      <w:bookmarkEnd w:id="50362"/>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15.289</w:t>
            </w:r>
          </w:p>
        </w:tc>
        <w:tc>
          <w:tcPr>
            <w:tcW w:type="dxa" w:w="1080"/>
          </w:tcPr>
          <w:p>
            <w:r>
              <w:rPr>
                <w:rFonts w:ascii="Arial" w:hAnsi="Arial"/>
                <w:sz w:val="18"/>
              </w:rPr>
              <w:t>17.328</w:t>
            </w:r>
          </w:p>
        </w:tc>
        <w:tc>
          <w:tcPr>
            <w:tcW w:type="dxa" w:w="1080"/>
          </w:tcPr>
          <w:p>
            <w:r>
              <w:rPr>
                <w:rFonts w:ascii="Arial" w:hAnsi="Arial"/>
                <w:sz w:val="18"/>
              </w:rPr>
              <w:t>56.501</w:t>
            </w:r>
          </w:p>
        </w:tc>
        <w:tc>
          <w:tcPr>
            <w:tcW w:type="dxa" w:w="1080"/>
          </w:tcPr>
          <w:p>
            <w:r>
              <w:rPr>
                <w:rFonts w:ascii="Arial" w:hAnsi="Arial"/>
                <w:sz w:val="18"/>
              </w:rPr>
              <w:t>48.356</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-3.587</w:t>
            </w:r>
          </w:p>
        </w:tc>
        <w:tc>
          <w:tcPr>
            <w:tcW w:type="dxa" w:w="1080"/>
          </w:tcPr>
          <w:p>
            <w:r>
              <w:rPr>
                <w:rFonts w:ascii="Arial" w:hAnsi="Arial"/>
                <w:sz w:val="18"/>
              </w:rPr>
              <w:t>2.882</w:t>
            </w:r>
          </w:p>
        </w:tc>
        <w:tc>
          <w:tcPr>
            <w:tcW w:type="dxa" w:w="1080"/>
          </w:tcPr>
          <w:p>
            <w:r>
              <w:rPr>
                <w:rFonts w:ascii="Arial" w:hAnsi="Arial"/>
                <w:sz w:val="18"/>
              </w:rPr>
              <w:t>9.397</w:t>
            </w:r>
          </w:p>
        </w:tc>
        <w:tc>
          <w:tcPr>
            <w:tcW w:type="dxa" w:w="1080"/>
          </w:tcPr>
          <w:p>
            <w:r>
              <w:rPr>
                <w:rFonts w:ascii="Arial" w:hAnsi="Arial"/>
                <w:sz w:val="18"/>
              </w:rPr>
              <w:t>8.043</w:t>
            </w:r>
          </w:p>
        </w:tc>
        <w:tc>
          <w:tcPr>
            <w:tcW w:type="dxa" w:w="1080"/>
          </w:tcPr>
          <w:p>
            <w:r>
              <w:rPr>
                <w:rFonts w:ascii="Arial" w:hAnsi="Arial"/>
                <w:sz w:val="18"/>
              </w:rPr>
              <w:t>0.38</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nan</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15.108</w:t>
            </w:r>
          </w:p>
        </w:tc>
        <w:tc>
          <w:tcPr>
            <w:tcW w:type="dxa" w:w="1080"/>
          </w:tcPr>
          <w:p>
            <w:r>
              <w:rPr>
                <w:rFonts w:ascii="Arial" w:hAnsi="Arial"/>
                <w:sz w:val="18"/>
              </w:rPr>
              <w:t>17.312</w:t>
            </w:r>
          </w:p>
        </w:tc>
        <w:tc>
          <w:tcPr>
            <w:tcW w:type="dxa" w:w="1080"/>
          </w:tcPr>
          <w:p>
            <w:r>
              <w:rPr>
                <w:rFonts w:ascii="Arial" w:hAnsi="Arial"/>
                <w:sz w:val="18"/>
              </w:rPr>
              <w:t>56.448</w:t>
            </w:r>
          </w:p>
        </w:tc>
        <w:tc>
          <w:tcPr>
            <w:tcW w:type="dxa" w:w="1080"/>
          </w:tcPr>
          <w:p>
            <w:r>
              <w:rPr>
                <w:rFonts w:ascii="Arial" w:hAnsi="Arial"/>
                <w:sz w:val="18"/>
              </w:rPr>
              <w:t>48.311</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-3.677</w:t>
            </w:r>
          </w:p>
        </w:tc>
        <w:tc>
          <w:tcPr>
            <w:tcW w:type="dxa" w:w="1080"/>
          </w:tcPr>
          <w:p>
            <w:r>
              <w:rPr>
                <w:rFonts w:ascii="Arial" w:hAnsi="Arial"/>
                <w:sz w:val="18"/>
              </w:rPr>
              <w:t>2.897</w:t>
            </w:r>
          </w:p>
        </w:tc>
        <w:tc>
          <w:tcPr>
            <w:tcW w:type="dxa" w:w="1080"/>
          </w:tcPr>
          <w:p>
            <w:r>
              <w:rPr>
                <w:rFonts w:ascii="Arial" w:hAnsi="Arial"/>
                <w:sz w:val="18"/>
              </w:rPr>
              <w:t>9.446</w:t>
            </w:r>
          </w:p>
        </w:tc>
        <w:tc>
          <w:tcPr>
            <w:tcW w:type="dxa" w:w="1080"/>
          </w:tcPr>
          <w:p>
            <w:r>
              <w:rPr>
                <w:rFonts w:ascii="Arial" w:hAnsi="Arial"/>
                <w:sz w:val="18"/>
              </w:rPr>
              <w:t>8.084</w:t>
            </w:r>
          </w:p>
        </w:tc>
        <w:tc>
          <w:tcPr>
            <w:tcW w:type="dxa" w:w="1080"/>
          </w:tcPr>
          <w:p>
            <w:r>
              <w:rPr>
                <w:rFonts w:ascii="Arial" w:hAnsi="Arial"/>
                <w:sz w:val="18"/>
              </w:rPr>
              <w:t>0.39</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-0.239</w:t>
            </w:r>
          </w:p>
        </w:tc>
        <w:tc>
          <w:tcPr>
            <w:tcW w:type="dxa" w:w="1080"/>
          </w:tcPr>
          <w:p>
            <w:r>
              <w:rPr>
                <w:rFonts w:ascii="Arial" w:hAnsi="Arial"/>
                <w:sz w:val="18"/>
              </w:rPr>
              <w:t>0.169</w:t>
            </w:r>
          </w:p>
        </w:tc>
        <w:tc>
          <w:tcPr>
            <w:tcW w:type="dxa" w:w="1080"/>
          </w:tcPr>
          <w:p>
            <w:r>
              <w:rPr>
                <w:rFonts w:ascii="Arial" w:hAnsi="Arial"/>
                <w:sz w:val="18"/>
              </w:rPr>
              <w:t>0.551</w:t>
            </w:r>
          </w:p>
        </w:tc>
        <w:tc>
          <w:tcPr>
            <w:tcW w:type="dxa" w:w="1080"/>
          </w:tcPr>
          <w:p>
            <w:r>
              <w:rPr>
                <w:rFonts w:ascii="Arial" w:hAnsi="Arial"/>
                <w:sz w:val="18"/>
              </w:rPr>
              <w:t>0.472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38738" w:name="table_s7"/>
      <w:r>
        <w:rPr>
          <w:rFonts w:ascii="Arial" w:hAnsi="Arial"/>
          <w:b/>
          <w:color w:val="1F3A5F"/>
          <w:sz w:val="32"/>
        </w:rPr>
        <w:t>Table S7 — Placebo / falsification</w:t>
      </w:r>
      <w:bookmarkEnd w:id="3873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34350" w:name="table_s8"/>
      <w:r>
        <w:rPr>
          <w:rFonts w:ascii="Arial" w:hAnsi="Arial"/>
          <w:b/>
          <w:color w:val="1F3A5F"/>
          <w:sz w:val="32"/>
        </w:rPr>
        <w:t>Table S8 — Pre-Kharif cyclone climatology</w:t>
      </w:r>
      <w:bookmarkEnd w:id="34350"/>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87827" w:name="table_s9"/>
      <w:r>
        <w:rPr>
          <w:rFonts w:ascii="Arial" w:hAnsi="Arial"/>
          <w:b/>
          <w:color w:val="1F3A5F"/>
          <w:sz w:val="32"/>
        </w:rPr>
        <w:t>Table S9 — Real Sentinel-1 RTC dual-pol backscatter signatures (Planetary Computer)</w:t>
      </w:r>
      <w:bookmarkEnd w:id="87827"/>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b/>
                <w:sz w:val="18"/>
              </w:rPr>
              <w:t>District</w:t>
            </w:r>
          </w:p>
        </w:tc>
        <w:tc>
          <w:tcPr>
            <w:tcW w:type="dxa" w:w="1656"/>
          </w:tcPr>
          <w:p>
            <w:r>
              <w:rPr>
                <w:rFonts w:ascii="Arial" w:hAnsi="Arial"/>
                <w:b/>
                <w:sz w:val="18"/>
              </w:rPr>
              <w:t>Phase</w:t>
            </w:r>
          </w:p>
        </w:tc>
        <w:tc>
          <w:tcPr>
            <w:tcW w:type="dxa" w:w="1656"/>
          </w:tcPr>
          <w:p>
            <w:r>
              <w:rPr>
                <w:rFonts w:ascii="Arial" w:hAnsi="Arial"/>
                <w:b/>
                <w:sz w:val="18"/>
              </w:rPr>
              <w:t>n_dekads</w:t>
            </w:r>
          </w:p>
        </w:tc>
        <w:tc>
          <w:tcPr>
            <w:tcW w:type="dxa" w:w="1656"/>
          </w:tcPr>
          <w:p>
            <w:r>
              <w:rPr>
                <w:rFonts w:ascii="Arial" w:hAnsi="Arial"/>
                <w:b/>
                <w:sz w:val="18"/>
              </w:rPr>
              <w:t>Mean VH (dB)</w:t>
            </w:r>
          </w:p>
        </w:tc>
        <w:tc>
          <w:tcPr>
            <w:tcW w:type="dxa" w:w="1656"/>
          </w:tcPr>
          <w:p>
            <w:r>
              <w:rPr>
                <w:rFonts w:ascii="Arial" w:hAnsi="Arial"/>
                <w:b/>
                <w:sz w:val="18"/>
              </w:rPr>
              <w:t>Mean VV (dB)</w:t>
            </w:r>
          </w:p>
        </w:tc>
        <w:tc>
          <w:tcPr>
            <w:tcW w:type="dxa" w:w="1656"/>
          </w:tcPr>
          <w:p>
            <w:r>
              <w:rPr>
                <w:rFonts w:ascii="Arial" w:hAnsi="Arial"/>
                <w:b/>
                <w:sz w:val="18"/>
              </w:rPr>
              <w:t>Mean CR</w:t>
            </w:r>
          </w:p>
        </w:tc>
      </w:tr>
      <w:tr>
        <w:tc>
          <w:tcPr>
            <w:tcW w:type="dxa" w:w="1656"/>
          </w:tcPr>
          <w:p>
            <w:r>
              <w:rPr>
                <w:rFonts w:ascii="Arial" w:hAnsi="Arial"/>
                <w:sz w:val="18"/>
              </w:rPr>
              <w:t>Boudh</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-15.18</w:t>
            </w:r>
          </w:p>
        </w:tc>
        <w:tc>
          <w:tcPr>
            <w:tcW w:type="dxa" w:w="1656"/>
          </w:tcPr>
          <w:p>
            <w:r>
              <w:rPr>
                <w:rFonts w:ascii="Arial" w:hAnsi="Arial"/>
                <w:sz w:val="18"/>
              </w:rPr>
              <w:t>-8.83</w:t>
            </w:r>
          </w:p>
        </w:tc>
        <w:tc>
          <w:tcPr>
            <w:tcW w:type="dxa" w:w="1656"/>
          </w:tcPr>
          <w:p>
            <w:r>
              <w:rPr>
                <w:rFonts w:ascii="Arial" w:hAnsi="Arial"/>
                <w:sz w:val="18"/>
              </w:rPr>
              <w:t>0.239</w:t>
            </w:r>
          </w:p>
        </w:tc>
      </w:tr>
      <w:tr>
        <w:tc>
          <w:tcPr>
            <w:tcW w:type="dxa" w:w="1656"/>
          </w:tcPr>
          <w:p>
            <w:r>
              <w:rPr>
                <w:rFonts w:ascii="Arial" w:hAnsi="Arial"/>
                <w:sz w:val="18"/>
              </w:rPr>
              <w:t>Boudh</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-13.93</w:t>
            </w:r>
          </w:p>
        </w:tc>
        <w:tc>
          <w:tcPr>
            <w:tcW w:type="dxa" w:w="1656"/>
          </w:tcPr>
          <w:p>
            <w:r>
              <w:rPr>
                <w:rFonts w:ascii="Arial" w:hAnsi="Arial"/>
                <w:sz w:val="18"/>
              </w:rPr>
              <w:t>-7.32</w:t>
            </w:r>
          </w:p>
        </w:tc>
        <w:tc>
          <w:tcPr>
            <w:tcW w:type="dxa" w:w="1656"/>
          </w:tcPr>
          <w:p>
            <w:r>
              <w:rPr>
                <w:rFonts w:ascii="Arial" w:hAnsi="Arial"/>
                <w:sz w:val="18"/>
              </w:rPr>
              <w:t>0.226</w:t>
            </w:r>
          </w:p>
        </w:tc>
      </w:tr>
      <w:tr>
        <w:tc>
          <w:tcPr>
            <w:tcW w:type="dxa" w:w="1656"/>
          </w:tcPr>
          <w:p>
            <w:r>
              <w:rPr>
                <w:rFonts w:ascii="Arial" w:hAnsi="Arial"/>
                <w:sz w:val="18"/>
              </w:rPr>
              <w:t>Boudh</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-13.79</w:t>
            </w:r>
          </w:p>
        </w:tc>
        <w:tc>
          <w:tcPr>
            <w:tcW w:type="dxa" w:w="1656"/>
          </w:tcPr>
          <w:p>
            <w:r>
              <w:rPr>
                <w:rFonts w:ascii="Arial" w:hAnsi="Arial"/>
                <w:sz w:val="18"/>
              </w:rPr>
              <w:t>-6.94</w:t>
            </w:r>
          </w:p>
        </w:tc>
        <w:tc>
          <w:tcPr>
            <w:tcW w:type="dxa" w:w="1656"/>
          </w:tcPr>
          <w:p>
            <w:r>
              <w:rPr>
                <w:rFonts w:ascii="Arial" w:hAnsi="Arial"/>
                <w:sz w:val="18"/>
              </w:rPr>
              <w:t>0.215</w:t>
            </w:r>
          </w:p>
        </w:tc>
      </w:tr>
      <w:tr>
        <w:tc>
          <w:tcPr>
            <w:tcW w:type="dxa" w:w="1656"/>
          </w:tcPr>
          <w:p>
            <w:r>
              <w:rPr>
                <w:rFonts w:ascii="Arial" w:hAnsi="Arial"/>
                <w:sz w:val="18"/>
              </w:rPr>
              <w:t>Boudh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-13.77</w:t>
            </w:r>
          </w:p>
        </w:tc>
        <w:tc>
          <w:tcPr>
            <w:tcW w:type="dxa" w:w="1656"/>
          </w:tcPr>
          <w:p>
            <w:r>
              <w:rPr>
                <w:rFonts w:ascii="Arial" w:hAnsi="Arial"/>
                <w:sz w:val="18"/>
              </w:rPr>
              <w:t>-7.37</w:t>
            </w:r>
          </w:p>
        </w:tc>
        <w:tc>
          <w:tcPr>
            <w:tcW w:type="dxa" w:w="1656"/>
          </w:tcPr>
          <w:p>
            <w:r>
              <w:rPr>
                <w:rFonts w:ascii="Arial" w:hAnsi="Arial"/>
                <w:sz w:val="18"/>
              </w:rPr>
              <w:t>0.238</w:t>
            </w:r>
          </w:p>
        </w:tc>
      </w:tr>
      <w:tr>
        <w:tc>
          <w:tcPr>
            <w:tcW w:type="dxa" w:w="1656"/>
          </w:tcPr>
          <w:p>
            <w:r>
              <w:rPr>
                <w:rFonts w:ascii="Arial" w:hAnsi="Arial"/>
                <w:sz w:val="18"/>
              </w:rPr>
              <w:t>Ganjam</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-13.63</w:t>
            </w:r>
          </w:p>
        </w:tc>
        <w:tc>
          <w:tcPr>
            <w:tcW w:type="dxa" w:w="1656"/>
          </w:tcPr>
          <w:p>
            <w:r>
              <w:rPr>
                <w:rFonts w:ascii="Arial" w:hAnsi="Arial"/>
                <w:sz w:val="18"/>
              </w:rPr>
              <w:t>-7.13</w:t>
            </w:r>
          </w:p>
        </w:tc>
        <w:tc>
          <w:tcPr>
            <w:tcW w:type="dxa" w:w="1656"/>
          </w:tcPr>
          <w:p>
            <w:r>
              <w:rPr>
                <w:rFonts w:ascii="Arial" w:hAnsi="Arial"/>
                <w:sz w:val="18"/>
              </w:rPr>
              <w:t>0.232</w:t>
            </w:r>
          </w:p>
        </w:tc>
      </w:tr>
      <w:tr>
        <w:tc>
          <w:tcPr>
            <w:tcW w:type="dxa" w:w="1656"/>
          </w:tcPr>
          <w:p>
            <w:r>
              <w:rPr>
                <w:rFonts w:ascii="Arial" w:hAnsi="Arial"/>
                <w:sz w:val="18"/>
              </w:rPr>
              <w:t>Ganjam</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-13.56</w:t>
            </w:r>
          </w:p>
        </w:tc>
        <w:tc>
          <w:tcPr>
            <w:tcW w:type="dxa" w:w="1656"/>
          </w:tcPr>
          <w:p>
            <w:r>
              <w:rPr>
                <w:rFonts w:ascii="Arial" w:hAnsi="Arial"/>
                <w:sz w:val="18"/>
              </w:rPr>
              <w:t>-7.04</w:t>
            </w:r>
          </w:p>
        </w:tc>
        <w:tc>
          <w:tcPr>
            <w:tcW w:type="dxa" w:w="1656"/>
          </w:tcPr>
          <w:p>
            <w:r>
              <w:rPr>
                <w:rFonts w:ascii="Arial" w:hAnsi="Arial"/>
                <w:sz w:val="18"/>
              </w:rPr>
              <w:t>0.230</w:t>
            </w:r>
          </w:p>
        </w:tc>
      </w:tr>
      <w:tr>
        <w:tc>
          <w:tcPr>
            <w:tcW w:type="dxa" w:w="1656"/>
          </w:tcPr>
          <w:p>
            <w:r>
              <w:rPr>
                <w:rFonts w:ascii="Arial" w:hAnsi="Arial"/>
                <w:sz w:val="18"/>
              </w:rPr>
              <w:t>Ganjam</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-13.65</w:t>
            </w:r>
          </w:p>
        </w:tc>
        <w:tc>
          <w:tcPr>
            <w:tcW w:type="dxa" w:w="1656"/>
          </w:tcPr>
          <w:p>
            <w:r>
              <w:rPr>
                <w:rFonts w:ascii="Arial" w:hAnsi="Arial"/>
                <w:sz w:val="18"/>
              </w:rPr>
              <w:t>-6.67</w:t>
            </w:r>
          </w:p>
        </w:tc>
        <w:tc>
          <w:tcPr>
            <w:tcW w:type="dxa" w:w="1656"/>
          </w:tcPr>
          <w:p>
            <w:r>
              <w:rPr>
                <w:rFonts w:ascii="Arial" w:hAnsi="Arial"/>
                <w:sz w:val="18"/>
              </w:rPr>
              <w:t>0.210</w:t>
            </w:r>
          </w:p>
        </w:tc>
      </w:tr>
      <w:tr>
        <w:tc>
          <w:tcPr>
            <w:tcW w:type="dxa" w:w="1656"/>
          </w:tcPr>
          <w:p>
            <w:r>
              <w:rPr>
                <w:rFonts w:ascii="Arial" w:hAnsi="Arial"/>
                <w:sz w:val="18"/>
              </w:rPr>
              <w:t>Ganjam</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-13.57</w:t>
            </w:r>
          </w:p>
        </w:tc>
        <w:tc>
          <w:tcPr>
            <w:tcW w:type="dxa" w:w="1656"/>
          </w:tcPr>
          <w:p>
            <w:r>
              <w:rPr>
                <w:rFonts w:ascii="Arial" w:hAnsi="Arial"/>
                <w:sz w:val="18"/>
              </w:rPr>
              <w:t>-7.55</w:t>
            </w:r>
          </w:p>
        </w:tc>
        <w:tc>
          <w:tcPr>
            <w:tcW w:type="dxa" w:w="1656"/>
          </w:tcPr>
          <w:p>
            <w:r>
              <w:rPr>
                <w:rFonts w:ascii="Arial" w:hAnsi="Arial"/>
                <w:sz w:val="18"/>
              </w:rPr>
              <w:t>0.260</w:t>
            </w:r>
          </w:p>
        </w:tc>
      </w:tr>
      <w:tr>
        <w:tc>
          <w:tcPr>
            <w:tcW w:type="dxa" w:w="1656"/>
          </w:tcPr>
          <w:p>
            <w:r>
              <w:rPr>
                <w:rFonts w:ascii="Arial" w:hAnsi="Arial"/>
                <w:sz w:val="18"/>
              </w:rPr>
              <w:t>Khordha</w:t>
            </w:r>
          </w:p>
        </w:tc>
        <w:tc>
          <w:tcPr>
            <w:tcW w:type="dxa" w:w="1656"/>
          </w:tcPr>
          <w:p>
            <w:r>
              <w:rPr>
                <w:rFonts w:ascii="Arial" w:hAnsi="Arial"/>
                <w:sz w:val="18"/>
              </w:rPr>
              <w:t>Pre-transplant baseline (May)</w:t>
            </w:r>
          </w:p>
        </w:tc>
        <w:tc>
          <w:tcPr>
            <w:tcW w:type="dxa" w:w="1656"/>
          </w:tcPr>
          <w:p>
            <w:r>
              <w:rPr>
                <w:rFonts w:ascii="Arial" w:hAnsi="Arial"/>
                <w:sz w:val="18"/>
              </w:rPr>
              <w:t>4</w:t>
            </w:r>
          </w:p>
        </w:tc>
        <w:tc>
          <w:tcPr>
            <w:tcW w:type="dxa" w:w="1656"/>
          </w:tcPr>
          <w:p>
            <w:r>
              <w:rPr>
                <w:rFonts w:ascii="Arial" w:hAnsi="Arial"/>
                <w:sz w:val="18"/>
              </w:rPr>
              <w:t>-15.05</w:t>
            </w:r>
          </w:p>
        </w:tc>
        <w:tc>
          <w:tcPr>
            <w:tcW w:type="dxa" w:w="1656"/>
          </w:tcPr>
          <w:p>
            <w:r>
              <w:rPr>
                <w:rFonts w:ascii="Arial" w:hAnsi="Arial"/>
                <w:sz w:val="18"/>
              </w:rPr>
              <w:t>-8.75</w:t>
            </w:r>
          </w:p>
        </w:tc>
        <w:tc>
          <w:tcPr>
            <w:tcW w:type="dxa" w:w="1656"/>
          </w:tcPr>
          <w:p>
            <w:r>
              <w:rPr>
                <w:rFonts w:ascii="Arial" w:hAnsi="Arial"/>
                <w:sz w:val="18"/>
              </w:rPr>
              <w:t>0.245</w:t>
            </w:r>
          </w:p>
        </w:tc>
      </w:tr>
      <w:tr>
        <w:tc>
          <w:tcPr>
            <w:tcW w:type="dxa" w:w="1656"/>
          </w:tcPr>
          <w:p>
            <w:r>
              <w:rPr>
                <w:rFonts w:ascii="Arial" w:hAnsi="Arial"/>
                <w:sz w:val="18"/>
              </w:rPr>
              <w:t>Khordha</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-14.24</w:t>
            </w:r>
          </w:p>
        </w:tc>
        <w:tc>
          <w:tcPr>
            <w:tcW w:type="dxa" w:w="1656"/>
          </w:tcPr>
          <w:p>
            <w:r>
              <w:rPr>
                <w:rFonts w:ascii="Arial" w:hAnsi="Arial"/>
                <w:sz w:val="18"/>
              </w:rPr>
              <w:t>-7.47</w:t>
            </w:r>
          </w:p>
        </w:tc>
        <w:tc>
          <w:tcPr>
            <w:tcW w:type="dxa" w:w="1656"/>
          </w:tcPr>
          <w:p>
            <w:r>
              <w:rPr>
                <w:rFonts w:ascii="Arial" w:hAnsi="Arial"/>
                <w:sz w:val="18"/>
              </w:rPr>
              <w:t>0.223</w:t>
            </w:r>
          </w:p>
        </w:tc>
      </w:tr>
      <w:tr>
        <w:tc>
          <w:tcPr>
            <w:tcW w:type="dxa" w:w="1656"/>
          </w:tcPr>
          <w:p>
            <w:r>
              <w:rPr>
                <w:rFonts w:ascii="Arial" w:hAnsi="Arial"/>
                <w:sz w:val="18"/>
              </w:rPr>
              <w:t>Khordha</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-14.27</w:t>
            </w:r>
          </w:p>
        </w:tc>
        <w:tc>
          <w:tcPr>
            <w:tcW w:type="dxa" w:w="1656"/>
          </w:tcPr>
          <w:p>
            <w:r>
              <w:rPr>
                <w:rFonts w:ascii="Arial" w:hAnsi="Arial"/>
                <w:sz w:val="18"/>
              </w:rPr>
              <w:t>-7.32</w:t>
            </w:r>
          </w:p>
        </w:tc>
        <w:tc>
          <w:tcPr>
            <w:tcW w:type="dxa" w:w="1656"/>
          </w:tcPr>
          <w:p>
            <w:r>
              <w:rPr>
                <w:rFonts w:ascii="Arial" w:hAnsi="Arial"/>
                <w:sz w:val="18"/>
              </w:rPr>
              <w:t>0.216</w:t>
            </w:r>
          </w:p>
        </w:tc>
      </w:tr>
      <w:tr>
        <w:tc>
          <w:tcPr>
            <w:tcW w:type="dxa" w:w="1656"/>
          </w:tcPr>
          <w:p>
            <w:r>
              <w:rPr>
                <w:rFonts w:ascii="Arial" w:hAnsi="Arial"/>
                <w:sz w:val="18"/>
              </w:rPr>
              <w:t>Khordha</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-7.38</w:t>
            </w:r>
          </w:p>
        </w:tc>
        <w:tc>
          <w:tcPr>
            <w:tcW w:type="dxa" w:w="1656"/>
          </w:tcPr>
          <w:p>
            <w:r>
              <w:rPr>
                <w:rFonts w:ascii="Arial" w:hAnsi="Arial"/>
                <w:sz w:val="18"/>
              </w:rPr>
              <w:t>0.262</w:t>
            </w:r>
          </w:p>
        </w:tc>
      </w:tr>
      <w:tr>
        <w:tc>
          <w:tcPr>
            <w:tcW w:type="dxa" w:w="1656"/>
          </w:tcPr>
          <w:p>
            <w:r>
              <w:rPr>
                <w:rFonts w:ascii="Arial" w:hAnsi="Arial"/>
                <w:sz w:val="18"/>
              </w:rPr>
              <w:t>Nayagarh</w:t>
            </w:r>
          </w:p>
        </w:tc>
        <w:tc>
          <w:tcPr>
            <w:tcW w:type="dxa" w:w="1656"/>
          </w:tcPr>
          <w:p>
            <w:r>
              <w:rPr>
                <w:rFonts w:ascii="Arial" w:hAnsi="Arial"/>
                <w:sz w:val="18"/>
              </w:rPr>
              <w:t>Pre-transplant baseline (May)</w:t>
            </w:r>
          </w:p>
        </w:tc>
        <w:tc>
          <w:tcPr>
            <w:tcW w:type="dxa" w:w="1656"/>
          </w:tcPr>
          <w:p>
            <w:r>
              <w:rPr>
                <w:rFonts w:ascii="Arial" w:hAnsi="Arial"/>
                <w:sz w:val="18"/>
              </w:rPr>
              <w:t>1</w:t>
            </w:r>
          </w:p>
        </w:tc>
        <w:tc>
          <w:tcPr>
            <w:tcW w:type="dxa" w:w="1656"/>
          </w:tcPr>
          <w:p>
            <w:r>
              <w:rPr>
                <w:rFonts w:ascii="Arial" w:hAnsi="Arial"/>
                <w:sz w:val="18"/>
              </w:rPr>
              <w:t>-13.43</w:t>
            </w:r>
          </w:p>
        </w:tc>
        <w:tc>
          <w:tcPr>
            <w:tcW w:type="dxa" w:w="1656"/>
          </w:tcPr>
          <w:p>
            <w:r>
              <w:rPr>
                <w:rFonts w:ascii="Arial" w:hAnsi="Arial"/>
                <w:sz w:val="18"/>
              </w:rPr>
              <w:t>-7.12</w:t>
            </w:r>
          </w:p>
        </w:tc>
        <w:tc>
          <w:tcPr>
            <w:tcW w:type="dxa" w:w="1656"/>
          </w:tcPr>
          <w:p>
            <w:r>
              <w:rPr>
                <w:rFonts w:ascii="Arial" w:hAnsi="Arial"/>
                <w:sz w:val="18"/>
              </w:rPr>
              <w:t>0.241</w:t>
            </w:r>
          </w:p>
        </w:tc>
      </w:tr>
      <w:tr>
        <w:tc>
          <w:tcPr>
            <w:tcW w:type="dxa" w:w="1656"/>
          </w:tcPr>
          <w:p>
            <w:r>
              <w:rPr>
                <w:rFonts w:ascii="Arial" w:hAnsi="Arial"/>
                <w:sz w:val="18"/>
              </w:rPr>
              <w:t>Nayagarh</w:t>
            </w:r>
          </w:p>
        </w:tc>
        <w:tc>
          <w:tcPr>
            <w:tcW w:type="dxa" w:w="1656"/>
          </w:tcPr>
          <w:p>
            <w:r>
              <w:rPr>
                <w:rFonts w:ascii="Arial" w:hAnsi="Arial"/>
                <w:sz w:val="18"/>
              </w:rPr>
              <w:t>Agronomic transplanting (Jun-early Aug)</w:t>
            </w:r>
          </w:p>
        </w:tc>
        <w:tc>
          <w:tcPr>
            <w:tcW w:type="dxa" w:w="1656"/>
          </w:tcPr>
          <w:p>
            <w:r>
              <w:rPr>
                <w:rFonts w:ascii="Arial" w:hAnsi="Arial"/>
                <w:sz w:val="18"/>
              </w:rPr>
              <w:t>4</w:t>
            </w:r>
          </w:p>
        </w:tc>
        <w:tc>
          <w:tcPr>
            <w:tcW w:type="dxa" w:w="1656"/>
          </w:tcPr>
          <w:p>
            <w:r>
              <w:rPr>
                <w:rFonts w:ascii="Arial" w:hAnsi="Arial"/>
                <w:sz w:val="18"/>
              </w:rPr>
              <w:t>-13.46</w:t>
            </w:r>
          </w:p>
        </w:tc>
        <w:tc>
          <w:tcPr>
            <w:tcW w:type="dxa" w:w="1656"/>
          </w:tcPr>
          <w:p>
            <w:r>
              <w:rPr>
                <w:rFonts w:ascii="Arial" w:hAnsi="Arial"/>
                <w:sz w:val="18"/>
              </w:rPr>
              <w:t>-6.74</w:t>
            </w:r>
          </w:p>
        </w:tc>
        <w:tc>
          <w:tcPr>
            <w:tcW w:type="dxa" w:w="1656"/>
          </w:tcPr>
          <w:p>
            <w:r>
              <w:rPr>
                <w:rFonts w:ascii="Arial" w:hAnsi="Arial"/>
                <w:sz w:val="18"/>
              </w:rPr>
              <w:t>0.220</w:t>
            </w:r>
          </w:p>
        </w:tc>
      </w:tr>
      <w:tr>
        <w:tc>
          <w:tcPr>
            <w:tcW w:type="dxa" w:w="1656"/>
          </w:tcPr>
          <w:p>
            <w:r>
              <w:rPr>
                <w:rFonts w:ascii="Arial" w:hAnsi="Arial"/>
                <w:sz w:val="18"/>
              </w:rPr>
              <w:t>Nayagarh</w:t>
            </w:r>
          </w:p>
        </w:tc>
        <w:tc>
          <w:tcPr>
            <w:tcW w:type="dxa" w:w="1656"/>
          </w:tcPr>
          <w:p>
            <w:r>
              <w:rPr>
                <w:rFonts w:ascii="Arial" w:hAnsi="Arial"/>
                <w:sz w:val="18"/>
              </w:rPr>
              <w:t>Peak canopy (mid-Aug-late Sep)</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-6.35</w:t>
            </w:r>
          </w:p>
        </w:tc>
        <w:tc>
          <w:tcPr>
            <w:tcW w:type="dxa" w:w="1656"/>
          </w:tcPr>
          <w:p>
            <w:r>
              <w:rPr>
                <w:rFonts w:ascii="Arial" w:hAnsi="Arial"/>
                <w:sz w:val="18"/>
              </w:rPr>
              <w:t>0.205</w:t>
            </w:r>
          </w:p>
        </w:tc>
      </w:tr>
      <w:tr>
        <w:tc>
          <w:tcPr>
            <w:tcW w:type="dxa" w:w="1656"/>
          </w:tcPr>
          <w:p>
            <w:r>
              <w:rPr>
                <w:rFonts w:ascii="Arial" w:hAnsi="Arial"/>
                <w:sz w:val="18"/>
              </w:rPr>
              <w:t>Nayagarh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-13.20</w:t>
            </w:r>
          </w:p>
        </w:tc>
        <w:tc>
          <w:tcPr>
            <w:tcW w:type="dxa" w:w="1656"/>
          </w:tcPr>
          <w:p>
            <w:r>
              <w:rPr>
                <w:rFonts w:ascii="Arial" w:hAnsi="Arial"/>
                <w:sz w:val="18"/>
              </w:rPr>
              <w:t>-6.76</w:t>
            </w:r>
          </w:p>
        </w:tc>
        <w:tc>
          <w:tcPr>
            <w:tcW w:type="dxa" w:w="1656"/>
          </w:tcPr>
          <w:p>
            <w:r>
              <w:rPr>
                <w:rFonts w:ascii="Arial" w:hAnsi="Arial"/>
                <w:sz w:val="18"/>
              </w:rPr>
              <w:t>0.235</w:t>
            </w:r>
          </w:p>
        </w:tc>
      </w:tr>
    </w:tbl>
    <w:p/>
    <w:p>
      <w:r>
        <w:rPr>
          <w:rFonts w:ascii="Arial" w:hAnsi="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b/>
                <w:sz w:val="18"/>
              </w:rPr>
              <w:t>District</w:t>
            </w:r>
          </w:p>
        </w:tc>
        <w:tc>
          <w:tcPr>
            <w:tcW w:type="dxa" w:w="1987"/>
          </w:tcPr>
          <w:p>
            <w:r>
              <w:rPr>
                <w:rFonts w:ascii="Arial" w:hAnsi="Arial"/>
                <w:b/>
                <w:sz w:val="18"/>
              </w:rPr>
              <w:t>Phase</w:t>
            </w:r>
          </w:p>
        </w:tc>
        <w:tc>
          <w:tcPr>
            <w:tcW w:type="dxa" w:w="1987"/>
          </w:tcPr>
          <w:p>
            <w:r>
              <w:rPr>
                <w:rFonts w:ascii="Arial" w:hAnsi="Arial"/>
                <w:b/>
                <w:sz w:val="18"/>
              </w:rPr>
              <w:t>Delta VH (dB)</w:t>
            </w:r>
          </w:p>
        </w:tc>
        <w:tc>
          <w:tcPr>
            <w:tcW w:type="dxa" w:w="1987"/>
          </w:tcPr>
          <w:p>
            <w:r>
              <w:rPr>
                <w:rFonts w:ascii="Arial" w:hAnsi="Arial"/>
                <w:b/>
                <w:sz w:val="18"/>
              </w:rPr>
              <w:t>Delta VV (dB)</w:t>
            </w:r>
          </w:p>
        </w:tc>
        <w:tc>
          <w:tcPr>
            <w:tcW w:type="dxa" w:w="1987"/>
          </w:tcPr>
          <w:p>
            <w:r>
              <w:rPr>
                <w:rFonts w:ascii="Arial" w:hAnsi="Arial"/>
                <w:b/>
                <w:sz w:val="18"/>
              </w:rPr>
              <w:t>Delta CR</w:t>
            </w:r>
          </w:p>
        </w:tc>
      </w:tr>
      <w:tr>
        <w:tc>
          <w:tcPr>
            <w:tcW w:type="dxa" w:w="1987"/>
          </w:tcPr>
          <w:p>
            <w:r>
              <w:rPr>
                <w:rFonts w:ascii="Arial" w:hAnsi="Arial"/>
                <w:sz w:val="18"/>
              </w:rPr>
              <w:t>Boudh</w:t>
            </w:r>
          </w:p>
        </w:tc>
        <w:tc>
          <w:tcPr>
            <w:tcW w:type="dxa" w:w="1987"/>
          </w:tcPr>
          <w:p>
            <w:r>
              <w:rPr>
                <w:rFonts w:ascii="Arial" w:hAnsi="Arial"/>
                <w:sz w:val="18"/>
              </w:rPr>
              <w:t>Agronomic transplanting (Jun-early Aug)</w:t>
            </w:r>
          </w:p>
        </w:tc>
        <w:tc>
          <w:tcPr>
            <w:tcW w:type="dxa" w:w="1987"/>
          </w:tcPr>
          <w:p>
            <w:r>
              <w:rPr>
                <w:rFonts w:ascii="Arial" w:hAnsi="Arial"/>
                <w:sz w:val="18"/>
              </w:rPr>
              <w:t>+1.25</w:t>
            </w:r>
          </w:p>
        </w:tc>
        <w:tc>
          <w:tcPr>
            <w:tcW w:type="dxa" w:w="1987"/>
          </w:tcPr>
          <w:p>
            <w:r>
              <w:rPr>
                <w:rFonts w:ascii="Arial" w:hAnsi="Arial"/>
                <w:sz w:val="18"/>
              </w:rPr>
              <w:t>+1.51</w:t>
            </w:r>
          </w:p>
        </w:tc>
        <w:tc>
          <w:tcPr>
            <w:tcW w:type="dxa" w:w="1987"/>
          </w:tcPr>
          <w:p>
            <w:r>
              <w:rPr>
                <w:rFonts w:ascii="Arial" w:hAnsi="Arial"/>
                <w:sz w:val="18"/>
              </w:rPr>
              <w:t>-0.013</w:t>
            </w:r>
          </w:p>
        </w:tc>
      </w:tr>
      <w:tr>
        <w:tc>
          <w:tcPr>
            <w:tcW w:type="dxa" w:w="1987"/>
          </w:tcPr>
          <w:p>
            <w:r>
              <w:rPr>
                <w:rFonts w:ascii="Arial" w:hAnsi="Arial"/>
                <w:sz w:val="18"/>
              </w:rPr>
              <w:t>Boudh</w:t>
            </w:r>
          </w:p>
        </w:tc>
        <w:tc>
          <w:tcPr>
            <w:tcW w:type="dxa" w:w="1987"/>
          </w:tcPr>
          <w:p>
            <w:r>
              <w:rPr>
                <w:rFonts w:ascii="Arial" w:hAnsi="Arial"/>
                <w:sz w:val="18"/>
              </w:rPr>
              <w:t>Peak canopy (mid-Aug-late Sep)</w:t>
            </w:r>
          </w:p>
        </w:tc>
        <w:tc>
          <w:tcPr>
            <w:tcW w:type="dxa" w:w="1987"/>
          </w:tcPr>
          <w:p>
            <w:r>
              <w:rPr>
                <w:rFonts w:ascii="Arial" w:hAnsi="Arial"/>
                <w:sz w:val="18"/>
              </w:rPr>
              <w:t>+1.39</w:t>
            </w:r>
          </w:p>
        </w:tc>
        <w:tc>
          <w:tcPr>
            <w:tcW w:type="dxa" w:w="1987"/>
          </w:tcPr>
          <w:p>
            <w:r>
              <w:rPr>
                <w:rFonts w:ascii="Arial" w:hAnsi="Arial"/>
                <w:sz w:val="18"/>
              </w:rPr>
              <w:t>+1.89</w:t>
            </w:r>
          </w:p>
        </w:tc>
        <w:tc>
          <w:tcPr>
            <w:tcW w:type="dxa" w:w="1987"/>
          </w:tcPr>
          <w:p>
            <w:r>
              <w:rPr>
                <w:rFonts w:ascii="Arial" w:hAnsi="Arial"/>
                <w:sz w:val="18"/>
              </w:rPr>
              <w:t>-0.024</w:t>
            </w:r>
          </w:p>
        </w:tc>
      </w:tr>
      <w:tr>
        <w:tc>
          <w:tcPr>
            <w:tcW w:type="dxa" w:w="1987"/>
          </w:tcPr>
          <w:p>
            <w:r>
              <w:rPr>
                <w:rFonts w:ascii="Arial" w:hAnsi="Arial"/>
                <w:sz w:val="18"/>
              </w:rPr>
              <w:t>Boudh</w:t>
            </w:r>
          </w:p>
        </w:tc>
        <w:tc>
          <w:tcPr>
            <w:tcW w:type="dxa" w:w="1987"/>
          </w:tcPr>
          <w:p>
            <w:r>
              <w:rPr>
                <w:rFonts w:ascii="Arial" w:hAnsi="Arial"/>
                <w:sz w:val="18"/>
              </w:rPr>
              <w:t>Bulbul event window (Nov 1-21)</w:t>
            </w:r>
          </w:p>
        </w:tc>
        <w:tc>
          <w:tcPr>
            <w:tcW w:type="dxa" w:w="1987"/>
          </w:tcPr>
          <w:p>
            <w:r>
              <w:rPr>
                <w:rFonts w:ascii="Arial" w:hAnsi="Arial"/>
                <w:sz w:val="18"/>
              </w:rPr>
              <w:t>+1.41</w:t>
            </w:r>
          </w:p>
        </w:tc>
        <w:tc>
          <w:tcPr>
            <w:tcW w:type="dxa" w:w="1987"/>
          </w:tcPr>
          <w:p>
            <w:r>
              <w:rPr>
                <w:rFonts w:ascii="Arial" w:hAnsi="Arial"/>
                <w:sz w:val="18"/>
              </w:rPr>
              <w:t>+1.46</w:t>
            </w:r>
          </w:p>
        </w:tc>
        <w:tc>
          <w:tcPr>
            <w:tcW w:type="dxa" w:w="1987"/>
          </w:tcPr>
          <w:p>
            <w:r>
              <w:rPr>
                <w:rFonts w:ascii="Arial" w:hAnsi="Arial"/>
                <w:sz w:val="18"/>
              </w:rPr>
              <w:t>-0.001</w:t>
            </w:r>
          </w:p>
        </w:tc>
      </w:tr>
      <w:tr>
        <w:tc>
          <w:tcPr>
            <w:tcW w:type="dxa" w:w="1987"/>
          </w:tcPr>
          <w:p>
            <w:r>
              <w:rPr>
                <w:rFonts w:ascii="Arial" w:hAnsi="Arial"/>
                <w:sz w:val="18"/>
              </w:rPr>
              <w:t>Ganjam</w:t>
            </w:r>
          </w:p>
        </w:tc>
        <w:tc>
          <w:tcPr>
            <w:tcW w:type="dxa" w:w="1987"/>
          </w:tcPr>
          <w:p>
            <w:r>
              <w:rPr>
                <w:rFonts w:ascii="Arial" w:hAnsi="Arial"/>
                <w:sz w:val="18"/>
              </w:rPr>
              <w:t>Agronomic transplanting (Jun-early Aug)</w:t>
            </w:r>
          </w:p>
        </w:tc>
        <w:tc>
          <w:tcPr>
            <w:tcW w:type="dxa" w:w="1987"/>
          </w:tcPr>
          <w:p>
            <w:r>
              <w:rPr>
                <w:rFonts w:ascii="Arial" w:hAnsi="Arial"/>
                <w:sz w:val="18"/>
              </w:rPr>
              <w:t>+0.07</w:t>
            </w:r>
          </w:p>
        </w:tc>
        <w:tc>
          <w:tcPr>
            <w:tcW w:type="dxa" w:w="1987"/>
          </w:tcPr>
          <w:p>
            <w:r>
              <w:rPr>
                <w:rFonts w:ascii="Arial" w:hAnsi="Arial"/>
                <w:sz w:val="18"/>
              </w:rPr>
              <w:t>+0.09</w:t>
            </w:r>
          </w:p>
        </w:tc>
        <w:tc>
          <w:tcPr>
            <w:tcW w:type="dxa" w:w="1987"/>
          </w:tcPr>
          <w:p>
            <w:r>
              <w:rPr>
                <w:rFonts w:ascii="Arial" w:hAnsi="Arial"/>
                <w:sz w:val="18"/>
              </w:rPr>
              <w:t>-0.002</w:t>
            </w:r>
          </w:p>
        </w:tc>
      </w:tr>
      <w:tr>
        <w:tc>
          <w:tcPr>
            <w:tcW w:type="dxa" w:w="1987"/>
          </w:tcPr>
          <w:p>
            <w:r>
              <w:rPr>
                <w:rFonts w:ascii="Arial" w:hAnsi="Arial"/>
                <w:sz w:val="18"/>
              </w:rPr>
              <w:t>Ganjam</w:t>
            </w:r>
          </w:p>
        </w:tc>
        <w:tc>
          <w:tcPr>
            <w:tcW w:type="dxa" w:w="1987"/>
          </w:tcPr>
          <w:p>
            <w:r>
              <w:rPr>
                <w:rFonts w:ascii="Arial" w:hAnsi="Arial"/>
                <w:sz w:val="18"/>
              </w:rPr>
              <w:t>Peak canopy (mid-Aug-late Sep)</w:t>
            </w:r>
          </w:p>
        </w:tc>
        <w:tc>
          <w:tcPr>
            <w:tcW w:type="dxa" w:w="1987"/>
          </w:tcPr>
          <w:p>
            <w:r>
              <w:rPr>
                <w:rFonts w:ascii="Arial" w:hAnsi="Arial"/>
                <w:sz w:val="18"/>
              </w:rPr>
              <w:t>-0.02</w:t>
            </w:r>
          </w:p>
        </w:tc>
        <w:tc>
          <w:tcPr>
            <w:tcW w:type="dxa" w:w="1987"/>
          </w:tcPr>
          <w:p>
            <w:r>
              <w:rPr>
                <w:rFonts w:ascii="Arial" w:hAnsi="Arial"/>
                <w:sz w:val="18"/>
              </w:rPr>
              <w:t>+0.46</w:t>
            </w:r>
          </w:p>
        </w:tc>
        <w:tc>
          <w:tcPr>
            <w:tcW w:type="dxa" w:w="1987"/>
          </w:tcPr>
          <w:p>
            <w:r>
              <w:rPr>
                <w:rFonts w:ascii="Arial" w:hAnsi="Arial"/>
                <w:sz w:val="18"/>
              </w:rPr>
              <w:t>-0.022</w:t>
            </w:r>
          </w:p>
        </w:tc>
      </w:tr>
      <w:tr>
        <w:tc>
          <w:tcPr>
            <w:tcW w:type="dxa" w:w="1987"/>
          </w:tcPr>
          <w:p>
            <w:r>
              <w:rPr>
                <w:rFonts w:ascii="Arial" w:hAnsi="Arial"/>
                <w:sz w:val="18"/>
              </w:rPr>
              <w:t>Ganjam</w:t>
            </w:r>
          </w:p>
        </w:tc>
        <w:tc>
          <w:tcPr>
            <w:tcW w:type="dxa" w:w="1987"/>
          </w:tcPr>
          <w:p>
            <w:r>
              <w:rPr>
                <w:rFonts w:ascii="Arial" w:hAnsi="Arial"/>
                <w:sz w:val="18"/>
              </w:rPr>
              <w:t>Bulbul event window (Nov 1-21)</w:t>
            </w:r>
          </w:p>
        </w:tc>
        <w:tc>
          <w:tcPr>
            <w:tcW w:type="dxa" w:w="1987"/>
          </w:tcPr>
          <w:p>
            <w:r>
              <w:rPr>
                <w:rFonts w:ascii="Arial" w:hAnsi="Arial"/>
                <w:sz w:val="18"/>
              </w:rPr>
              <w:t>+0.06</w:t>
            </w:r>
          </w:p>
        </w:tc>
        <w:tc>
          <w:tcPr>
            <w:tcW w:type="dxa" w:w="1987"/>
          </w:tcPr>
          <w:p>
            <w:r>
              <w:rPr>
                <w:rFonts w:ascii="Arial" w:hAnsi="Arial"/>
                <w:sz w:val="18"/>
              </w:rPr>
              <w:t>-0.42</w:t>
            </w:r>
          </w:p>
        </w:tc>
        <w:tc>
          <w:tcPr>
            <w:tcW w:type="dxa" w:w="1987"/>
          </w:tcPr>
          <w:p>
            <w:r>
              <w:rPr>
                <w:rFonts w:ascii="Arial" w:hAnsi="Arial"/>
                <w:sz w:val="18"/>
              </w:rPr>
              <w:t>+0.028</w:t>
            </w:r>
          </w:p>
        </w:tc>
      </w:tr>
      <w:tr>
        <w:tc>
          <w:tcPr>
            <w:tcW w:type="dxa" w:w="1987"/>
          </w:tcPr>
          <w:p>
            <w:r>
              <w:rPr>
                <w:rFonts w:ascii="Arial" w:hAnsi="Arial"/>
                <w:sz w:val="18"/>
              </w:rPr>
              <w:t>Khordha</w:t>
            </w:r>
          </w:p>
        </w:tc>
        <w:tc>
          <w:tcPr>
            <w:tcW w:type="dxa" w:w="1987"/>
          </w:tcPr>
          <w:p>
            <w:r>
              <w:rPr>
                <w:rFonts w:ascii="Arial" w:hAnsi="Arial"/>
                <w:sz w:val="18"/>
              </w:rPr>
              <w:t>Agronomic transplanting (Jun-early Aug)</w:t>
            </w:r>
          </w:p>
        </w:tc>
        <w:tc>
          <w:tcPr>
            <w:tcW w:type="dxa" w:w="1987"/>
          </w:tcPr>
          <w:p>
            <w:r>
              <w:rPr>
                <w:rFonts w:ascii="Arial" w:hAnsi="Arial"/>
                <w:sz w:val="18"/>
              </w:rPr>
              <w:t>+0.81</w:t>
            </w:r>
          </w:p>
        </w:tc>
        <w:tc>
          <w:tcPr>
            <w:tcW w:type="dxa" w:w="1987"/>
          </w:tcPr>
          <w:p>
            <w:r>
              <w:rPr>
                <w:rFonts w:ascii="Arial" w:hAnsi="Arial"/>
                <w:sz w:val="18"/>
              </w:rPr>
              <w:t>+1.28</w:t>
            </w:r>
          </w:p>
        </w:tc>
        <w:tc>
          <w:tcPr>
            <w:tcW w:type="dxa" w:w="1987"/>
          </w:tcPr>
          <w:p>
            <w:r>
              <w:rPr>
                <w:rFonts w:ascii="Arial" w:hAnsi="Arial"/>
                <w:sz w:val="18"/>
              </w:rPr>
              <w:t>-0.022</w:t>
            </w:r>
          </w:p>
        </w:tc>
      </w:tr>
      <w:tr>
        <w:tc>
          <w:tcPr>
            <w:tcW w:type="dxa" w:w="1987"/>
          </w:tcPr>
          <w:p>
            <w:r>
              <w:rPr>
                <w:rFonts w:ascii="Arial" w:hAnsi="Arial"/>
                <w:sz w:val="18"/>
              </w:rPr>
              <w:t>Khordha</w:t>
            </w:r>
          </w:p>
        </w:tc>
        <w:tc>
          <w:tcPr>
            <w:tcW w:type="dxa" w:w="1987"/>
          </w:tcPr>
          <w:p>
            <w:r>
              <w:rPr>
                <w:rFonts w:ascii="Arial" w:hAnsi="Arial"/>
                <w:sz w:val="18"/>
              </w:rPr>
              <w:t>Peak canopy (mid-Aug-late Sep)</w:t>
            </w:r>
          </w:p>
        </w:tc>
        <w:tc>
          <w:tcPr>
            <w:tcW w:type="dxa" w:w="1987"/>
          </w:tcPr>
          <w:p>
            <w:r>
              <w:rPr>
                <w:rFonts w:ascii="Arial" w:hAnsi="Arial"/>
                <w:sz w:val="18"/>
              </w:rPr>
              <w:t>+0.78</w:t>
            </w:r>
          </w:p>
        </w:tc>
        <w:tc>
          <w:tcPr>
            <w:tcW w:type="dxa" w:w="1987"/>
          </w:tcPr>
          <w:p>
            <w:r>
              <w:rPr>
                <w:rFonts w:ascii="Arial" w:hAnsi="Arial"/>
                <w:sz w:val="18"/>
              </w:rPr>
              <w:t>+1.43</w:t>
            </w:r>
          </w:p>
        </w:tc>
        <w:tc>
          <w:tcPr>
            <w:tcW w:type="dxa" w:w="1987"/>
          </w:tcPr>
          <w:p>
            <w:r>
              <w:rPr>
                <w:rFonts w:ascii="Arial" w:hAnsi="Arial"/>
                <w:sz w:val="18"/>
              </w:rPr>
              <w:t>-0.029</w:t>
            </w:r>
          </w:p>
        </w:tc>
      </w:tr>
      <w:tr>
        <w:tc>
          <w:tcPr>
            <w:tcW w:type="dxa" w:w="1987"/>
          </w:tcPr>
          <w:p>
            <w:r>
              <w:rPr>
                <w:rFonts w:ascii="Arial" w:hAnsi="Arial"/>
                <w:sz w:val="18"/>
              </w:rPr>
              <w:t>Khordha</w:t>
            </w:r>
          </w:p>
        </w:tc>
        <w:tc>
          <w:tcPr>
            <w:tcW w:type="dxa" w:w="1987"/>
          </w:tcPr>
          <w:p>
            <w:r>
              <w:rPr>
                <w:rFonts w:ascii="Arial" w:hAnsi="Arial"/>
                <w:sz w:val="18"/>
              </w:rPr>
              <w:t>Bulbul event window (Nov 1-21)</w:t>
            </w:r>
          </w:p>
        </w:tc>
        <w:tc>
          <w:tcPr>
            <w:tcW w:type="dxa" w:w="1987"/>
          </w:tcPr>
          <w:p>
            <w:r>
              <w:rPr>
                <w:rFonts w:ascii="Arial" w:hAnsi="Arial"/>
                <w:sz w:val="18"/>
              </w:rPr>
              <w:t>+1.63</w:t>
            </w:r>
          </w:p>
        </w:tc>
        <w:tc>
          <w:tcPr>
            <w:tcW w:type="dxa" w:w="1987"/>
          </w:tcPr>
          <w:p>
            <w:r>
              <w:rPr>
                <w:rFonts w:ascii="Arial" w:hAnsi="Arial"/>
                <w:sz w:val="18"/>
              </w:rPr>
              <w:t>+1.37</w:t>
            </w:r>
          </w:p>
        </w:tc>
        <w:tc>
          <w:tcPr>
            <w:tcW w:type="dxa" w:w="1987"/>
          </w:tcPr>
          <w:p>
            <w:r>
              <w:rPr>
                <w:rFonts w:ascii="Arial" w:hAnsi="Arial"/>
                <w:sz w:val="18"/>
              </w:rPr>
              <w:t>+0.017</w:t>
            </w:r>
          </w:p>
        </w:tc>
      </w:tr>
      <w:tr>
        <w:tc>
          <w:tcPr>
            <w:tcW w:type="dxa" w:w="1987"/>
          </w:tcPr>
          <w:p>
            <w:r>
              <w:rPr>
                <w:rFonts w:ascii="Arial" w:hAnsi="Arial"/>
                <w:sz w:val="18"/>
              </w:rPr>
              <w:t>Nayagarh</w:t>
            </w:r>
          </w:p>
        </w:tc>
        <w:tc>
          <w:tcPr>
            <w:tcW w:type="dxa" w:w="1987"/>
          </w:tcPr>
          <w:p>
            <w:r>
              <w:rPr>
                <w:rFonts w:ascii="Arial" w:hAnsi="Arial"/>
                <w:sz w:val="18"/>
              </w:rPr>
              <w:t>Agronomic transplanting (Jun-early Aug)</w:t>
            </w:r>
          </w:p>
        </w:tc>
        <w:tc>
          <w:tcPr>
            <w:tcW w:type="dxa" w:w="1987"/>
          </w:tcPr>
          <w:p>
            <w:r>
              <w:rPr>
                <w:rFonts w:ascii="Arial" w:hAnsi="Arial"/>
                <w:sz w:val="18"/>
              </w:rPr>
              <w:t>-0.03</w:t>
            </w:r>
          </w:p>
        </w:tc>
        <w:tc>
          <w:tcPr>
            <w:tcW w:type="dxa" w:w="1987"/>
          </w:tcPr>
          <w:p>
            <w:r>
              <w:rPr>
                <w:rFonts w:ascii="Arial" w:hAnsi="Arial"/>
                <w:sz w:val="18"/>
              </w:rPr>
              <w:t>+0.38</w:t>
            </w:r>
          </w:p>
        </w:tc>
        <w:tc>
          <w:tcPr>
            <w:tcW w:type="dxa" w:w="1987"/>
          </w:tcPr>
          <w:p>
            <w:r>
              <w:rPr>
                <w:rFonts w:ascii="Arial" w:hAnsi="Arial"/>
                <w:sz w:val="18"/>
              </w:rPr>
              <w:t>-0.021</w:t>
            </w:r>
          </w:p>
        </w:tc>
      </w:tr>
      <w:tr>
        <w:tc>
          <w:tcPr>
            <w:tcW w:type="dxa" w:w="1987"/>
          </w:tcPr>
          <w:p>
            <w:r>
              <w:rPr>
                <w:rFonts w:ascii="Arial" w:hAnsi="Arial"/>
                <w:sz w:val="18"/>
              </w:rPr>
              <w:t>Nayagarh</w:t>
            </w:r>
          </w:p>
        </w:tc>
        <w:tc>
          <w:tcPr>
            <w:tcW w:type="dxa" w:w="1987"/>
          </w:tcPr>
          <w:p>
            <w:r>
              <w:rPr>
                <w:rFonts w:ascii="Arial" w:hAnsi="Arial"/>
                <w:sz w:val="18"/>
              </w:rPr>
              <w:t>Peak canopy (mid-Aug-late Sep)</w:t>
            </w:r>
          </w:p>
        </w:tc>
        <w:tc>
          <w:tcPr>
            <w:tcW w:type="dxa" w:w="1987"/>
          </w:tcPr>
          <w:p>
            <w:r>
              <w:rPr>
                <w:rFonts w:ascii="Arial" w:hAnsi="Arial"/>
                <w:sz w:val="18"/>
              </w:rPr>
              <w:t>+0.01</w:t>
            </w:r>
          </w:p>
        </w:tc>
        <w:tc>
          <w:tcPr>
            <w:tcW w:type="dxa" w:w="1987"/>
          </w:tcPr>
          <w:p>
            <w:r>
              <w:rPr>
                <w:rFonts w:ascii="Arial" w:hAnsi="Arial"/>
                <w:sz w:val="18"/>
              </w:rPr>
              <w:t>+0.77</w:t>
            </w:r>
          </w:p>
        </w:tc>
        <w:tc>
          <w:tcPr>
            <w:tcW w:type="dxa" w:w="1987"/>
          </w:tcPr>
          <w:p>
            <w:r>
              <w:rPr>
                <w:rFonts w:ascii="Arial" w:hAnsi="Arial"/>
                <w:sz w:val="18"/>
              </w:rPr>
              <w:t>-0.036</w:t>
            </w:r>
          </w:p>
        </w:tc>
      </w:tr>
      <w:tr>
        <w:tc>
          <w:tcPr>
            <w:tcW w:type="dxa" w:w="1987"/>
          </w:tcPr>
          <w:p>
            <w:r>
              <w:rPr>
                <w:rFonts w:ascii="Arial" w:hAnsi="Arial"/>
                <w:sz w:val="18"/>
              </w:rPr>
              <w:t>Nayagarh</w:t>
            </w:r>
          </w:p>
        </w:tc>
        <w:tc>
          <w:tcPr>
            <w:tcW w:type="dxa" w:w="1987"/>
          </w:tcPr>
          <w:p>
            <w:r>
              <w:rPr>
                <w:rFonts w:ascii="Arial" w:hAnsi="Arial"/>
                <w:sz w:val="18"/>
              </w:rPr>
              <w:t>Bulbul event window (Nov 1-21)</w:t>
            </w:r>
          </w:p>
        </w:tc>
        <w:tc>
          <w:tcPr>
            <w:tcW w:type="dxa" w:w="1987"/>
          </w:tcPr>
          <w:p>
            <w:r>
              <w:rPr>
                <w:rFonts w:ascii="Arial" w:hAnsi="Arial"/>
                <w:sz w:val="18"/>
              </w:rPr>
              <w:t>+0.23</w:t>
            </w:r>
          </w:p>
        </w:tc>
        <w:tc>
          <w:tcPr>
            <w:tcW w:type="dxa" w:w="1987"/>
          </w:tcPr>
          <w:p>
            <w:r>
              <w:rPr>
                <w:rFonts w:ascii="Arial" w:hAnsi="Arial"/>
                <w:sz w:val="18"/>
              </w:rPr>
              <w:t>+0.36</w:t>
            </w:r>
          </w:p>
        </w:tc>
        <w:tc>
          <w:tcPr>
            <w:tcW w:type="dxa" w:w="1987"/>
          </w:tcPr>
          <w:p>
            <w:r>
              <w:rPr>
                <w:rFonts w:ascii="Arial" w:hAnsi="Arial"/>
                <w:sz w:val="18"/>
              </w:rPr>
              <w:t>-0.006</w:t>
            </w:r>
          </w:p>
        </w:tc>
      </w:tr>
    </w:tbl>
    <w:p>
      <w:r>
        <w:rPr>
          <w:rFonts w:ascii="Arial" w:hAnsi="Arial"/>
          <w:sz w:val="20"/>
        </w:rPr>
        <w:br w:type="page"/>
      </w:r>
    </w:p>
    <w:p>
      <w:pPr>
        <w:keepNext/>
        <w:spacing w:before="240" w:after="120"/>
      </w:pPr>
      <w:bookmarkStart w:id="99364" w:name="figure_s1"/>
      <w:r>
        <w:rPr>
          <w:rFonts w:ascii="Arial" w:hAnsi="Arial"/>
          <w:b/>
          <w:color w:val="1F3A5F"/>
          <w:sz w:val="32"/>
        </w:rPr>
        <w:t>Figure S1 — Pre-Kharif cyclone climatology</w:t>
      </w:r>
      <w:bookmarkEnd w:id="99364"/>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73991" w:name="figure_s2"/>
      <w:r>
        <w:rPr>
          <w:rFonts w:ascii="Arial" w:hAnsi="Arial"/>
          <w:b/>
          <w:color w:val="1F3A5F"/>
          <w:sz w:val="32"/>
        </w:rPr>
        <w:t>Figure S2 — Real Sentinel-1 RTC backscatter signatures (Planetary Computer)</w:t>
      </w:r>
      <w:bookmarkEnd w:id="73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