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m:oMath>
        <m:acc>
          <m:accPr>
            <m:chr m:val="̂"/>
          </m:accPr>
          <m:e>
            <m:r>
              <m:t>τ</m:t>
            </m:r>
          </m:e>
        </m:acc>
      </m:oMath>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v1.0.0-submission,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spacing w:lineRule="auto" w:line="480"/>
        <w:jc w:val="left"/>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spacing w:lineRule="auto" w:line="480"/>
        <w:jc w:val="both"/>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4)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v1.0.0-submission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v1.0.0-submission DOI 10.5281/zenodo.20585636) and mirrored on Mendeley Data (DOI assigned at acceptance)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Headline DiD coefficients. The TWFE-DiD specification (Eq. 4) returns the average treatment effect on the treated, ,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spacing w:lineRule="auto" w:line="480"/>
        <w:jc w:val="both"/>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spacing w:lineRule="auto" w:line="480"/>
        <w:jc w:val="both"/>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Pixel-level bootstrap 95% confidence intervals for the corrected SOS dates (Figure 4)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hyperlink r:id="rId65">
        <w:r>
          <w:rPr>
            <w:rStyle w:val="Hyperlink"/>
          </w:rPr>
          <w:t xml:space="preserve">10.5281/zenodo.20024578</w:t>
        </w:r>
      </w:hyperlink>
      <w:hyperlink r:id="rId66">
        <w:r>
          <w:rPr>
            <w:rStyle w:val="Hyperlink"/>
          </w:rPr>
          <w:t xml:space="preserve">10.5281/zenodo.20024579</w:t>
        </w:r>
      </w:hyperlink>
      <w:hyperlink r:id="rId67">
        <w:r>
          <w:rPr>
            <w:rStyle w:val="Hyperlink"/>
          </w:rPr>
          <w:t xml:space="preserve">10.5281/zenodo.20585636</w:t>
        </w:r>
      </w:hyperlink>
      <w:r>
        <w:rPr>
          <w:rFonts w:ascii="Arial" w:hAnsi="Arial"/>
        </w:rPr>
        <w:t>The processed corrected and uncorrected Sentinel-1/2 Kharif rice phenological date rasters (SOS, POS, EOS, correction bias ΔD, bootstrap 95% confidence intervals) for all five coastal Odisha districts and eight Kharif seasons (2017–2024) are released under a combined Zenodo + Mendeley Data strategy. The primary archival deposit is Zenodo (concept DOI 10.5281/zenodo.20024578; v1.0.0-submission DOI 10.5281/zenodo.20585636), with a mirrored Mendeley Data record (DOI assigned at manuscript acceptance) for the journal's preferred data-repository registry.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 10.5281/zenodo.20024578; v0.1.1-prereg DOI: 10.5281/zenodo.20024579; v1.0.0-submission DOI: 10.5281/zenodo.20585636).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(v1.0.0-submission,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