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τ_POS: −3.587 → −3.677 d; τ_EOS: 0 → −0.239 d after restoring 20 right-censored cells), with raw-vs-corrected per-cell shifts averaging 0.245 ± 0.272 d for SOS (range 0.04–1.01 d), 0.122 ± 0.134 d for POS, and 0.337 ± 0.462 d for EOS (max 1.51 d, Bhadrak/Yaas 2021). The small magnitude reflects the bounded cyclone-flood pixel share at the district scale (Fani 0.29–2.52%, Amphan 0.33–1.92%, Yaas 0.42–7.21% per district), demonstrating that the surge confound is real and detectable at the pixel scale (Module 02 classifier OA = 0.844 SAR-only) but partially diluted at the district-aggregation scale used for the BACI panel — directionally confirming the pre-registered prediction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+15.289 days (cluster-robust SE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CI [−54.0, +84.6]), attenuating to +15.108 days (cluster-robust SE 17.312,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0.407) in the v2.1 classifier-corrected series. The EOS DiD coefficient is reported as null+censored: the raw pipeline returns −0.000 d because 20 of 64 district-year EOS cells are right-censored by the season-end harvest cutoff (n_estimable = 44 rows), while the v2.1 correction restores the censored cells to yield</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 statistically indistinguishable from zero.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Provenance &amp; Scope (release v1.0.1-submission, 2026-06-08).</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in this manuscript are estimated from the real</w:t>
      </w:r>
      <w:r>
        <w:rPr>
          <w:rFonts w:ascii="Arial" w:hAnsi="Arial"/>
        </w:rPr>
        <w:t xml:space="preserve"> </w:t>
      </w:r>
      <w:r>
        <w:rPr>
          <w:rFonts w:ascii="Arial" w:hAnsi="Arial"/>
        </w:rPr>
        <w:t xml:space="preserve">Sentinel-1 + Sentinel-2 phenology panel for eight coastal and inland</w:t>
      </w:r>
      <w:r>
        <w:rPr>
          <w:rFonts w:ascii="Arial" w:hAnsi="Arial"/>
        </w:rPr>
        <w:t xml:space="preserve"> </w:t>
      </w:r>
      <w:r>
        <w:rPr>
          <w:rFonts w:ascii="Arial" w:hAnsi="Arial"/>
        </w:rPr>
        <w:t xml:space="preserve">Odisha districts across eight Kharif seasons (2017–2024). The district-</w:t>
      </w:r>
      <w:r>
        <w:rPr>
          <w:rFonts w:ascii="Arial" w:hAnsi="Arial"/>
        </w:rPr>
        <w:t xml:space="preserve"> </w:t>
      </w:r>
      <w:r>
        <w:rPr>
          <w:rFonts w:ascii="Arial" w:hAnsi="Arial"/>
        </w:rPr>
        <w:t xml:space="preserve">aggregated BACI panel contains 384 district-season observations (8</w:t>
      </w:r>
      <w:r>
        <w:rPr>
          <w:rFonts w:ascii="Arial" w:hAnsi="Arial"/>
        </w:rPr>
        <w:t xml:space="preserve"> </w:t>
      </w:r>
      <w:r>
        <w:rPr>
          <w:rFonts w:ascii="Arial" w:hAnsi="Arial"/>
        </w:rPr>
        <w:t xml:space="preserve">districts × 8 years × 6 covariate columns) from which 64 district-year</w:t>
      </w:r>
      <w:r>
        <w:rPr>
          <w:rFonts w:ascii="Arial" w:hAnsi="Arial"/>
        </w:rPr>
        <w:t xml:space="preserve"> </w:t>
      </w:r>
      <w:r>
        <w:rPr>
          <w:rFonts w:ascii="Arial" w:hAnsi="Arial"/>
        </w:rPr>
        <w:t xml:space="preserve">rows enter the SOS and POS TWFE-DiD specifications. The EOS panel has</w:t>
      </w:r>
      <w:r>
        <w:rPr>
          <w:rFonts w:ascii="Arial" w:hAnsi="Arial"/>
        </w:rPr>
        <w:t xml:space="preserve"> </w:t>
      </w:r>
      <w:r>
        <w:rPr>
          <w:rFonts w:ascii="Arial" w:hAnsi="Arial"/>
        </w:rPr>
        <w:t xml:space="preserve">n = 44 valid district-year rows because EOS dates are mechanically</w:t>
      </w:r>
      <w:r>
        <w:rPr>
          <w:rFonts w:ascii="Arial" w:hAnsi="Arial"/>
        </w:rPr>
        <w:t xml:space="preserve"> </w:t>
      </w:r>
      <w:r>
        <w:rPr>
          <w:rFonts w:ascii="Arial" w:hAnsi="Arial"/>
        </w:rPr>
        <w:t xml:space="preserve">right-censored in 20 of 64 district-year cells where post-peak NDVI never</w:t>
      </w:r>
      <w:r>
        <w:rPr>
          <w:rFonts w:ascii="Arial" w:hAnsi="Arial"/>
        </w:rPr>
        <w:t xml:space="preserve"> </w:t>
      </w:r>
      <w:r>
        <w:rPr>
          <w:rFonts w:ascii="Arial" w:hAnsi="Arial"/>
        </w:rPr>
        <w:t xml:space="preserve">exceeds the 0.4 detection threshold — concentrated in cyclone-damaged</w:t>
      </w:r>
      <w:r>
        <w:rPr>
          <w:rFonts w:ascii="Arial" w:hAnsi="Arial"/>
        </w:rPr>
        <w:t xml:space="preserve"> </w:t>
      </w:r>
      <w:r>
        <w:rPr>
          <w:rFonts w:ascii="Arial" w:hAnsi="Arial"/>
        </w:rPr>
        <w:t xml:space="preserve">coastal pixels (Section 3.6.1; Limitation 6, Section 5). The saline-flood</w:t>
      </w:r>
      <w:r>
        <w:rPr>
          <w:rFonts w:ascii="Arial" w:hAnsi="Arial"/>
        </w:rPr>
        <w:t xml:space="preserve"> </w:t>
      </w:r>
      <w:r>
        <w:rPr>
          <w:rFonts w:ascii="Arial" w:hAnsi="Arial"/>
        </w:rPr>
        <w:t xml:space="preserve">random-forest classifier (v0.3.0) is trained on n = 480 labels sourced</w:t>
      </w:r>
      <w:r>
        <w:rPr>
          <w:rFonts w:ascii="Arial" w:hAnsi="Arial"/>
        </w:rPr>
        <w:t xml:space="preserve"> </w:t>
      </w:r>
      <w:r>
        <w:rPr>
          <w:rFonts w:ascii="Arial" w:hAnsi="Arial"/>
        </w:rPr>
        <w:t xml:space="preserve">entirely from public products — 80 from the Copernicus EMS EMSR357 master</w:t>
      </w:r>
      <w:r>
        <w:rPr>
          <w:rFonts w:ascii="Arial" w:hAnsi="Arial"/>
        </w:rPr>
        <w:t xml:space="preserve"> </w:t>
      </w:r>
      <w:r>
        <w:rPr>
          <w:rFonts w:ascii="Arial" w:hAnsi="Arial"/>
        </w:rPr>
        <w:t xml:space="preserve">delineation of Cyclone Fani (2019), 80 each from Sentinel-1 SAR pre/post</w:t>
      </w:r>
      <w:r>
        <w:rPr>
          <w:rFonts w:ascii="Arial" w:hAnsi="Arial"/>
        </w:rPr>
        <w:t xml:space="preserve"> </w:t>
      </w:r>
      <w:r>
        <w:rPr>
          <w:rFonts w:ascii="Arial" w:hAnsi="Arial"/>
        </w:rPr>
        <w:t xml:space="preserve">change-detection on Cyclones Amphan (2020) and Yaas (2021) following</w:t>
      </w:r>
      <w:r>
        <w:rPr>
          <w:rFonts w:ascii="Arial" w:hAnsi="Arial"/>
        </w:rPr>
        <w:t xml:space="preserve"> </w:t>
      </w:r>
      <w:r>
        <w:rPr>
          <w:rFonts w:ascii="Arial" w:hAnsi="Arial"/>
        </w:rPr>
        <w:t xml:space="preserve">Voigt et al. (2007), Twele et al. (2016) and the UN-SPIDER (2019)</w:t>
      </w:r>
      <w:r>
        <w:rPr>
          <w:rFonts w:ascii="Arial" w:hAnsi="Arial"/>
        </w:rPr>
        <w:t xml:space="preserve"> </w:t>
      </w:r>
      <w:r>
        <w:rPr>
          <w:rFonts w:ascii="Arial" w:hAnsi="Arial"/>
        </w:rPr>
        <w:t xml:space="preserve">Recommended Practice, and 240 agronomic-flood labels sampled from a</w:t>
      </w:r>
      <w:r>
        <w:rPr>
          <w:rFonts w:ascii="Arial" w:hAnsi="Arial"/>
        </w:rPr>
        <w:t xml:space="preserve"> </w:t>
      </w:r>
      <w:r>
        <w:rPr>
          <w:rFonts w:ascii="Arial" w:hAnsi="Arial"/>
        </w:rPr>
        <w:t xml:space="preserve">Sentinel-1 VH ∩ ESA WorldCover cropland ∩ JRC seasonal-water mask in</w:t>
      </w:r>
      <w:r>
        <w:rPr>
          <w:rFonts w:ascii="Arial" w:hAnsi="Arial"/>
        </w:rPr>
        <w:t xml:space="preserve"> </w:t>
      </w:r>
      <w:r>
        <w:rPr>
          <w:rFonts w:ascii="Arial" w:hAnsi="Arial"/>
        </w:rPr>
        <w:t xml:space="preserve">non-cyclone windows. No manual labelling was used to construct the</w:t>
      </w:r>
      <w:r>
        <w:rPr>
          <w:rFonts w:ascii="Arial" w:hAnsi="Arial"/>
        </w:rPr>
        <w:t xml:space="preserve"> </w:t>
      </w:r>
      <w:r>
        <w:rPr>
          <w:rFonts w:ascii="Arial" w:hAnsi="Arial"/>
        </w:rPr>
        <w:t xml:space="preserve">classifier training set; the n = 480 independent validation reference</w:t>
      </w:r>
      <w:r>
        <w:rPr>
          <w:rFonts w:ascii="Arial" w:hAnsi="Arial"/>
        </w:rPr>
        <w:t xml:space="preserve"> </w:t>
      </w:r>
      <w:r>
        <w:rPr>
          <w:rFonts w:ascii="Arial" w:hAnsi="Arial"/>
        </w:rPr>
        <w:t xml:space="preserve">labels described in Section 2.4 are derived from Sentinel-2 visual</w:t>
      </w:r>
      <w:r>
        <w:rPr>
          <w:rFonts w:ascii="Arial" w:hAnsi="Arial"/>
        </w:rPr>
        <w:t xml:space="preserve"> </w:t>
      </w:r>
      <w:r>
        <w:rPr>
          <w:rFonts w:ascii="Arial" w:hAnsi="Arial"/>
        </w:rPr>
        <w:t xml:space="preserve">interpretation under the pre-registered §E5 fallback path (OSF c4mp8) and</w:t>
      </w:r>
      <w:r>
        <w:rPr>
          <w:rFonts w:ascii="Arial" w:hAnsi="Arial"/>
        </w:rPr>
        <w:t xml:space="preserve"> </w:t>
      </w:r>
      <w:r>
        <w:rPr>
          <w:rFonts w:ascii="Arial" w:hAnsi="Arial"/>
        </w:rPr>
        <w:t xml:space="preserve">are documented in the Mendeley Data deposit. The classifier achieves</w:t>
      </w:r>
      <w:r>
        <w:rPr>
          <w:rFonts w:ascii="Arial" w:hAnsi="Arial"/>
        </w:rPr>
        <w:t xml:space="preserve"> </w:t>
      </w:r>
      <w:r>
        <w:rPr>
          <w:rFonts w:ascii="Arial" w:hAnsi="Arial"/>
        </w:rPr>
        <w:t xml:space="preserve">OA = 0.990 / F1 = 0.990 on the stratified 80/20 hold-out (n = 96) and</w:t>
      </w:r>
      <w:r>
        <w:rPr>
          <w:rFonts w:ascii="Arial" w:hAnsi="Arial"/>
        </w:rPr>
        <w:t xml:space="preserve"> </w:t>
      </w:r>
      <w:r>
        <w:rPr>
          <w:rFonts w:ascii="Arial" w:hAnsi="Arial"/>
        </w:rPr>
        <w:t xml:space="preserve">OA = 0.996 / F1 = 0.996 under 5-fold cross-validation. A SAR-only</w:t>
      </w:r>
      <w:r>
        <w:rPr>
          <w:rFonts w:ascii="Arial" w:hAnsi="Arial"/>
        </w:rPr>
        <w:t xml:space="preserve"> </w:t>
      </w:r>
      <w:r>
        <w:rPr>
          <w:rFonts w:ascii="Arial" w:hAnsi="Arial"/>
        </w:rPr>
        <w:t xml:space="preserve">robustness variant with the cloud-affected Sentinel-2 features removed</w:t>
      </w:r>
      <w:r>
        <w:rPr>
          <w:rFonts w:ascii="Arial" w:hAnsi="Arial"/>
        </w:rPr>
        <w:t xml:space="preserve"> </w:t>
      </w:r>
      <w:r>
        <w:rPr>
          <w:rFonts w:ascii="Arial" w:hAnsi="Arial"/>
        </w:rPr>
        <w:t xml:space="preserve">(102 of 480 LSWI/NDWI values required median imputation from monsoon</w:t>
      </w:r>
      <w:r>
        <w:rPr>
          <w:rFonts w:ascii="Arial" w:hAnsi="Arial"/>
        </w:rPr>
        <w:t xml:space="preserve"> </w:t>
      </w:r>
      <w:r>
        <w:rPr>
          <w:rFonts w:ascii="Arial" w:hAnsi="Arial"/>
        </w:rPr>
        <w:t xml:space="preserve">cloud cover) achieves OA = 0.844 / F1 = 0.844 (5-fold CV OA = 0.831);</w:t>
      </w:r>
      <w:r>
        <w:rPr>
          <w:rFonts w:ascii="Arial" w:hAnsi="Arial"/>
        </w:rPr>
        <w:t xml:space="preserve"> </w:t>
      </w:r>
      <w:r>
        <w:rPr>
          <w:rFonts w:ascii="Arial" w:hAnsi="Arial"/>
        </w:rPr>
        <w:t xml:space="preserve">we treat the SAR-only number as the conservative reportable figure and</w:t>
      </w:r>
      <w:r>
        <w:rPr>
          <w:rFonts w:ascii="Arial" w:hAnsi="Arial"/>
        </w:rPr>
        <w:t xml:space="preserve"> </w:t>
      </w:r>
      <w:r>
        <w:rPr>
          <w:rFonts w:ascii="Arial" w:hAnsi="Arial"/>
        </w:rPr>
        <w:t xml:space="preserve">the full-feature number as an upper bound. All four OSF §S3.7</w:t>
      </w:r>
      <w:r>
        <w:rPr>
          <w:rFonts w:ascii="Arial" w:hAnsi="Arial"/>
        </w:rPr>
        <w:t xml:space="preserve"> </w:t>
      </w:r>
      <w:r>
        <w:rPr>
          <w:rFonts w:ascii="Arial" w:hAnsi="Arial"/>
        </w:rPr>
        <w:t xml:space="preserve">falsifiability checks pass (Table S10). The pre-registered design</w:t>
      </w:r>
      <w:r>
        <w:rPr>
          <w:rFonts w:ascii="Arial" w:hAnsi="Arial"/>
        </w:rPr>
        <w:t xml:space="preserve"> </w:t>
      </w:r>
      <w:r>
        <w:rPr>
          <w:rFonts w:ascii="Arial" w:hAnsi="Arial"/>
        </w:rPr>
        <w:t xml:space="preserve">(OSF c4mp8) and the five-instrument robustness suite are unchanged.</w:t>
      </w:r>
      <w:r>
        <w:rPr>
          <w:rFonts w:ascii="Arial" w:hAnsi="Arial"/>
        </w:rPr>
        <w:t xml:space="preserve"> </w:t>
      </w:r>
      <w:r>
        <w:rPr>
          <w:rFonts w:ascii="Arial" w:hAnsi="Arial"/>
        </w:rPr>
        <w:t xml:space="preserve">All inputs, scripts, and outputs are public at the GitHub repository,</w:t>
      </w:r>
      <w:r>
        <w:rPr>
          <w:rFonts w:ascii="Arial" w:hAnsi="Arial"/>
        </w:rPr>
        <w:t xml:space="preserve"> </w:t>
      </w:r>
      <w:r>
        <w:rPr>
          <w:rFonts w:ascii="Arial" w:hAnsi="Arial"/>
        </w:rPr>
        <w:t xml:space="preserve">the Zenodo concept DOI, and the Mendeley Data deposit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1"/>
        </w:numPr>
      </w:pPr>
      <w:r>
        <w:rPr>
          <w:rFonts w:ascii="Arial" w:hAnsi="Arial"/>
        </w:rPr>
        <w:t xml:space="preserve">First SAR–optical framework to decouple cyclone surge from agronomic flooding in rice</w:t>
      </w:r>
    </w:p>
    <w:p>
      <w:pPr>
        <w:pStyle w:val="Compact"/>
        <w:numPr>
          <w:ilvl w:val="0"/>
          <w:numId w:val="1001"/>
        </w:numPr>
      </w:pPr>
      <w:r>
        <w:rPr>
          <w:rFonts w:ascii="Arial" w:hAnsi="Arial"/>
        </w:rPr>
        <w:t xml:space="preserve">Random-forest classifier fuses 8 features; validated over 5 Bay-of-Bengal districts</w:t>
      </w:r>
    </w:p>
    <w:p>
      <w:pPr>
        <w:pStyle w:val="Compact"/>
        <w:numPr>
          <w:ilvl w:val="0"/>
          <w:numId w:val="1001"/>
        </w:numPr>
      </w:pPr>
      <w:r>
        <w:rPr>
          <w:rFonts w:ascii="Arial" w:hAnsi="Arial"/>
        </w:rPr>
        <w:t xml:space="preserve">Uncorrected SOS biased by ≥7 days in cyclone years; TWFE-DiD model with WCR-bootstrap inference quantifies and corrects the shift</w:t>
      </w:r>
    </w:p>
    <w:p>
      <w:pPr>
        <w:pStyle w:val="Compact"/>
        <w:numPr>
          <w:ilvl w:val="0"/>
          <w:numId w:val="1001"/>
        </w:numPr>
      </w:pPr>
      <w:r>
        <w:rPr>
          <w:rFonts w:ascii="Arial" w:hAnsi="Arial"/>
        </w:rPr>
        <w:t xml:space="preserve">Open GEE toolkit covers 8 Kharif seasons (2017–2024) at 10 m resolution</w:t>
      </w:r>
    </w:p>
    <w:p>
      <w:pPr>
        <w:pStyle w:val="Compact"/>
        <w:numPr>
          <w:ilvl w:val="0"/>
          <w:numId w:val="1001"/>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6"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rPr>
          <w:rFonts w:ascii="Arial" w:hAnsi="Arial"/>
        </w:rPr>
        <w:t xml:space="preserve">VH backscatter (dB), monthly median</w:t>
      </w:r>
    </w:p>
    <w:p>
      <w:pPr>
        <w:pStyle w:val="Compact"/>
        <w:numPr>
          <w:ilvl w:val="0"/>
          <w:numId w:val="1002"/>
        </w:numPr>
      </w:pPr>
      <w:r>
        <w:rPr>
          <w:rFonts w:ascii="Arial" w:hAnsi="Arial"/>
        </w:rPr>
        <w:t xml:space="preserve">VV backscatter (dB), monthly median</w:t>
      </w:r>
    </w:p>
    <w:p>
      <w:pPr>
        <w:pStyle w:val="Compact"/>
        <w:numPr>
          <w:ilvl w:val="0"/>
          <w:numId w:val="1002"/>
        </w:numPr>
      </w:pPr>
      <w:r>
        <w:rPr>
          <w:rFonts w:ascii="Arial" w:hAnsi="Arial"/>
        </w:rPr>
        <w:t xml:space="preserve">Cross-ratio CR = VH − VV (dB), monthly median</w:t>
      </w:r>
    </w:p>
    <w:p>
      <w:pPr>
        <w:pStyle w:val="Compact"/>
        <w:numPr>
          <w:ilvl w:val="0"/>
          <w:numId w:val="1002"/>
        </w:numPr>
      </w:pPr>
      <w:r>
        <w:rPr>
          <w:rFonts w:ascii="Arial" w:hAnsi="Arial"/>
        </w:rPr>
        <w:t xml:space="preserve">NDWI (Sentinel-2 monthly median)</w:t>
      </w:r>
    </w:p>
    <w:p>
      <w:pPr>
        <w:pStyle w:val="Compact"/>
        <w:numPr>
          <w:ilvl w:val="0"/>
          <w:numId w:val="1002"/>
        </w:numPr>
      </w:pPr>
      <w:r>
        <w:rPr>
          <w:rFonts w:ascii="Arial" w:hAnsi="Arial"/>
        </w:rPr>
        <w:t xml:space="preserve">LSWI (Sentinel-2 monthly median)</w:t>
      </w:r>
    </w:p>
    <w:p>
      <w:pPr>
        <w:pStyle w:val="Compact"/>
        <w:numPr>
          <w:ilvl w:val="0"/>
          <w:numId w:val="1002"/>
        </w:numPr>
      </w:pPr>
      <w:r>
        <w:rPr>
          <w:rFonts w:ascii="Arial" w:hAnsi="Arial"/>
        </w:rPr>
        <w:t xml:space="preserve">JRC GSW water permanence fraction (percentage of months with surface water detected, 1984–2020)</w:t>
      </w:r>
    </w:p>
    <w:p>
      <w:pPr>
        <w:pStyle w:val="Compact"/>
        <w:numPr>
          <w:ilvl w:val="0"/>
          <w:numId w:val="1002"/>
        </w:numPr>
      </w:pPr>
      <w:r>
        <w:rPr>
          <w:rFonts w:ascii="Arial" w:hAnsi="Arial"/>
        </w:rPr>
        <w:t xml:space="preserve">ERA5 maximum 10-m wind speed (scalar: sqrt(u² + v²)), monthly maximum in dB-analogue scaling</w:t>
      </w:r>
    </w:p>
    <w:p>
      <w:pPr>
        <w:pStyle w:val="Compact"/>
        <w:numPr>
          <w:ilvl w:val="0"/>
          <w:numId w:val="1002"/>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3"/>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3"/>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synthetic-panel verification, MDE ranges from 1.04 d (raw/POS) to 2.49 d (raw/SOS); five of six observed effects exceed their MDE. The single non-detectable cell (corrected/EOS,</w:t>
      </w:r>
      <w:r>
        <w:rPr>
          <w:rFonts w:ascii="Arial" w:hAnsi="Arial"/>
        </w:rPr>
        <w:t xml:space="preserve"> </w:t>
      </w:r>
      <m:oMath>
        <m:d>
          <m:dPr>
            <m:begChr m:val="|"/>
            <m:endChr m:val="|"/>
            <m:sepChr m:val=""/>
            <m:grow/>
          </m:dPr>
          <m:e>
            <m:acc>
              <m:accPr>
                <m:chr m:val="̂"/>
              </m:accPr>
              <m:e>
                <m:r>
                  <m:t>τ</m:t>
                </m:r>
              </m:e>
            </m:acc>
          </m:e>
        </m:d>
        <m:r>
          <m:rPr>
            <m:sty m:val="p"/>
          </m:rPr>
          <m:t>=</m:t>
        </m:r>
        <m:r>
          <m:t>0.56</m:t>
        </m:r>
      </m:oMath>
      <w:r>
        <w:rPr>
          <w:rFonts w:ascii="Arial" w:hAnsi="Arial"/>
        </w:rPr>
        <w:t xml:space="preserve"> </w:t>
      </w:r>
      <w:r>
        <w:rPr>
          <w:rFonts w:ascii="Arial" w:hAnsi="Arial"/>
        </w:rPr>
        <w:t xml:space="preserve">d vs MDE = 1.31 d) is precisely the cell that fails WCR and the placebo.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w:t>
      </w:r>
    </w:p>
    <w:p>
      <w:r>
        <w:rPr>
          <w:rFonts w:ascii="Arial" w:hAnsi="Arial"/>
        </w:rPr>
        <w:pict>
          <v:rect style="width:0;height:1.5pt" o:hralign="center" o:hrstd="t" o:hr="t"/>
        </w:pict>
      </w:r>
    </w:p>
    <w:bookmarkEnd w:id="45"/>
    <w:bookmarkEnd w:id="46"/>
    <w:bookmarkStart w:id="54" w:name="results"/>
    <w:p>
      <w:pPr>
        <w:pStyle w:val="Heading2"/>
      </w:pPr>
      <w:r>
        <w:rPr>
          <w:rFonts w:ascii="Arial" w:hAnsi="Arial"/>
        </w:rPr>
        <w:t xml:space="preserve">4. Results</w:t>
      </w:r>
    </w:p>
    <w:bookmarkStart w:id="47"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3c and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7"/>
    <w:bookmarkStart w:id="48"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8"/>
    <w:bookmarkStart w:id="49"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cyclone-affected district-year reveals systematic but bounded biases in the uncorrected SOS, POS, and EOS estimates (Figures 5–6; per-(district, year, metric) values in Table S13a). Across the 13 cyclone-affected district-year cells in the v2.1 correction summary (5 Fani 2019, 4 Amphan 2020, 4 Yaas 2021), the mean absolute difference between raw and corrected SOS dates was</w:t>
      </w:r>
      <w:r>
        <w:rPr>
          <w:rFonts w:ascii="Arial" w:hAnsi="Arial"/>
        </w:rPr>
        <w:t xml:space="preserve"> </w:t>
      </w:r>
      <w:r>
        <w:rPr>
          <w:rFonts w:ascii="Arial" w:hAnsi="Arial"/>
          <w:b/>
          <w:bCs/>
        </w:rPr>
        <w:t xml:space="preserve">0.245 ± 0.272 days</w:t>
      </w:r>
      <w:r>
        <w:rPr>
          <w:rFonts w:ascii="Arial" w:hAnsi="Arial"/>
        </w:rPr>
        <w:t xml:space="preserve"> </w:t>
      </w:r>
      <w:r>
        <w:rPr>
          <w:rFonts w:ascii="Arial" w:hAnsi="Arial"/>
        </w:rPr>
        <w:t xml:space="preserve">(range 0.04–1.01 d). The largest single correction was applied to</w:t>
      </w:r>
      <w:r>
        <w:rPr>
          <w:rFonts w:ascii="Arial" w:hAnsi="Arial"/>
        </w:rPr>
        <w:t xml:space="preserve"> </w:t>
      </w:r>
      <w:r>
        <w:rPr>
          <w:rFonts w:ascii="Arial" w:hAnsi="Arial"/>
          <w:b/>
          <w:bCs/>
        </w:rPr>
        <w:t xml:space="preserve">Bhadrak in 2021 (Cyclone Yaas), where the SOS date shifted by −1.01 days</w:t>
      </w:r>
      <w:r>
        <w:rPr>
          <w:rFonts w:ascii="Arial" w:hAnsi="Arial"/>
        </w:rP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pStyle w:val="BodyText"/>
      </w:pPr>
      <w:r>
        <w:rPr>
          <w:rFonts w:ascii="Arial" w:hAnsi="Arial"/>
        </w:rPr>
        <w:t xml:space="preserve">For POS dates, the mean raw–corrected difference in treatment years was</w:t>
      </w:r>
      <w:r>
        <w:rPr>
          <w:rFonts w:ascii="Arial" w:hAnsi="Arial"/>
        </w:rPr>
        <w:t xml:space="preserve"> </w:t>
      </w:r>
      <w:r>
        <w:rPr>
          <w:rFonts w:ascii="Arial" w:hAnsi="Arial"/>
          <w:b/>
          <w:bCs/>
        </w:rPr>
        <w:t xml:space="preserve">0.122 ± 0.134 days</w:t>
      </w:r>
      <w:r>
        <w:rPr>
          <w:rFonts w:ascii="Arial" w:hAnsi="Arial"/>
        </w:rPr>
        <w:t xml:space="preserve"> </w:t>
      </w:r>
      <w:r>
        <w:rPr>
          <w:rFonts w:ascii="Arial" w:hAnsi="Arial"/>
        </w:rP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rPr>
          <w:rFonts w:ascii="Arial" w:hAnsi="Arial"/>
        </w:rPr>
        <w:t xml:space="preserve"> </w:t>
      </w:r>
      <w:r>
        <w:rPr>
          <w:rFonts w:ascii="Arial" w:hAnsi="Arial"/>
          <w:b/>
          <w:bCs/>
        </w:rPr>
        <w:t xml:space="preserve">0.337 ± 0.462 days</w:t>
      </w:r>
      <w:r>
        <w:rPr>
          <w:rFonts w:ascii="Arial" w:hAnsi="Arial"/>
        </w:rPr>
        <w:t xml:space="preserve"> </w:t>
      </w:r>
      <w:r>
        <w:rPr>
          <w:rFonts w:ascii="Arial" w:hAnsi="Arial"/>
        </w:rP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3.6.1, Limitation 6).</w:t>
      </w:r>
    </w:p>
    <w:p>
      <w:pPr>
        <w:pStyle w:val="BodyText"/>
      </w:pPr>
      <w:r>
        <w:rPr>
          <w:rFonts w:ascii="Arial" w:hAnsi="Arial"/>
        </w:rP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rPr>
          <w:rFonts w:ascii="Arial" w:hAnsi="Arial"/>
        </w:rP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+15.289 d, CR1 SE = 17.328,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WCR 95 % CI [−54.02, +84.60], B = 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−3.587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0 d (right-censored: 20 of the 64 district-year EOS cells fall in the post-cyclone window and are right-censored by the season-end harvest cutoff, leaving n = 44 estimable EOS rows;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In the v2.1 classifier-corrected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+15.108 d (CR1 SE = 17.312,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0.407), a Δτ̂ = −0.181 d shift corresponding to a 1.2 % reduction in absolute magnitude relative to the raw pipeline — small but directionally consistent with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−3.677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 Δτ̂ = −0.090 d), and the corrected/EOS coefficient moved from the degenerate raw value to</w:t>
      </w:r>
      <w:r>
        <w:rPr>
          <w:rFonts w:ascii="Arial" w:hAnsi="Arial"/>
        </w:rPr>
        <w:t xml:space="preserve"> </w:t>
      </w:r>
      <m:oMath>
        <m:sSub>
          <m:e>
            <m:acc>
              <m:accPr>
                <m:chr m:val="̂"/>
              </m:accPr>
              <m:e>
                <m:r>
                  <m:t>τ</m:t>
                </m:r>
              </m:e>
            </m:acc>
          </m:e>
          <m:sub>
            <m:r>
              <m:rPr>
                <m:nor/>
                <m:sty m:val="p"/>
              </m:rPr>
              <m:t>corrected,EOS</m:t>
            </m:r>
          </m:sub>
        </m:sSub>
      </m:oMath>
      <w:r>
        <w:rPr>
          <w:rFonts w:ascii="Arial" w:hAnsi="Arial"/>
        </w:rPr>
        <w:t xml:space="preserve"> </w:t>
      </w:r>
      <w:r>
        <w:rPr>
          <w:rFonts w:ascii="Arial" w:hAnsi="Arial"/>
        </w:rPr>
        <w:t xml:space="preserve">= −0.239 d (CR1 SE =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 consistent with the pre-registered prediction that the saline-surge correction is mechanism-specific to the early-season anchor while the end-of-season DiD coefficient remains statistically indistinguishable from zero.</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0.400, corrected/SOS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0.407,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 corrected/POS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0.229,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corrected/EOS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 this null result reflects the small-G regime (G = 8 clusters) discussed in the Provenance note, not a failure of the research design; (ii) the leave-one-out jackknife (Table S5) flags all six cells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under the published threshold (Bhadrak removal shifts raw/SOS τ̂ by 76.1 % and corrected/SOS τ̂ by 76.7 %; Cuttack removal shifts raw/POS τ̂ by 55.8 % and corrected/POS τ̂ by 54.7 %; Bhadrak removal shifts corrected/EOS τ̂ by 60.2 %), consistent with the n = 8 cluster geometry rather than with model misspecification;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after Bonferroni-correction across the six-cell family;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Bulbul-rainfall districts (West Bengal coast, November 2019) yields directional residuals consistent with the trained τ̂_corrected_SOS = +15.11 d, supporting transferability of the corrected pipeline to a different cyclone class (post-monsoon rainfall vs. pre-monsoon surge). The pixel-share weighting that drives the v2.1 correction depends only on the trained classifier’s mask, not on event-specific labelling — i.e. the Bulbul application requires no additional training data.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w:t>
      </w:r>
    </w:p>
    <w:bookmarkEnd w:id="50"/>
    <w:bookmarkStart w:id="51"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1.51 d (mean |Δ|= 0.223 d),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small subset of treatment cells with flood_share &gt; 1% (Cuttack 2019, Puri 2019, Bhadrak 2021, Kendrapara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For Bhadrak — the only treatment district with both a Bulbul (2019) and a Yaas (2021) flood-share signal and a VDSA village-panel ground-truth — the v2.1 correction shifts SOS by at most 0.31 d (Bhadrak 2021 Yaas, flood_share 2.24%) and POS by at most 0.16 d, well within the ±5-day inter-village variance of VDSA-reported transplanting dates. The corrected Bhadrak SOS series therefore remains within the VDSA envelope reported in §3.7; no significant degradation or improvement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1"/>
    <w:bookmarkStart w:id="52"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visual Sentinel-2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smaller than the 0.223-day mean and the 1.51-day single-cell maximum (Puri 2019),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3"/>
    <w:bookmarkEnd w:id="54"/>
    <w:bookmarkStart w:id="60" w:name="discussion"/>
    <w:p>
      <w:pPr>
        <w:pStyle w:val="Heading2"/>
      </w:pPr>
      <w:r>
        <w:rPr>
          <w:rFonts w:ascii="Arial" w:hAnsi="Arial"/>
        </w:rPr>
        <w:t xml:space="preserve">5. Discussion</w:t>
      </w:r>
    </w:p>
    <w:bookmarkStart w:id="55"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(Δτ̂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rPr>
          <w:rFonts w:ascii="Arial" w:hAnsi="Arial"/>
        </w:rPr>
        <w:t xml:space="preserve">The v2.1 correction framework shifts the district-aggregated SOS DiD coefficient from +15.289 d (raw) to +15.108 d (corrected) — a Δτ̂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directionally satisfied for SOS (15.289 &gt; 15.108 &gt; 0), and the corrected/EOS coefficient (−0.239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0.204)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9"/>
    <w:bookmarkEnd w:id="60"/>
    <w:bookmarkStart w:id="61"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1"/>
    <w:bookmarkStart w:id="62" w:name="credit-author-contribution-statement"/>
    <w:p>
      <w:pPr>
        <w:pStyle w:val="Heading2"/>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Contribution</w:t>
            </w:r>
          </w:p>
        </w:tc>
        <w:tc>
          <w:tcPr/>
          <w:p>
            <w:pPr>
              <w:pStyle w:val="Compact"/>
              <w:jc w:val="left"/>
            </w:pPr>
            <w:r>
              <w:rPr>
                <w:rFonts w:ascii="Arial" w:hAnsi="Arial"/>
                <w:sz w:val="18"/>
              </w:rPr>
              <w:t xml:space="preserve">Supranab Panda (Lead)</w:t>
            </w:r>
          </w:p>
        </w:tc>
        <w:tc>
          <w:tcPr/>
          <w:p>
            <w:pPr>
              <w:pStyle w:val="Compact"/>
              <w:jc w:val="left"/>
            </w:pPr>
            <w:r>
              <w:rPr>
                <w:rFonts w:ascii="Arial" w:hAnsi="Arial"/>
                <w:sz w:val="18"/>
              </w:rPr>
              <w:t xml:space="preserve">Sarat Chandra Sahu</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Software (GEE code)</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bl>
    <w:p>
      <w:r>
        <w:rPr>
          <w:rFonts w:ascii="Arial" w:hAnsi="Arial"/>
        </w:rPr>
        <w:pict>
          <v:rect style="width:0;height:1.5pt" o:hralign="center" o:hrstd="t" o:hr="t"/>
        </w:pict>
      </w:r>
    </w:p>
    <w:bookmarkEnd w:id="62"/>
    <w:bookmarkStart w:id="63"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3"/>
    <w:bookmarkStart w:id="64"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4"/>
    <w:bookmarkStart w:id="65"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5"/>
    <w:bookmarkStart w:id="72"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rPr>
          <w:rFonts w:ascii="Arial" w:hAnsi="Arial"/>
        </w:rPr>
        <w:t xml:space="preserve"> </w:t>
      </w:r>
      <w:hyperlink r:id="rId44">
        <w:r>
          <w:rPr>
            <w:rStyle w:val="Hyperlink"/>
          </w:rPr>
          <w:t xml:space="preserve">10.17632/z3zxk4xy3c.1</w:t>
        </w:r>
      </w:hyperlink>
      <w:r>
        <w:rPr>
          <w:rFonts w:ascii="Arial" w:hAnsi="Arial"/>
        </w:rPr>
        <w:t xml:space="preserve">). All Google Earth Engine JavaScript processing code and Python statistical analysis scripts are publicly available at</w:t>
      </w:r>
      <w:r>
        <w:rPr>
          <w:rFonts w:ascii="Arial" w:hAnsi="Arial"/>
        </w:rPr>
        <w:t xml:space="preserve"> </w:t>
      </w:r>
      <w:hyperlink r:id="rId66">
        <w:r>
          <w:rPr>
            <w:rStyle w:val="Hyperlink"/>
          </w:rPr>
          <w:t xml:space="preserve">https://github.com/pandasupranab/RiceBaCI-GEE</w:t>
        </w:r>
      </w:hyperlink>
      <w:r>
        <w:rPr>
          <w:rFonts w:ascii="Arial" w:hAnsi="Arial"/>
        </w:rPr>
        <w:t xml:space="preserve"> </w:t>
      </w:r>
      <w:r>
        <w:rPr>
          <w:rFonts w:ascii="Arial" w:hAnsi="Arial"/>
        </w:rPr>
        <w:t xml:space="preserve">under an MIT licence; tagged source-code releases corresponding to the pre-registration (v0.1.0-prereg) and successive submission snapshots are permanently archived on Zenodo (concept DOI:</w:t>
      </w:r>
      <w:r>
        <w:rPr>
          <w:rFonts w:ascii="Arial" w:hAnsi="Arial"/>
        </w:rPr>
        <w:t xml:space="preserve"> </w:t>
      </w:r>
      <w:hyperlink r:id="rId67">
        <w:r>
          <w:rPr>
            <w:rStyle w:val="Hyperlink"/>
          </w:rPr>
          <w:t xml:space="preserve">10.5281/zenodo.20024578</w:t>
        </w:r>
      </w:hyperlink>
      <w:r>
        <w:rPr>
          <w:rFonts w:ascii="Arial" w:hAnsi="Arial"/>
        </w:rPr>
        <w:t xml:space="preserve">; v0.1.1-prereg DOI:</w:t>
      </w:r>
      <w:r>
        <w:rPr>
          <w:rFonts w:ascii="Arial" w:hAnsi="Arial"/>
        </w:rPr>
        <w:t xml:space="preserve"> </w:t>
      </w:r>
      <w:hyperlink r:id="rId68">
        <w:r>
          <w:rPr>
            <w:rStyle w:val="Hyperlink"/>
          </w:rPr>
          <w:t xml:space="preserve">10.5281/zenodo.20024579</w:t>
        </w:r>
      </w:hyperlink>
      <w:r>
        <w:rPr>
          <w:rFonts w:ascii="Arial" w:hAnsi="Arial"/>
        </w:rPr>
        <w:t xml:space="preserve">; v1.0.0-submission DOI:</w:t>
      </w:r>
      <w:r>
        <w:rPr>
          <w:rFonts w:ascii="Arial" w:hAnsi="Arial"/>
        </w:rPr>
        <w:t xml:space="preserve"> </w:t>
      </w:r>
      <w:hyperlink r:id="rId69">
        <w:r>
          <w:rPr>
            <w:rStyle w:val="Hyperlink"/>
          </w:rPr>
          <w:t xml:space="preserve">10.5281/zenodo.20585636</w:t>
        </w:r>
      </w:hyperlink>
      <w:r>
        <w:rPr>
          <w:rFonts w:ascii="Arial" w:hAnsi="Arial"/>
        </w:rPr>
        <w:t xml:space="preserve">; v1.0.1-submission DOI:</w:t>
      </w:r>
      <w:r>
        <w:rPr>
          <w:rFonts w:ascii="Arial" w:hAnsi="Arial"/>
        </w:rPr>
        <w:t xml:space="preserve"> </w:t>
      </w:r>
      <w:hyperlink r:id="rId70">
        <w:r>
          <w:rPr>
            <w:rStyle w:val="Hyperlink"/>
          </w:rPr>
          <w:t xml:space="preserve">10.5281/zenodo.20587316</w:t>
        </w:r>
      </w:hyperlink>
      <w:r>
        <w:rPr>
          <w:rFonts w:ascii="Arial" w:hAnsi="Arial"/>
        </w:rPr>
        <w:t xml:space="preserve">). The study pre-registration, including all pre-specified hypotheses, analysis decisions, and inference criteria, is available at</w:t>
      </w:r>
      <w:r>
        <w:rPr>
          <w:rFonts w:ascii="Arial" w:hAnsi="Arial"/>
        </w:rPr>
        <w:t xml:space="preserve"> </w:t>
      </w:r>
      <w:hyperlink r:id="rId71">
        <w:r>
          <w:rPr>
            <w:rStyle w:val="Hyperlink"/>
          </w:rPr>
          <w:t xml:space="preserve">https://osf.io/c4mp8</w:t>
        </w:r>
      </w:hyperlink>
      <w:r>
        <w:rPr>
          <w:rFonts w:ascii="Arial" w:hAnsi="Arial"/>
        </w:rPr>
        <w:t xml:space="preserve"> </w:t>
      </w:r>
      <w:r>
        <w:rPr>
          <w:rFonts w:ascii="Arial" w:hAnsi="Arial"/>
        </w:rPr>
        <w:t xml:space="preserve">(DOI: 10.17605/OSF.IO/C4MP8). All Sentinel-2 reference imagery, coordinates, labels, and label-confidence flags used for classifier validation are openly redistributable and are included in full in the Mendeley Data record under CC-BY-4.0.</w:t>
      </w:r>
    </w:p>
    <w:p>
      <w:r>
        <w:rPr>
          <w:rFonts w:ascii="Arial" w:hAnsi="Arial"/>
        </w:rPr>
        <w:pict>
          <v:rect style="width:0;height:1.5pt" o:hralign="center" o:hrstd="t" o:hr="t"/>
        </w:pict>
      </w:r>
    </w:p>
    <w:bookmarkEnd w:id="72"/>
    <w:bookmarkStart w:id="74"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73">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4"/>
    <w:bookmarkStart w:id="75"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rP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visual reference labels; n_train = 384, n_test = 96; OA = 0.990 full-feature, OA = 0.844 SAR-only, 5-fold CV OA = 0.831). The v2.1 classifier-corrected pipeline produces a small but defensible attenuation of the district-aggregated DiD coefficient (τ̂_SOS: 15.289 → 15.108 d, Δτ̂ = −0.181 d; τ̂_POS: −3.587 → −3.677 d, Δτ̂ = −0.090 d; τ̂_EOS: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2026-06-08T07:36:06Z</dcterms:created>
  <dcterms:modified xsi:type="dcterms:W3CDTF">2026-06-08T07:36:06Z</dcterms:modified>
</cp:coreProperties>
</file>

<file path=docProps/custom.xml><?xml version="1.0" encoding="utf-8"?>
<Properties xmlns="http://schemas.openxmlformats.org/officeDocument/2006/custom-properties" xmlns:vt="http://schemas.openxmlformats.org/officeDocument/2006/docPropsVTypes"/>
</file>