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6"/>
        </w:rPr>
        <w:t>Table S10 — Random-forest classifier feature importance and falsifiability checks</w:t>
      </w:r>
    </w:p>
    <w:p>
      <w:r>
        <w:rPr>
          <w:b/>
          <w:color w:val="1F3A5F"/>
          <w:sz w:val="22"/>
        </w:rPr>
        <w:t>Panel A. Gini feature importance (full-feature model, n_features = 7)</w:t>
      </w:r>
    </w:p>
    <w:p>
      <w:r>
        <w:rPr>
          <w:i/>
          <w:sz w:val="18"/>
        </w:rPr>
        <w:t>Gini importance of features in the v0.3.0 saline-flood random-forest classifier (n_train = 384, n_test = 96, OA = 0.990, F1 = 0.990). Source: analysis/results/rf_feature_importance_real.csv.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041"/>
            <w:shd w:fill="1F3A5F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685"/>
            <w:shd w:fill="1F3A5F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Gini importance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ndwi_max_event_window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Sentinel-2 NDWI maximum over event window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0.4502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lswi_min_event_window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Sentinel-2 LSWI minimum over event window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0.3399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delta_vh_db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ΔVH (event median − 30-day pre-baseline median, dB)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0.0734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vv_min_event_window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VV minimum over event window (dB)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0.0720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era5_3day_max_wind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ERA5-Land 3-day maximum hourly wind speed (m s⁻¹)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0.0369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jrc_water_permanence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JRC GSW occurrence (%)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0.0152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delta_cr_db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ΔCR (cross-ratio change, dB)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0.0123</w:t>
            </w:r>
          </w:p>
        </w:tc>
      </w:tr>
    </w:tbl>
    <w:p/>
    <w:p>
      <w:r>
        <w:rPr>
          <w:b/>
          <w:color w:val="1F3A5F"/>
          <w:sz w:val="22"/>
        </w:rPr>
        <w:t>Panel B. Pre-registered falsifiability checks (OSF c4mp8, §S3.7)</w:t>
      </w:r>
    </w:p>
    <w:p>
      <w:r>
        <w:rPr>
          <w:i/>
          <w:sz w:val="18"/>
        </w:rPr>
        <w:t>Four pre-registered mechanistic checks applied to the v0.3.0 classifier outputs. All four PASS. Source: analysis/results/rf_falsifiability_checks_real.csv.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1F3A5F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Pre-registered threshold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Observed</w:t>
            </w:r>
          </w:p>
        </w:tc>
        <w:tc>
          <w:tcPr>
            <w:tcW w:type="dxa" w:w="737"/>
            <w:shd w:fill="1F3A5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fill="1F3A5F"/>
          </w:tcPr>
          <w:p>
            <w:r/>
            <w:r>
              <w:rPr>
                <w:b/>
                <w:color w:val="FFFFFF"/>
                <w:sz w:val="18"/>
              </w:rPr>
              <w:t>Rationale (truncated)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delta vh median gap ge 3db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≥ 3 dB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5.062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Cyclone surge depolarises VH ≥ 3 dB more than agronomic flooding (Voigt et al. 2007; UN-SPIDER 2019).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vv min gap ge 2db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≥ 2 dB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6.488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Smooth surge water reflects specularly → low VV.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delta cr opposite sign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cyclone &lt; 0 &lt; agronomic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cyc -0.309, agr 0.418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Surge collapses cross-pol harder than co-pol (CR drops); agronomic shallow flooding inverts.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cyclone jrc permanence below 10pct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&lt; 10%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Cyclone-flooded pixels are by construction normally-dry land (JRC long-term occurrence low).</w:t>
            </w:r>
          </w:p>
        </w:tc>
      </w:tr>
    </w:tbl>
    <w:p/>
    <w:p>
      <w:r>
        <w:rPr>
          <w:i/>
          <w:sz w:val="18"/>
        </w:rPr>
        <w:t>Together, Panel A and Panel B confirm that the v0.3.0 classifier satisfies both the statistical-performance criterion (Panel A, Gini-importance distribution dominated by physically-meaningful Sentinel-2 NDWI/LSWI and SAR ΔVH features) and the mechanistic falsifiability criterion (Panel B, all four pre-registered checks PASS). Cross-references: Section 4.1 (Module 02 acceptance), Section 4.2 (backscatter confound demonstration), Section 3.7.4 (falsifiability-test framework).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