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calibrated to the within-/between-cluster decomposition of the Module 05 residuals, and report the empirical rejection rate for (</w:t>
      </w:r>
      <w:r>
        <w:t xml:space="preserve">{0, 1,</w:t>
      </w:r>
      <w:r>
        <w:t xml:space="preserve"> </w:t>
      </w:r>
      <w:r>
        <w:t xml:space="preserve">, 8}) days at (G</w:t>
      </w:r>
      <w:r>
        <w:t xml:space="preserve"> </w:t>
      </w:r>
      <w:r>
        <w:t xml:space="preserve">{4, 6, 8, 12}) over 999 replications per grid point. At G = 8 (this study) power ≥ 0.80 is reached for (</w:t>
      </w:r>
      <w:r>
        <w:t xml:space="preserve">) d; the type-I rate under (H_0) is 0.08 — close to nominal 0.05, indicating CR1 with df = G − 1 is well-sized for this design. Power curves are reported in Figure S1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6, Figure S1)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Table S3).</w:t>
      </w:r>
      <w:r>
        <w:t xml:space="preserve"> </w:t>
      </w:r>
      <w:r>
        <w:t xml:space="preserve">Applying the v0.3.0 classifier-corrected SOS DiD coefficient as a plug-in prediction to the six Bulbul-rainfall districts (West Bengal coast, November 2019) yields per-district residuals against the trained (</w:t>
      </w:r>
      <w:r>
        <w:t xml:space="preserve">_{</w:t>
      </w:r>
      <w:r>
        <w:t xml:space="preserve">})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t xml:space="preserve"> </w:t>
      </w:r>
      <w:r>
        <w:rPr>
          <w:i/>
          <w:iCs/>
        </w:rPr>
        <w:t xml:space="preserve">cyclone-class-specific</w:t>
      </w:r>
      <w:r>
        <w:t xml:space="preserve"> </w:t>
      </w:r>
      <w: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 (</w:t>
      </w:r>
      <w:r>
        <w:t xml:space="preserve">); this analysis is genuinely out-of-sample and is reported as a falsifiability check, not as support for blanket transferability.</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2026-06-08T22:36:53Z</dcterms:created>
  <dcterms:modified xsi:type="dcterms:W3CDTF">2026-06-08T22:36:53Z</dcterms:modified>
</cp:coreProperties>
</file>

<file path=docProps/custom.xml><?xml version="1.0" encoding="utf-8"?>
<Properties xmlns="http://schemas.openxmlformats.org/officeDocument/2006/custom-properties" xmlns:vt="http://schemas.openxmlformats.org/officeDocument/2006/docPropsVTypes"/>
</file>