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S5a.  Leave-one-district-out (LOO) sensitivity verdicts. Each cell shows the maximum percentage change in τ̂ across the 8 LOO refits and the most-influential dropped district.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τ̂ full (d)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max |Δτ| (%)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Driver district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b/>
                <w:sz w:val="20"/>
              </w:rPr>
              <w:t>Verdict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76.1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Bhadrak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Cuttack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Angul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fragile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76.1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Bhadrak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55.8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Cuttack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leverage</w:t>
            </w:r>
          </w:p>
        </w:tc>
      </w:tr>
      <w:tr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nan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Angul</w:t>
            </w:r>
          </w:p>
        </w:tc>
        <w:tc>
          <w:tcPr>
            <w:tcW w:type="dxa" w:w="1440"/>
          </w:tcPr>
          <w:p>
            <w:r>
              <w:rPr>
                <w:rFonts w:ascii="Arial" w:hAnsi="Arial"/>
                <w:sz w:val="20"/>
              </w:rPr>
              <w:t>fragile</w:t>
            </w:r>
          </w:p>
        </w:tc>
      </w:tr>
    </w:tbl>
    <w:p/>
    <w:p>
      <w:pPr>
        <w:jc w:val="left"/>
      </w:pPr>
      <w:r>
        <w:rPr>
          <w:rFonts w:ascii="Arial" w:hAnsi="Arial"/>
          <w:b/>
          <w:sz w:val="20"/>
        </w:rPr>
        <w:t>Table S5b.  Full leave-one-district-out detail: τ̂ and 95 % CI when each district is dropped.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Pipeline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Metric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Dropped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Exposure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τ̂ LOO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SE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CI₂.₅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CI₉₇.₅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b/>
                <w:sz w:val="18"/>
              </w:rPr>
              <w:t>Δ (%)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+21.733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16.548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-10.701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54.167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42.200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+10.256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20.342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0.614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-29.613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50.124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+3.656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14.092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0.795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-23.964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31.275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-76.100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+10.567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17.860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0.554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-24.439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45.572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-30.900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+13.567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19.089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0.477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-23.846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50.980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-11.300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+17.906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21.212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0.399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-23.669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59.480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+22.039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19.344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0.255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-15.875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59.953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44.100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+22.589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18.950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-14.552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59.729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47.700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-9.243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-10.034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-1.933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2.418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-6.672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2.805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46.100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2.119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-9.741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-1.433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-55.800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-9.243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-4.517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-10.558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1.524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-4.517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-10.558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1.524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-10.034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0.822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raw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+21.733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16.548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-10.701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54.167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42.200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+10.256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20.342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0.614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-29.613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50.124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+3.656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14.092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0.795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-23.964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31.275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-76.100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+10.567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17.860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0.554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-24.439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45.572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-30.900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+13.567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19.089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0.477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-23.846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50.980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-11.300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+17.906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21.212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0.399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-23.669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59.480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17.100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+22.039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19.344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0.255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-15.875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59.953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44.100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SOS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+22.589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18.950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-14.552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59.729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47.700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-9.243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-10.034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-1.933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2.418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-6.672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2.805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46.100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2.119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-9.741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-1.433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-55.800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-2.587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0.446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-9.243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4.070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27.900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-4.517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-10.558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1.524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-4.517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3.082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-10.558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1.524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-25.900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-3.483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3.342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0.297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-10.034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3.068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2.900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Angul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0.198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Baleshwar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Bhadrak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0.148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Cuttack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Dhenkanal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inland_control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0.822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Jagatsinghpur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0.141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Kendrapara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0.396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corrected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EOS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Puri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coastal_treatment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+0.000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-0.000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0.000</w:t>
            </w:r>
          </w:p>
        </w:tc>
        <w:tc>
          <w:tcPr>
            <w:tcW w:type="dxa" w:w="864"/>
          </w:tcPr>
          <w:p>
            <w:r>
              <w:rPr>
                <w:rFonts w:ascii="Arial" w:hAnsi="Arial"/>
                <w:sz w:val="18"/>
              </w:rPr>
              <w:t>nan</w:t>
            </w:r>
          </w:p>
        </w:tc>
      </w:tr>
    </w:tbl>
    <w:p/>
    <w:p>
      <w:r>
        <w:rPr>
          <w:sz w:val="18"/>
        </w:rPr>
        <w:t>Notes. Verdict legend: stable (max |Δτ| &lt; 25 % AND no sign flip), leverage (one district drives &gt; 25 % of τ̂), fragile (some LOO flips the sign of τ̂). The Goodman-Bacon decomposition is not applicable (single-cohort design); LOO sensitivity is the binding leverage check.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