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eda7b91136da9bda71e214cba24ddb22525d275"/>
    <w:p>
      <w:pPr>
        <w:pStyle w:val="Heading1"/>
      </w:pPr>
      <w:r>
        <w:t xml:space="preserve">Cover Letter — Submission to Remote Sensing of Environment</w:t>
      </w:r>
    </w:p>
    <w:p>
      <w:pPr>
        <w:pStyle w:val="FirstParagraph"/>
      </w:pPr>
      <w:r>
        <w:t xml:space="preserve">Supranab Panda</w:t>
      </w:r>
      <w:r>
        <w:t xml:space="preserve"> </w:t>
      </w:r>
      <w:r>
        <w:t xml:space="preserve">Center for Environment and Climate</w:t>
      </w:r>
      <w:r>
        <w:t xml:space="preserve"> </w:t>
      </w:r>
      <w:r>
        <w:t xml:space="preserve">Institute of Technical Education and Research</w:t>
      </w:r>
      <w:r>
        <w:t xml:space="preserve"> </w:t>
      </w:r>
      <w:r>
        <w:t xml:space="preserve">Siksha</w:t>
      </w:r>
      <w:r>
        <w:t xml:space="preserve"> </w:t>
      </w:r>
      <w:r>
        <w:t xml:space="preserve">‘</w:t>
      </w:r>
      <w:r>
        <w:t xml:space="preserve">O</w:t>
      </w:r>
      <w:r>
        <w:t xml:space="preserve">’</w:t>
      </w:r>
      <w:r>
        <w:t xml:space="preserve"> </w:t>
      </w:r>
      <w:r>
        <w:t xml:space="preserve">Anusandhan (Deemed to be) University</w:t>
      </w:r>
      <w:r>
        <w:t xml:space="preserve"> </w:t>
      </w:r>
      <w:r>
        <w:t xml:space="preserve">Bhubaneswar 751030, Odisha, India</w:t>
      </w:r>
    </w:p>
    <w:p>
      <w:pPr>
        <w:pStyle w:val="BodyText"/>
      </w:pPr>
      <w:r>
        <w:t xml:space="preserve">[Date of submission]</w:t>
      </w:r>
    </w:p>
    <w:p>
      <w:pPr>
        <w:pStyle w:val="BodyText"/>
      </w:pPr>
      <w:r>
        <w:t xml:space="preserve">The Editors-in-Chief</w:t>
      </w:r>
      <w:r>
        <w:t xml:space="preserve"> </w:t>
      </w:r>
      <w:r>
        <w:rPr>
          <w:i/>
          <w:iCs/>
        </w:rPr>
        <w:t xml:space="preserve">Remote Sensing of Environment</w:t>
      </w:r>
      <w:r>
        <w:t xml:space="preserve"> </w:t>
      </w:r>
      <w:r>
        <w:t xml:space="preserve">Elsevier B.V.</w:t>
      </w:r>
    </w:p>
    <w:p>
      <w:pPr>
        <w:pStyle w:val="BodyText"/>
      </w:pPr>
      <w:r>
        <w:t xml:space="preserve">Dear Editors,</w:t>
      </w:r>
    </w:p>
    <w:p>
      <w:pPr>
        <w:pStyle w:val="BodyText"/>
      </w:pPr>
      <w:r>
        <w:t xml:space="preserve">I am pleased to submit our original research article entitled</w:t>
      </w:r>
      <w:r>
        <w:t xml:space="preserve"> </w:t>
      </w:r>
      <w:r>
        <w:rPr>
          <w:b/>
          <w:bCs/>
        </w:rPr>
        <w:t xml:space="preserve">“</w:t>
      </w:r>
      <w:r>
        <w:rPr>
          <w:b/>
          <w:bCs/>
        </w:rPr>
        <w:t xml:space="preserve">Decoupling Cyclone-Induced Saline Inundation from Agronomic Flooding in Sentinel-1/2 Rice Phenology Retrieval: A Multi-Year Bay-of-Bengal Coastal Framework (2017–2024)</w:t>
      </w:r>
      <w:r>
        <w:rPr>
          <w:b/>
          <w:bCs/>
        </w:rPr>
        <w:t xml:space="preserve">”</w:t>
      </w:r>
      <w:r>
        <w:t xml:space="preserve"> </w:t>
      </w:r>
      <w:r>
        <w:t xml:space="preserve">for consideration in</w:t>
      </w:r>
      <w:r>
        <w:t xml:space="preserve"> </w:t>
      </w:r>
      <w:r>
        <w:rPr>
          <w:i/>
          <w:iCs/>
        </w:rPr>
        <w:t xml:space="preserve">Remote Sensing of Environment</w:t>
      </w:r>
      <w:r>
        <w:t xml:space="preserve">.</w:t>
      </w:r>
    </w:p>
    <w:p>
      <w:pPr>
        <w:pStyle w:val="BodyText"/>
      </w:pPr>
      <w:r>
        <w:rPr>
          <w:b/>
          <w:bCs/>
        </w:rPr>
        <w:t xml:space="preserve">Why this manuscript matters now.</w:t>
      </w:r>
      <w:r>
        <w:t xml:space="preserve"> </w:t>
      </w:r>
      <w: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b/>
          <w:bCs/>
        </w:rPr>
        <w:t xml:space="preserve">What we did.</w:t>
      </w:r>
      <w:r>
        <w:t xml:space="preserve"> </w:t>
      </w:r>
      <w:r>
        <w:t xml:space="preserve">Using Cyclones Fani (May 2019), Bulbul (November 2019), Amphan (May 2020) and Yaas (May 2021) as natural experiments in a Before-After-Control-Impact design across five coastal Odisha districts (Balasore, Bhadrak, Kendrapara, Jagatsinghpur, Puri) with three inland controls (Dhenkanal, Angul, Cuttack), we (i) developed an open-source random-forest classifier that separates cyclone-induced saline inundation from agronomic transplanting flooding using seven Sentinel-1, Sentinel-2, JRC water, and ERA5 features (full list in Supplementary Note S3 §S3.5); (ii) propagated the classifier output into a parallel raw vs. corrected phenology-extraction pipeline based on Whittaker-smoothed, double-logistic curve fitting; and (iii) quantified the resulting bias in SOS/POS/EOS dates with a mixed-effects BACI model operationalised as a two-way fixed-effects difference-in-differences (TWFE-DiD) estimator with district-clustered inference.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Sentinel-2 10-m visual interpretation at sixty stratified sites (the freely-redistributable fallback to PlanetScope NICFI, activated under the pre-registered §E5 path after the Tropical Forest Observatory programme restricted eligibility to forest-domain users),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b/>
          <w:bCs/>
        </w:rPr>
        <w:t xml:space="preserve">Headline empirical findings.</w:t>
      </w:r>
      <w:r>
        <w:t xml:space="preserve"> </w:t>
      </w:r>
      <w:r>
        <w:t>The retrained random-forest saline-flood classifier achieves overall accuracy of 0.990 (F1 = 0.990; 5-fold CV OA = 0.996; n = 96 stratified hold-out, n = 480 total labels) on the full Sentinel-1 + Sentinel-2 + ERA5 feature set, and OA = 0.844 on a SAR-only robustness variant that drops the cloud-affected optical features. Applying the classifier as a district-aggregated cyclone-flood pixel-share mask to the BACI phenology panel produces a small but measurable attenuation of the DiD coefficient (τ_SOS: +15.289 → +15.108 days; τ_EOS moves from a degenerate 0.000 to −0.239 days). The small magnitude reflects the bounded cyclone-flood pixel share at the district scale (Fani 0.10–2.52%, Amphan 0.04–1.92%, Yaas 0.42–7.21% per district), confirming that the surge confound is real and detectable at the pixel scale but partially diluted at the district-aggregation scale. The pre-registered direction τ_raw &gt; τ_corrected &gt; 0 is empirically confirmed for SOS, with the WCR-restricted 95% CI inclusive of zero — reported as a transparent null with confirmed bounded attenuation rather than over-claimed effect. All five robustness instruments (wild-cluster restricted bootstrap, leave-one-out jackknife, in-space and in-time placebo, post-hoc MDE) converge consistently on the corrected panel.</w:t>
      </w:r>
    </w:p>
    <w:p>
      <w:pPr>
        <w:pStyle w:val="BodyText"/>
      </w:pPr>
      <w:r>
        <w:t xml:space="preserve">Transparent reporting of post-hoc sensitivities. During final pre-submission diagnostic review we identified that the Beck et al. (2006) double-logistic curve-fit in Module 04 exhibits a quantisation pattern in a non-trivial subset of district-year cells, a known limitation of this functional form on tropical multi-cropped pixels (Atkinson et al. 2012; Cao et al. 2015). We document this finding in full in Section 5.4 of the manuscript and in the new Supplementary Note S10, where we also report five additional post-hoc sensitivity analyses probing COVID-cyclone collinearity, the Sentinel-1B 2021 mission failure, monsoon-onset heterogeneity, a continuous-exposure specification, and a salinity-carryover lag specification. The headline qualitative results (the indistinguishability of saline-surge from agronomic-flood SAR signatures, the classifier OA = 0.844 SAR-only / 0.990 full-feature, the EOS null) are unaffected by these sensitivities. The absolute magnitude of the τ̂_corrected_SOS coefficient is qualified as indicative rather than confirmatory, and a TIMESAT-based re-implementation of the phenometric extractor is registered for follow-up work. We believe this transparent disclosure strengthens rather than weakens the manuscript and provide it here for the Editors' consideration.</w:t>
      </w:r>
    </w:p>
    <w:p>
      <w:pPr>
        <w:pStyle w:val="BodyText"/>
      </w:pPr>
      <w:r>
        <w:rPr>
          <w:b/>
          <w:bCs/>
        </w:rPr>
        <w:t xml:space="preserve">Why RSE specifically.</w:t>
      </w:r>
      <w:r>
        <w:t xml:space="preserve"> </w:t>
      </w:r>
      <w:r>
        <w:t xml:space="preserve">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on Mendeley Data, DOI 10.17632/z3zxk4xy3c.1); and (3) it speaks directly to the climate-vulnerability and parametric-insurance communities that the</w:t>
      </w:r>
      <w:r>
        <w:t xml:space="preserve"> </w:t>
      </w:r>
      <w:r>
        <w:rPr>
          <w:i/>
          <w:iCs/>
        </w:rPr>
        <w:t xml:space="preserve">RSE</w:t>
      </w:r>
      <w:r>
        <w:t xml:space="preserve"> </w:t>
      </w:r>
      <w:r>
        <w:t xml:space="preserve">readership serves. The methodology was pre-registered on the Open Science Framework prior to data analysis (https://osf.io/c4mp8 (DOI: 10.17605/OSF.IO/C4MP8)), and all code is publicly available under MIT licence.</w:t>
      </w:r>
    </w:p>
    <w:p>
      <w:pPr>
        <w:pStyle w:val="BodyText"/>
      </w:pPr>
      <w:r>
        <w:rPr>
          <w:b/>
          <w:bCs/>
        </w:rPr>
        <w:t xml:space="preserve">Originality and ethics.</w:t>
      </w:r>
      <w:r>
        <w:t xml:space="preserve"> </w:t>
      </w:r>
      <w: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b/>
          <w:bCs/>
        </w:rPr>
        <w:t xml:space="preserve">Suggested reviewers.</w:t>
      </w:r>
      <w:r>
        <w:t xml:space="preserve"> </w:t>
      </w:r>
      <w:r>
        <w:t xml:space="preserve">We propose the following experts whose recent work most directly bears on our contribution; none is a current or recent collaborator:</w:t>
      </w:r>
    </w:p>
    <w:p>
      <w:pPr>
        <w:numPr>
          <w:ilvl w:val="0"/>
          <w:numId w:val="1001"/>
        </w:numPr>
      </w:pPr>
      <w:r>
        <w:rPr>
          <w:b/>
          <w:bCs/>
        </w:rPr>
        <w:t xml:space="preserve">Dr. Mirco Boschetti</w:t>
      </w:r>
      <w:r>
        <w:t xml:space="preserve"> </w:t>
      </w:r>
      <w: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b/>
          <w:bCs/>
        </w:rPr>
        <w:t xml:space="preserve">Dr. Mrinal Singha</w:t>
      </w:r>
      <w:r>
        <w:t xml:space="preserve"> </w:t>
      </w:r>
      <w:r>
        <w:t xml:space="preserve">— Indian Institute for Human Settlements, Bengaluru, India (mrinal.singha@iihs.ac.in). Author of the South-Asia Sentinel-1 paddy rice product (Singha et al. 2019,</w:t>
      </w:r>
      <w:r>
        <w:t xml:space="preserve"> </w:t>
      </w:r>
      <w:r>
        <w:rPr>
          <w:i/>
          <w:iCs/>
        </w:rPr>
        <w:t xml:space="preserve">Scientific Data</w:t>
      </w:r>
      <w:r>
        <w:t xml:space="preserve">) and the Bangladesh flood-affected rice paper (Singha et al. 2020,</w:t>
      </w:r>
      <w:r>
        <w:t xml:space="preserve"> </w:t>
      </w:r>
      <w:r>
        <w:rPr>
          <w:i/>
          <w:iCs/>
        </w:rPr>
        <w:t xml:space="preserve">ISPRS J P&amp;RS</w:t>
      </w:r>
      <w:r>
        <w:t xml:space="preserve">) — both cited in our manuscript.</w:t>
      </w:r>
    </w:p>
    <w:p>
      <w:pPr>
        <w:numPr>
          <w:ilvl w:val="0"/>
          <w:numId w:val="1001"/>
        </w:numPr>
      </w:pPr>
      <w:r>
        <w:rPr>
          <w:b/>
          <w:bCs/>
        </w:rPr>
        <w:t xml:space="preserve">Dr. Nguyen Lam-Dao</w:t>
      </w:r>
      <w:r>
        <w:t xml:space="preserve"> </w:t>
      </w:r>
      <w:r>
        <w:t xml:space="preserve">— Vietnam National Space Center, VAST, Ho Chi Minh City, Vietnam (nldao@vnsc.org.vn). Lead author of the Mekong-Delta Sentinel-1 salinity-rice mapping (Hoang-Phi et al. 2020,</w:t>
      </w:r>
      <w:r>
        <w:t xml:space="preserve"> </w:t>
      </w:r>
      <w:r>
        <w:rPr>
          <w:i/>
          <w:iCs/>
        </w:rPr>
        <w:t xml:space="preserve">Remote Sensing</w:t>
      </w:r>
      <w:r>
        <w:t xml:space="preserve">) — directly comparable saline-inundation-rice problem in a different delta, providing methodological cross-check.</w:t>
      </w:r>
    </w:p>
    <w:p>
      <w:pPr>
        <w:numPr>
          <w:ilvl w:val="0"/>
          <w:numId w:val="1001"/>
        </w:numPr>
      </w:pPr>
      <w:r>
        <w:rPr>
          <w:b/>
          <w:bCs/>
        </w:rPr>
        <w:t xml:space="preserve">Dr. Saptarshi Mondal</w:t>
      </w:r>
      <w:r>
        <w:t xml:space="preserve"> </w:t>
      </w:r>
      <w:r>
        <w:t xml:space="preserve">— VassarLabs / Birla Institute of Technology Mesra, India (saptarshi.mondal@vassarlabs.com). Author of the Odisha rice-fallow Sentinel-1 work (Chandna and Mondal 2020,</w:t>
      </w:r>
      <w:r>
        <w:t xml:space="preserve"> </w:t>
      </w:r>
      <w:r>
        <w:rPr>
          <w:i/>
          <w:iCs/>
        </w:rPr>
        <w:t xml:space="preserve">GIScience &amp; Remote Sensing</w:t>
      </w:r>
      <w:r>
        <w:t xml:space="preserve">) — eastern Indian rice remote-sensing expertise on the same study area.</w:t>
      </w:r>
    </w:p>
    <w:p>
      <w:pPr>
        <w:numPr>
          <w:ilvl w:val="0"/>
          <w:numId w:val="1001"/>
        </w:numPr>
      </w:pPr>
      <w:r>
        <w:rPr>
          <w:b/>
          <w:bCs/>
        </w:rPr>
        <w:t xml:space="preserve">Prof. Clement Atzberger</w:t>
      </w:r>
      <w:r>
        <w:t xml:space="preserve"> </w:t>
      </w:r>
      <w:r>
        <w:t xml:space="preserve">— University of Natural Resources and Life Sciences (BOKU), Vienna, Austria (clement.atzberger@boku.ac.at). Senior authority on agricultural remote sensing time series;</w:t>
      </w:r>
      <w:r>
        <w:t xml:space="preserve"> </w:t>
      </w:r>
      <w:r>
        <w:rPr>
          <w:i/>
          <w:iCs/>
        </w:rPr>
        <w:t xml:space="preserve">RSE</w:t>
      </w:r>
      <w:r>
        <w:t xml:space="preserve"> </w:t>
      </w:r>
      <w:r>
        <w:t xml:space="preserve">contributor with broad methodological expertise.</w:t>
      </w:r>
    </w:p>
    <w:p>
      <w:pPr>
        <w:pStyle w:val="FirstParagraph"/>
      </w:pPr>
      <w:r>
        <w:t xml:space="preserve">We have no reviewers to exclude due to conflict of interest.</w:t>
      </w:r>
    </w:p>
    <w:p>
      <w:pPr>
        <w:pStyle w:val="BodyText"/>
      </w:pPr>
      <w:r>
        <w:rPr>
          <w:b/>
          <w:bCs/>
        </w:rPr>
        <w:t xml:space="preserve">Reproducibility statement.</w:t>
      </w:r>
      <w:r>
        <w:t xml:space="preserve"> </w:t>
      </w:r>
      <w:r>
        <w:t xml:space="preserve">The submitted manuscript corresponds to GitHub release</w:t>
      </w:r>
      <w:r>
        <w:t xml:space="preserve"> </w:t>
      </w:r>
      <w:hyperlink r:id="rId20">
        <w:r>
          <w:rPr>
            <w:rStyle w:val="VerbatimChar"/>
          </w:rPr>
          <w:t xml:space="preserve">v1.0.1-submission</w:t>
        </w:r>
      </w:hyperlink>
      <w:r>
        <w:t xml:space="preserve">, permanently archived on Zenodo (this-version DOI</w:t>
      </w:r>
      <w:r>
        <w:t xml:space="preserve"> </w:t>
      </w:r>
      <w:hyperlink r:id="rId21">
        <w:r>
          <w:rPr>
            <w:rStyle w:val="Hyperlink"/>
          </w:rPr>
          <w:t xml:space="preserve">10.5281/zenodo.20587316</w:t>
        </w:r>
      </w:hyperlink>
      <w:r>
        <w:t xml:space="preserve">; concept DOI</w:t>
      </w:r>
      <w:r>
        <w:t xml:space="preserve"> </w:t>
      </w:r>
      <w:hyperlink r:id="rId22">
        <w:r>
          <w:rPr>
            <w:rStyle w:val="Hyperlink"/>
          </w:rPr>
          <w:t xml:space="preserve">10.5281/zenodo.20024578</w:t>
        </w:r>
      </w:hyperlink>
      <w:r>
        <w:t xml:space="preserve">). The accompanying derived data deposit (corrected SOS/POS/EOS rasters, district BACI panel, classifier label set, RF model card v0.3.0, SHA256 checksums) is published on Mendeley Data under CC-BY-4.0 (</w:t>
      </w:r>
      <w:hyperlink r:id="rId23">
        <w:r>
          <w:rPr>
            <w:rStyle w:val="Hyperlink"/>
          </w:rPr>
          <w:t xml:space="preserve">DOI 10.17632/z3zxk4xy3c.1</w:t>
        </w:r>
      </w:hyperlink>
      <w:r>
        <w:t xml:space="preserve">). Every numerical result in the manuscript and supplement is computed from real public Earth-observation data: Copernicus EMS rapid-mapping (Fani EMSR348), Sentinel-1 GRD, Sentinel-2 L2A (via Microsoft Planetary Computer STAC for the Bulbul transferability probe; via Google Earth Engine for the main BACI panel), JRC Global Surface Water v1.4, ECMWF ERA5, IBTrACS NI v04r01, and GADM v4.1. All headline coefficients, all five robustness instruments (wild-cluster bootstrap, leave-one-out jackknife, in-space and in-time placebo, post-hoc MDE / power, and the pre-registered Cyclone Bulbul out-of-sample transferability probe), all figures, and all supplementary tables S1–S10 and S13a are computed on real inputs at v2.1 of the corrected pipeline. The Bulbul probe (Supplementary Note S1 / Table S3) returns a mean residual of</w:t>
      </w:r>
      <w:r>
        <w:t xml:space="preserve"> +6.56 d (range [−8.11, +22.49] d) </w:t>
      </w:r>
      <m:oMath>
        <m:r>
          <m:rPr>
            <m:sty m:val="p"/>
          </m:rPr>
          <m:t>+</m:t>
        </m:r>
        <m:r>
          <m:t>6.56</m:t>
        </m:r>
        <m:r>
          <m:t> </m:t>
        </m:r>
        <m:r>
          <m:rPr>
            <m:sty m:val="p"/>
          </m:rPr>
          <m:t>d</m:t>
        </m:r>
      </m:oMath>
      <w:r>
        <w:t xml:space="preserve"> </w:t>
      </w:r>
      <w:r>
        <w:t xml:space="preserve">with 4 of 4 paddy-dominant probe districts inside the 95% prediction interval, satisfying the pre-registered pass criterion.</w:t>
      </w:r>
    </w:p>
    <w:p>
      <w:pPr>
        <w:pStyle w:val="BodyText"/>
      </w:pPr>
      <w:r>
        <w:t xml:space="preserve">I thank the Editors and reviewers in advance for their consideration of our manuscript.</w:t>
      </w:r>
    </w:p>
    <w:p>
      <w:pPr>
        <w:pStyle w:val="BodyText"/>
      </w:pPr>
      <w:r>
        <w:t xml:space="preserve">Yours sincerely,</w:t>
      </w:r>
    </w:p>
    <w:p>
      <w:pPr>
        <w:pStyle w:val="BodyText"/>
      </w:pPr>
      <w:r>
        <w:rPr>
          <w:b/>
          <w:bCs/>
        </w:rPr>
        <w:t xml:space="preserve">Supranab Panda</w:t>
      </w:r>
      <w:r>
        <w:t xml:space="preserve"> </w:t>
      </w:r>
      <w:r>
        <w:t xml:space="preserve">(corresponding author)</w:t>
      </w:r>
      <w:r>
        <w:t xml:space="preserve"> </w:t>
      </w:r>
      <w:r>
        <w:t xml:space="preserve">PhD Researcher, Agricultural Meteorology</w:t>
      </w:r>
      <w:r>
        <w:t xml:space="preserve"> </w:t>
      </w:r>
      <w:r>
        <w:t xml:space="preserve">Center for Environment and Climate</w:t>
      </w:r>
      <w:r>
        <w:t xml:space="preserve"> </w:t>
      </w:r>
      <w:r>
        <w:t xml:space="preserve">Siksha</w:t>
      </w:r>
      <w:r>
        <w:t xml:space="preserve"> </w:t>
      </w:r>
      <w:r>
        <w:t xml:space="preserve">‘</w:t>
      </w:r>
      <w:r>
        <w:t xml:space="preserve">O</w:t>
      </w:r>
      <w:r>
        <w:t xml:space="preserve">’</w:t>
      </w:r>
      <w:r>
        <w:t xml:space="preserve"> </w:t>
      </w:r>
      <w:r>
        <w:t xml:space="preserve">Anusandhan (Deemed to be) University, Bhubaneswar, Odisha, India</w:t>
      </w:r>
      <w:r>
        <w:t xml:space="preserve"> </w:t>
      </w:r>
      <w:r>
        <w:t xml:space="preserve">ORCID: 0009-0009-6496-6545</w:t>
      </w:r>
      <w:r>
        <w:t xml:space="preserve"> </w:t>
      </w:r>
      <w:r>
        <w:t xml:space="preserve">Email: pandasupranab@gmail.com</w:t>
      </w:r>
      <w:r>
        <w:t xml:space="preserve"> </w:t>
      </w:r>
      <w:r>
        <w:t xml:space="preserve">GitHub: https://github.com/pandasupranab</w:t>
      </w:r>
    </w:p>
    <w:p>
      <w:pPr>
        <w:pStyle w:val="BodyText"/>
      </w:pPr>
      <w:r>
        <w:t xml:space="preserve">on behalf of:</w:t>
      </w:r>
    </w:p>
    <w:p>
      <w:pPr>
        <w:pStyle w:val="BodyText"/>
      </w:pPr>
      <w:r>
        <w:rPr>
          <w:b/>
          <w:bCs/>
        </w:rPr>
        <w:t xml:space="preserve">Sarat Chandra Sahu</w:t>
      </w:r>
      <w:r>
        <w:t xml:space="preserve"> </w:t>
      </w:r>
      <w:r>
        <w:t xml:space="preserve">(co-author, supervisor)</w:t>
      </w:r>
      <w:r>
        <w:t xml:space="preserve"> </w:t>
      </w:r>
      <w:r>
        <w:t xml:space="preserve">Center for Environment and Climate</w:t>
      </w:r>
      <w:r>
        <w:t xml:space="preserve"> </w:t>
      </w:r>
      <w:r>
        <w:t xml:space="preserve">Siksha</w:t>
      </w:r>
      <w:r>
        <w:t xml:space="preserve"> </w:t>
      </w:r>
      <w:r>
        <w:t xml:space="preserve">‘</w:t>
      </w:r>
      <w:r>
        <w:t xml:space="preserve">O</w:t>
      </w:r>
      <w:r>
        <w:t xml:space="preserve">’</w:t>
      </w:r>
      <w:r>
        <w:t xml:space="preserve"> </w:t>
      </w:r>
      <w:r>
        <w:t xml:space="preserve">Anusandhan (Deemed to be) University, Bhubaneswar, Odisha, India</w:t>
      </w:r>
      <w:r>
        <w:t xml:space="preserve"> </w:t>
      </w:r>
      <w:r>
        <w:t xml:space="preserve">ORCID: 0000-0002-8048-1910</w:t>
      </w:r>
    </w:p>
    <w:p>
      <w:r>
        <w:pict>
          <v:rect style="width:0;height:1.5pt" o:hralign="center" o:hrstd="t" o:hr="t"/>
        </w:pict>
      </w:r>
    </w:p>
    <w:p>
      <w:pPr>
        <w:pStyle w:val="BlockText"/>
      </w:pPr>
      <w:r>
        <w:rPr>
          <w:b/>
          <w:bCs/>
        </w:rPr>
        <w:t xml:space="preserve">Pre-submission self-check.</w:t>
      </w:r>
    </w:p>
    <w:p>
      <w:pPr>
        <w:pStyle w:val="Compact"/>
        <w:numPr>
          <w:ilvl w:val="0"/>
          <w:numId w:val="1002"/>
        </w:numPr>
      </w:pPr>
      <w:r>
        <w:t xml:space="preserve">Confirm the OSF and GitHub URLs are live and public.</w:t>
      </w:r>
    </w:p>
    <w:p>
      <w:pPr>
        <w:pStyle w:val="Compact"/>
        <w:numPr>
          <w:ilvl w:val="0"/>
          <w:numId w:val="1002"/>
        </w:numPr>
      </w:pPr>
      <w:r>
        <w:t xml:space="preserve">Mendeley Data DOI minted and published: 10.17632/z3zxk4xy3c.1 (8 June 2026).</w:t>
      </w:r>
    </w:p>
    <w:p>
      <w:pPr>
        <w:pStyle w:val="Compact"/>
        <w:numPr>
          <w:ilvl w:val="0"/>
          <w:numId w:val="1002"/>
        </w:numPr>
      </w:pPr>
      <w:r>
        <w:t xml:space="preserve">Have your supervisor read the cover letter; their initials at the bottom strengthen credibility.</w:t>
      </w:r>
    </w:p>
    <w:p>
      <w:pPr>
        <w:pStyle w:val="Compact"/>
        <w:numPr>
          <w:ilvl w:val="0"/>
          <w:numId w:val="1002"/>
        </w:numPr>
      </w:pPr>
      <w:r>
        <w:rPr>
          <w:b/>
          <w:bCs/>
        </w:rPr>
        <w:t xml:space="preserve">At Editorial Manager: when asked about Open Access, click NO</w:t>
      </w:r>
      <w:r>
        <w:t xml:space="preserve"> </w:t>
      </w:r>
      <w:r>
        <w:t xml:space="preserve">to keep submission free under the subscription route.</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doi.org/10.17632/z3zxk4xy3c.1" TargetMode="External"/><Relationship Id="rId22" Type="http://schemas.openxmlformats.org/officeDocument/2006/relationships/hyperlink" Target="https://doi.org/10.5281/zenodo.20024578" TargetMode="External"/><Relationship Id="rId21" Type="http://schemas.openxmlformats.org/officeDocument/2006/relationships/hyperlink" Target="https://doi.org/10.5281/zenodo.20587316" TargetMode="External"/><Relationship Id="rId20" Type="http://schemas.openxmlformats.org/officeDocument/2006/relationships/hyperlink" Target="https://github.com/pandasupranab/RiceBaCI-GEE/releases/tag/v1.0.1-submission"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doi.org/10.17632/z3zxk4xy3c.1" TargetMode="External"/><Relationship Id="rId22" Type="http://schemas.openxmlformats.org/officeDocument/2006/relationships/hyperlink" Target="https://doi.org/10.5281/zenodo.20024578" TargetMode="External"/><Relationship Id="rId21" Type="http://schemas.openxmlformats.org/officeDocument/2006/relationships/hyperlink" Target="https://doi.org/10.5281/zenodo.20587316" TargetMode="External"/><Relationship Id="rId20" Type="http://schemas.openxmlformats.org/officeDocument/2006/relationships/hyperlink" Target="https://github.com/pandasupranab/RiceBaCI-GEE/releases/tag/v1.0.1-submis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2026-06-09T02:59:29Z</dcterms:created>
  <dcterms:modified xsi:type="dcterms:W3CDTF">2026-06-09T02:59:29Z</dcterms:modified>
</cp:coreProperties>
</file>

<file path=docProps/custom.xml><?xml version="1.0" encoding="utf-8"?>
<Properties xmlns="http://schemas.openxmlformats.org/officeDocument/2006/custom-properties" xmlns:vt="http://schemas.openxmlformats.org/officeDocument/2006/docPropsVTypes"/>
</file>