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lineRule="auto" w:line="480"/>
        <w:jc w:val="left"/>
      </w:pPr>
      <w:r>
        <w:rPr>
          <w:rFonts w:ascii="Arial" w:hAnsi="Arial"/>
          <w:b/>
          <w:color w:val="1F3A5F"/>
          <w:sz w:val="52"/>
        </w:rPr>
        <w:t>Supplementary Material</w:t>
      </w:r>
    </w:p>
    <w:p>
      <w:pPr>
        <w:spacing w:before="160" w:lineRule="auto" w:line="480"/>
        <w:jc w:val="left"/>
      </w:pPr>
      <w:r>
        <w:rPr>
          <w:rFonts w:ascii="Arial" w:hAnsi="Arial"/>
          <w:i/>
          <w:color w:val="404040"/>
          <w:sz w:val="28"/>
        </w:rPr>
        <w:t>Cyclonic damage to coastal Odisha rice systems:</w:t>
        <w:br/>
        <w:t>a Sentinel-driven Before–After / Control–Impact (BACI) design with pre-registered identification</w:t>
      </w:r>
    </w:p>
    <w:p>
      <w:pPr>
        <w:spacing w:before="800" w:lineRule="auto" w:line="480"/>
        <w:jc w:val="left"/>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lineRule="auto" w:line="480"/>
        <w:jc w:val="left"/>
      </w:pPr>
      <w:r>
        <w:rPr>
          <w:rFonts w:ascii="Arial" w:hAnsi="Arial"/>
          <w:sz w:val="20"/>
        </w:rPr>
        <w:t>Pre-registration: OSF c4mp8 (DOI 10.17605/OSF.IO/C4MP8)</w:t>
        <w:br/>
        <w:t>Code: github.com/pandasupranab/RiceBaCI-GEE (release v1.0.1-submission)</w:t>
        <w:br/>
        <w:t>Concept DOI: 10.5281/zenodo.20024578; v1.0.1-submission DOI: 10.5281/zenodo.20587316</w:t>
        <w:br/>
        <w:t>Compiled: 2026-06-08</w:t>
        <w:br/>
      </w:r>
    </w:p>
    <w:p>
      <w:pPr>
        <w:spacing w:lineRule="auto" w:line="480"/>
        <w:jc w:val="left"/>
      </w:pPr>
      <w:r>
        <w:rPr>
          <w:rFonts w:ascii="Arial" w:hAnsi="Arial"/>
          <w:sz w:val="20"/>
        </w:rPr>
        <w:br w:type="page"/>
      </w:r>
    </w:p>
    <w:p>
      <w:pPr>
        <w:keepNext/>
        <w:spacing w:before="240" w:after="120" w:lineRule="auto" w:line="480"/>
        <w:jc w:val="left"/>
      </w:pPr>
      <w:bookmarkStart w:id="26444" w:name="provenance"/>
      <w:r>
        <w:rPr>
          <w:rFonts w:ascii="Arial" w:hAnsi="Arial"/>
          <w:b/>
          <w:color w:val="A12C7B"/>
          <w:sz w:val="32"/>
        </w:rPr>
        <w:t>Data provenance declaration</w:t>
      </w:r>
      <w:bookmarkEnd w:id="26444"/>
    </w:p>
    <w:p>
      <w:pPr>
        <w:spacing w:lineRule="auto" w:line="480"/>
        <w:jc w:val="both"/>
      </w:pPr>
      <w:r>
        <w:rPr>
          <w:rFonts w:ascii="Arial" w:hAnsi="Arial"/>
          <w:sz w:val="20"/>
        </w:rPr>
        <w:t>This supplement is built as part of an active reproducibility protocol. The numerical results in Tables S1–S9 and Figures S1–S2 are produced by the harness in github.com/pandasupranab/RiceBaCI-GEE under release v1.0.1-submission. As of this build date (2026-06-08) the repository is running on:</w:t>
      </w:r>
    </w:p>
    <w:p>
      <w:pPr>
        <w:pStyle w:val="ListBullet"/>
        <w:spacing w:lineRule="auto" w:line="480"/>
        <w:jc w:val="both"/>
      </w:pPr>
      <w:r>
        <w:rPr>
          <w:rFonts w:ascii="Arial" w:hAnsi="Arial"/>
          <w:sz w:val="20"/>
        </w:rPr>
        <w:t>Real Sentinel-1+2 BACI panel v2.1 (analysis/baci_panel_real_v21.csv) — derived from the Module 02 v0.3.0 saline-flood classifier applied to the 8-district × 8-year Kharif phenology retrieval, with the raw and v2.1-corrected SOS/POS/EOS dates feeding the TWFE-DiD specification (Eq. 4). Drives Tables S1 (DiD static), S2 (pre-trends), S4 (wild-cluster bootstrap), S5 (LOO jackknife), S6 (MDE / power), S7 (in-space permutation placebo), and S13a (per-cell correction summary); the GEE retrieval that produced the corrected dates is reproducible from the v1.0.1-submission release of the RiceBaCI-GEE repository (Mendeley DOI 10.17632/z3zxk4xy3c.1, Zenodo DOI 10.5281/zenodo.20587316). No synthetic panel is used in the submitted analysis; the v0 synthetic harness (`synthetic_baci_panel.py`) is retained in the repository only as a fast (&lt;60 s) end-to-end smoke test for the run_all.sh harness and never enters any reported result.</w:t>
      </w:r>
    </w:p>
    <w:p>
      <w:pPr>
        <w:pStyle w:val="ListBullet"/>
        <w:spacing w:lineRule="auto" w:line="480"/>
        <w:jc w:val="both"/>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keepNext/>
        <w:keepLines/>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keepNext w:val="0"/>
        <w:keepLines/>
        <w:jc w:val="center"/>
      </w:pPr>
      <w:r>
        <w:drawing>
          <wp:inline xmlns:a="http://schemas.openxmlformats.org/drawingml/2006/main" xmlns:pic="http://schemas.openxmlformats.org/drawingml/2006/picture">
            <wp:extent cx="5760000" cy="2311416"/>
            <wp:docPr id="15" name="Picture 1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keepNext/>
        <w:keepLines/>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keepNext w:val="0"/>
        <w:keepLines/>
        <w:jc w:val="center"/>
      </w:pPr>
      <w:r>
        <w:drawing>
          <wp:inline xmlns:a="http://schemas.openxmlformats.org/drawingml/2006/main" xmlns:pic="http://schemas.openxmlformats.org/drawingml/2006/picture">
            <wp:extent cx="5760000" cy="2311416"/>
            <wp:docPr id="13" name="Picture 1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keepNext/>
        <w:keepLines/>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keepNext w:val="0"/>
        <w:keepLines/>
        <w:jc w:val="center"/>
      </w:pPr>
      <w:r>
        <w:drawing>
          <wp:inline xmlns:a="http://schemas.openxmlformats.org/drawingml/2006/main" xmlns:pic="http://schemas.openxmlformats.org/drawingml/2006/picture">
            <wp:extent cx="5760000" cy="2311416"/>
            <wp:docPr id="11" name="Picture 1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jc w:val="center"/>
      </w:pPr>
      <w:r>
        <w:drawing>
          <wp:inline xmlns:a="http://schemas.openxmlformats.org/drawingml/2006/main" xmlns:pic="http://schemas.openxmlformats.org/drawingml/2006/picture">
            <wp:extent cx="5760000" cy="2311416"/>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jc w:val="center"/>
      </w:pPr>
      <w:r>
        <w:drawing>
          <wp:inline xmlns:a="http://schemas.openxmlformats.org/drawingml/2006/main" xmlns:pic="http://schemas.openxmlformats.org/drawingml/2006/picture">
            <wp:extent cx="5760000" cy="231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jc w:val="center"/>
      </w:pPr>
      <w:r>
        <w:drawing>
          <wp:inline xmlns:a="http://schemas.openxmlformats.org/drawingml/2006/main" xmlns:pic="http://schemas.openxmlformats.org/drawingml/2006/picture">
            <wp:extent cx="5760000" cy="2311416"/>
            <wp:docPr id="5" name="Picture 5"/>
            <wp:cNvGraphicFramePr>
              <a:graphicFrameLocks noChangeAspect="1"/>
            </wp:cNvGraphicFramePr>
            <a:graphic>
              <a:graphicData uri="http://schemas.openxmlformats.org/drawingml/2006/picture">
                <pic:pic>
                  <pic:nvPicPr>
                    <pic:cNvPr id="0" name="figS1_cyclone_climatology.png"/>
                    <pic:cNvPicPr/>
                  </pic:nvPicPr>
                  <pic:blipFill>
                    <a:blip r:embed="rId14"/>
                    <a:stretch>
                      <a:fillRect/>
                    </a:stretch>
                  </pic:blipFill>
                  <pic:spPr>
                    <a:xfrm>
                      <a:off x="0" y="0"/>
                      <a:ext cx="5760000" cy="2311416"/>
                    </a:xfrm>
                    <a:prstGeom prst="rect"/>
                  </pic:spPr>
                </pic:pic>
              </a:graphicData>
            </a:graphic>
          </wp:inline>
        </w:drawing>
      </w:r>
    </w:p>
    <w:p>
      <w:pPr>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pStyle w:val="ListBullet"/>
        <w:spacing w:lineRule="auto" w:line="480"/>
        <w:jc w:val="both"/>
      </w:pPr>
      <w:r>
        <w:rPr>
          <w:rFonts w:ascii="Arial" w:hAnsi="Arial"/>
          <w:sz w:val="20"/>
        </w:rPr>
        <w:t>Literature-calibrated canonical Sentinel-1 backscatter signatures (Module 12), rebuilt from direct measurement of the v0.3.0 classifier-labelled Sentinel-1 IW GRD time-series and anchored to Hoshikawa 2023, Wali 2020, Filipponi 2019, Konkathi 2024, Lee &amp; Pottier 2009. Reported in Table S9 and Figure S2.</w:t>
      </w:r>
    </w:p>
    <w:p>
      <w:pPr>
        <w:keepNext/>
        <w:keepLines/>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keepNext w:val="0"/>
        <w:keepLines/>
        <w:jc w:val="center"/>
      </w:pPr>
      <w:r>
        <w:drawing>
          <wp:inline xmlns:a="http://schemas.openxmlformats.org/drawingml/2006/main" xmlns:pic="http://schemas.openxmlformats.org/drawingml/2006/picture">
            <wp:extent cx="5040000" cy="4770481"/>
            <wp:docPr id="16" name="Picture 1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keepNext/>
        <w:keepLines/>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keepNext w:val="0"/>
        <w:keepLines/>
        <w:jc w:val="center"/>
      </w:pPr>
      <w:r>
        <w:drawing>
          <wp:inline xmlns:a="http://schemas.openxmlformats.org/drawingml/2006/main" xmlns:pic="http://schemas.openxmlformats.org/drawingml/2006/picture">
            <wp:extent cx="5040000" cy="4770481"/>
            <wp:docPr id="14" name="Picture 1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keepNext/>
        <w:keepLines/>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keepNext w:val="0"/>
        <w:keepLines/>
        <w:jc w:val="center"/>
      </w:pPr>
      <w:r>
        <w:drawing>
          <wp:inline xmlns:a="http://schemas.openxmlformats.org/drawingml/2006/main" xmlns:pic="http://schemas.openxmlformats.org/drawingml/2006/picture">
            <wp:extent cx="5040000" cy="4770481"/>
            <wp:docPr id="12" name="Picture 1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jc w:val="center"/>
      </w:pPr>
      <w:r>
        <w:drawing>
          <wp:inline xmlns:a="http://schemas.openxmlformats.org/drawingml/2006/main" xmlns:pic="http://schemas.openxmlformats.org/drawingml/2006/picture">
            <wp:extent cx="5040000" cy="4770481"/>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jc w:val="center"/>
      </w:pPr>
      <w:r>
        <w:drawing>
          <wp:inline xmlns:a="http://schemas.openxmlformats.org/drawingml/2006/main" xmlns:pic="http://schemas.openxmlformats.org/drawingml/2006/picture">
            <wp:extent cx="5040000" cy="4770481"/>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jc w:val="center"/>
      </w:pPr>
      <w:r>
        <w:drawing>
          <wp:inline xmlns:a="http://schemas.openxmlformats.org/drawingml/2006/main" xmlns:pic="http://schemas.openxmlformats.org/drawingml/2006/picture">
            <wp:extent cx="5040000" cy="4770481"/>
            <wp:docPr id="6" name="Picture 6"/>
            <wp:cNvGraphicFramePr>
              <a:graphicFrameLocks noChangeAspect="1"/>
            </wp:cNvGraphicFramePr>
            <a:graphic>
              <a:graphicData uri="http://schemas.openxmlformats.org/drawingml/2006/picture">
                <pic:pic>
                  <pic:nvPicPr>
                    <pic:cNvPr id="0" name="figS2_backscatter_signatures.png"/>
                    <pic:cNvPicPr/>
                  </pic:nvPicPr>
                  <pic:blipFill>
                    <a:blip r:embed="rId15"/>
                    <a:stretch>
                      <a:fillRect/>
                    </a:stretch>
                  </pic:blipFill>
                  <pic:spPr>
                    <a:xfrm>
                      <a:off x="0" y="0"/>
                      <a:ext cx="5040000" cy="4770481"/>
                    </a:xfrm>
                    <a:prstGeom prst="rect"/>
                  </pic:spPr>
                </pic:pic>
              </a:graphicData>
            </a:graphic>
          </wp:inline>
        </w:drawing>
      </w:r>
    </w:p>
    <w:p>
      <w:pPr>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pStyle w:val="ListBullet"/>
        <w:spacing w:lineRule="auto" w:line="480"/>
        <w:jc w:val="both"/>
      </w:pPr>
      <w:r>
        <w:rPr>
          <w:rFonts w:ascii="Arial" w:hAnsi="Arial"/>
          <w:sz w:val="20"/>
        </w:rPr>
        <w:t>Module 02 random-forest classifier diagnostics, including the v0.3.0 retrained model performance and per-feature importance, are reported in Table S5 and the model card (RF_Model_Card_v0.3.0.json in the GitHub release).</w:t>
      </w:r>
    </w:p>
    <w:p>
      <w:pPr>
        <w:spacing w:lineRule="auto" w:line="480"/>
        <w:jc w:val="both"/>
      </w:pPr>
      <w:r>
        <w:rPr>
          <w:rFonts w:ascii="Arial" w:hAnsi="Arial"/>
          <w:i/>
          <w:sz w:val="20"/>
        </w:rPr>
        <w:t>All structural claims (study design, identification strategy, falsifiability conditions, mechanism physics, climatological framing, code organisation) are unchanged from the pre-registered design and have been preserved across all numerical updates. The empirical values reported here correspond to the v1.0.1-submission release with the v0.3.0 classifier. No modelling decision in this document is post-hoc to the data.</w:t>
      </w:r>
    </w:p>
    <w:p>
      <w:pPr>
        <w:spacing w:lineRule="auto" w:line="480"/>
        <w:jc w:val="left"/>
      </w:pPr>
      <w:r>
        <w:rPr>
          <w:rFonts w:ascii="Arial" w:hAnsi="Arial"/>
          <w:sz w:val="20"/>
        </w:rPr>
        <w:br w:type="page"/>
      </w:r>
    </w:p>
    <w:p>
      <w:pPr>
        <w:keepNext/>
        <w:spacing w:before="240" w:after="120" w:lineRule="auto" w:line="480"/>
        <w:jc w:val="left"/>
      </w:pPr>
      <w:bookmarkStart w:id="30271" w:name="toc"/>
      <w:r>
        <w:rPr>
          <w:rFonts w:ascii="Arial" w:hAnsi="Arial"/>
          <w:b/>
          <w:color w:val="141414"/>
          <w:sz w:val="32"/>
        </w:rPr>
        <w:t>Contents</w:t>
      </w:r>
      <w:bookmarkEnd w:id="30271"/>
    </w:p>
    <w:p>
      <w:pPr>
        <w:tabs>
          <w:tab w:pos="2268" w:val="left"/>
        </w:tabs>
        <w:spacing w:after="40" w:lineRule="auto" w:line="480"/>
        <w:jc w:val="left"/>
      </w:pPr>
      <w:r>
        <w:rPr>
          <w:rFonts w:ascii="Arial" w:hAnsi="Arial"/>
          <w:b/>
          <w:sz w:val="20"/>
        </w:rPr>
        <w:t>Note S1</w:t>
      </w:r>
      <w:r>
        <w:rPr>
          <w:rFonts w:ascii="Arial" w:hAnsi="Arial"/>
          <w:sz w:val="20"/>
        </w:rPr>
        <w:tab/>
        <w:t>Bulbul (2019) transferability probe</w:t>
      </w:r>
    </w:p>
    <w:p>
      <w:pPr>
        <w:tabs>
          <w:tab w:pos="2268" w:val="left"/>
        </w:tabs>
        <w:spacing w:after="40" w:lineRule="auto" w:line="480"/>
        <w:jc w:val="left"/>
      </w:pPr>
      <w:r>
        <w:rPr>
          <w:rFonts w:ascii="Arial" w:hAnsi="Arial"/>
          <w:b/>
          <w:sz w:val="20"/>
        </w:rPr>
        <w:t>Note S2</w:t>
      </w:r>
      <w:r>
        <w:rPr>
          <w:rFonts w:ascii="Arial" w:hAnsi="Arial"/>
          <w:sz w:val="20"/>
        </w:rPr>
        <w:tab/>
        <w:t>Pre-Kharif Bay-of-Bengal cyclone climatology</w:t>
      </w:r>
    </w:p>
    <w:p>
      <w:pPr>
        <w:tabs>
          <w:tab w:pos="2268" w:val="left"/>
        </w:tabs>
        <w:spacing w:after="40" w:lineRule="auto" w:line="480"/>
        <w:jc w:val="left"/>
      </w:pPr>
      <w:r>
        <w:rPr>
          <w:rFonts w:ascii="Arial" w:hAnsi="Arial"/>
          <w:b/>
          <w:sz w:val="20"/>
        </w:rPr>
        <w:t>Note S3</w:t>
      </w:r>
      <w:r>
        <w:rPr>
          <w:rFonts w:ascii="Arial" w:hAnsi="Arial"/>
          <w:sz w:val="20"/>
        </w:rPr>
        <w:tab/>
        <w:t>Sentinel-1 dual-polarisation backscatter signatures</w:t>
      </w:r>
    </w:p>
    <w:p>
      <w:pPr>
        <w:tabs>
          <w:tab w:pos="2268" w:val="left"/>
        </w:tabs>
        <w:spacing w:after="40" w:line="276" w:lineRule="auto"/>
        <w:jc w:val="both"/>
      </w:pPr>
      <w:r>
        <w:rPr>
          <w:rFonts w:ascii="Arial" w:hAnsi="Arial"/>
          <w:b/>
          <w:sz w:val="20"/>
        </w:rPr>
        <w:t>Table S1</w:t>
      </w:r>
      <w:r>
        <w:rPr>
          <w:rFonts w:ascii="Arial" w:hAnsi="Arial"/>
          <w:sz w:val="20"/>
        </w:rPr>
        <w:tab/>
        <w:t>Static TWFE-DiD point estimates (SOS, POS, EOS)</w:t>
      </w:r>
    </w:p>
    <w:p>
      <w:pPr>
        <w:tabs>
          <w:tab w:pos="2268" w:val="left"/>
        </w:tabs>
        <w:spacing w:after="40" w:line="276" w:lineRule="auto"/>
        <w:jc w:val="both"/>
      </w:pPr>
      <w:r>
        <w:rPr>
          <w:rFonts w:ascii="Arial" w:hAnsi="Arial"/>
          <w:b/>
          <w:sz w:val="20"/>
        </w:rPr>
        <w:t>Table S2</w:t>
      </w:r>
      <w:r>
        <w:rPr>
          <w:rFonts w:ascii="Arial" w:hAnsi="Arial"/>
          <w:sz w:val="20"/>
        </w:rPr>
        <w:tab/>
        <w:t>Pre-trend tests on the BACI panel</w:t>
      </w:r>
    </w:p>
    <w:p>
      <w:pPr>
        <w:tabs>
          <w:tab w:pos="2268" w:val="left"/>
        </w:tabs>
        <w:spacing w:after="40" w:line="276" w:lineRule="auto"/>
        <w:jc w:val="both"/>
      </w:pPr>
      <w:r>
        <w:rPr>
          <w:rFonts w:ascii="Arial" w:hAnsi="Arial"/>
          <w:b/>
          <w:sz w:val="20"/>
        </w:rPr>
        <w:t>Table S3</w:t>
      </w:r>
      <w:r>
        <w:rPr>
          <w:rFonts w:ascii="Arial" w:hAnsi="Arial"/>
          <w:sz w:val="20"/>
        </w:rPr>
        <w:tab/>
        <w:t>Bulbul transferability — district-level residuals</w:t>
      </w:r>
    </w:p>
    <w:p>
      <w:pPr>
        <w:tabs>
          <w:tab w:pos="2268" w:val="left"/>
        </w:tabs>
        <w:spacing w:after="40" w:line="276" w:lineRule="auto"/>
        <w:jc w:val="both"/>
      </w:pPr>
      <w:r>
        <w:rPr>
          <w:rFonts w:ascii="Arial" w:hAnsi="Arial"/>
          <w:b/>
          <w:sz w:val="20"/>
        </w:rPr>
        <w:t>Table S4</w:t>
      </w:r>
      <w:r>
        <w:rPr>
          <w:rFonts w:ascii="Arial" w:hAnsi="Arial"/>
          <w:sz w:val="20"/>
        </w:rPr>
        <w:tab/>
        <w:t>Wild-cluster bootstrap 95% CIs (G = 8)</w:t>
      </w:r>
    </w:p>
    <w:p>
      <w:pPr>
        <w:tabs>
          <w:tab w:pos="2268" w:val="left"/>
        </w:tabs>
        <w:spacing w:after="40" w:line="276" w:lineRule="auto"/>
        <w:jc w:val="both"/>
      </w:pPr>
      <w:r>
        <w:rPr>
          <w:rFonts w:ascii="Arial" w:hAnsi="Arial"/>
          <w:b/>
          <w:sz w:val="20"/>
        </w:rPr>
        <w:t>Table S5</w:t>
      </w:r>
      <w:r>
        <w:rPr>
          <w:rFonts w:ascii="Arial" w:hAnsi="Arial"/>
          <w:sz w:val="20"/>
        </w:rPr>
        <w:tab/>
        <w:t>Jackknife leave-one-out (district + year)</w:t>
      </w:r>
    </w:p>
    <w:p>
      <w:pPr>
        <w:tabs>
          <w:tab w:pos="2268" w:val="left"/>
        </w:tabs>
        <w:spacing w:after="40" w:line="276" w:lineRule="auto"/>
        <w:jc w:val="both"/>
      </w:pPr>
      <w:r>
        <w:rPr>
          <w:rFonts w:ascii="Arial" w:hAnsi="Arial"/>
          <w:b/>
          <w:sz w:val="20"/>
        </w:rPr>
        <w:t>Table S6</w:t>
      </w:r>
      <w:r>
        <w:rPr>
          <w:rFonts w:ascii="Arial" w:hAnsi="Arial"/>
          <w:sz w:val="20"/>
        </w:rPr>
        <w:tab/>
        <w:t>MDE and power curves at G = 8</w:t>
      </w:r>
    </w:p>
    <w:p>
      <w:pPr>
        <w:tabs>
          <w:tab w:pos="2268" w:val="left"/>
        </w:tabs>
        <w:spacing w:after="40" w:line="276" w:lineRule="auto"/>
        <w:jc w:val="both"/>
      </w:pPr>
      <w:r>
        <w:rPr>
          <w:rFonts w:ascii="Arial" w:hAnsi="Arial"/>
          <w:b/>
          <w:sz w:val="20"/>
        </w:rPr>
        <w:t>Table S7</w:t>
      </w:r>
      <w:r>
        <w:rPr>
          <w:rFonts w:ascii="Arial" w:hAnsi="Arial"/>
          <w:sz w:val="20"/>
        </w:rPr>
        <w:tab/>
        <w:t>Placebo / falsification permutation tests</w:t>
      </w:r>
    </w:p>
    <w:p>
      <w:pPr>
        <w:tabs>
          <w:tab w:pos="2268" w:val="left"/>
        </w:tabs>
        <w:spacing w:after="40" w:line="276" w:lineRule="auto"/>
        <w:jc w:val="both"/>
      </w:pPr>
      <w:r>
        <w:rPr>
          <w:rFonts w:ascii="Arial" w:hAnsi="Arial"/>
          <w:b/>
          <w:sz w:val="20"/>
        </w:rPr>
        <w:t>Table S8</w:t>
      </w:r>
      <w:r>
        <w:rPr>
          <w:rFonts w:ascii="Arial" w:hAnsi="Arial"/>
          <w:sz w:val="20"/>
        </w:rPr>
        <w:tab/>
        <w:t>Pre-Kharif cyclone climatology — per-storm percentiles</w:t>
      </w:r>
    </w:p>
    <w:p>
      <w:pPr>
        <w:tabs>
          <w:tab w:pos="2268" w:val="left"/>
        </w:tabs>
        <w:spacing w:after="40" w:line="276" w:lineRule="auto"/>
        <w:jc w:val="both"/>
      </w:pPr>
      <w:r>
        <w:rPr>
          <w:rFonts w:ascii="Arial" w:hAnsi="Arial"/>
          <w:b/>
          <w:sz w:val="20"/>
        </w:rPr>
        <w:t>Table S9</w:t>
      </w:r>
      <w:r>
        <w:rPr>
          <w:rFonts w:ascii="Arial" w:hAnsi="Arial"/>
          <w:sz w:val="20"/>
        </w:rPr>
        <w:tab/>
        <w:t>Canonical Sentinel-1 dual-pol backscatter features</w:t>
      </w:r>
    </w:p>
    <w:p>
      <w:pPr>
        <w:tabs>
          <w:tab w:pos="2268" w:val="left"/>
        </w:tabs>
        <w:spacing w:after="40" w:line="276" w:lineRule="auto"/>
        <w:jc w:val="both"/>
      </w:pPr>
      <w:r>
        <w:rPr>
          <w:rFonts w:ascii="Arial" w:hAnsi="Arial"/>
          <w:b/>
          <w:sz w:val="20"/>
        </w:rPr>
        <w:t>Table S10	MCD12Q2 per-district reconciliation</w:t>
      </w:r>
    </w:p>
    <w:p>
      <w:pPr>
        <w:tabs>
          <w:tab w:pos="2268" w:val="left"/>
        </w:tabs>
        <w:spacing w:after="40" w:line="276" w:lineRule="auto"/>
        <w:jc w:val="both"/>
      </w:pPr>
      <w:r>
        <w:rPr>
          <w:rFonts w:ascii="Arial" w:hAnsi="Arial"/>
          <w:b/>
          <w:sz w:val="20"/>
        </w:rPr>
        <w:t>Table S11	ICRISAT VDSA Bhadrak reconciliation</w:t>
      </w:r>
    </w:p>
    <w:p>
      <w:pPr>
        <w:tabs>
          <w:tab w:pos="2268" w:val="left"/>
        </w:tabs>
        <w:spacing w:after="40" w:line="276" w:lineRule="auto"/>
        <w:jc w:val="both"/>
      </w:pPr>
      <w:r>
        <w:rPr>
          <w:rFonts w:ascii="Arial" w:hAnsi="Arial"/>
          <w:b/>
          <w:sz w:val="20"/>
        </w:rPr>
        <w:t>Table S12	District yield-anomaly correlation cross-check</w:t>
      </w:r>
    </w:p>
    <w:p>
      <w:pPr>
        <w:tabs>
          <w:tab w:pos="2268" w:val="left"/>
        </w:tabs>
        <w:spacing w:after="40" w:line="276" w:lineRule="auto"/>
        <w:jc w:val="both"/>
      </w:pPr>
      <w:r>
        <w:rPr>
          <w:rFonts w:ascii="Arial" w:hAnsi="Arial"/>
          <w:b/>
          <w:sz w:val="20"/>
        </w:rPr>
        <w:t>Table S13a	Odisha per-district cyclone-flood pixel share</w:t>
      </w:r>
    </w:p>
    <w:p>
      <w:pPr>
        <w:tabs>
          <w:tab w:pos="2268" w:val="left"/>
        </w:tabs>
        <w:spacing w:after="40" w:line="276" w:lineRule="auto"/>
        <w:jc w:val="both"/>
      </w:pPr>
      <w:r>
        <w:rPr>
          <w:rFonts w:ascii="Arial" w:hAnsi="Arial"/>
          <w:b/>
          <w:sz w:val="20"/>
        </w:rPr>
        <w:t>Table S13b	Hudhud (Andhra Pradesh) transferability</w:t>
      </w:r>
    </w:p>
    <w:p>
      <w:pPr>
        <w:tabs>
          <w:tab w:pos="2268" w:val="left"/>
        </w:tabs>
        <w:spacing w:after="40" w:line="276" w:lineRule="auto"/>
        <w:jc w:val="both"/>
      </w:pPr>
      <w:r>
        <w:rPr>
          <w:rFonts w:ascii="Arial" w:hAnsi="Arial"/>
          <w:b/>
          <w:sz w:val="20"/>
        </w:rPr>
        <w:t>Figure S1</w:t>
      </w:r>
      <w:r>
        <w:rPr>
          <w:rFonts w:ascii="Arial" w:hAnsi="Arial"/>
          <w:sz w:val="20"/>
        </w:rPr>
        <w:tab/>
        <w:t>Pre-Kharif cyclone climatology — track + intensity-vs-DOY</w:t>
      </w:r>
    </w:p>
    <w:p>
      <w:pPr>
        <w:tabs>
          <w:tab w:pos="2268" w:val="left"/>
        </w:tabs>
        <w:spacing w:after="40" w:line="276" w:lineRule="auto"/>
        <w:jc w:val="both"/>
      </w:pPr>
      <w:r>
        <w:rPr>
          <w:rFonts w:ascii="Arial" w:hAnsi="Arial"/>
          <w:b/>
          <w:sz w:val="20"/>
        </w:rPr>
        <w:t>Figure S2</w:t>
      </w:r>
      <w:r>
        <w:rPr>
          <w:rFonts w:ascii="Arial" w:hAnsi="Arial"/>
          <w:sz w:val="20"/>
        </w:rPr>
        <w:tab/>
        <w:t>Canonical backscatter signatures — VH/VV/CR vs DOY</w:t>
      </w:r>
    </w:p>
    <w:p>
      <w:pPr>
        <w:spacing w:lineRule="auto" w:line="480"/>
        <w:jc w:val="left"/>
      </w:pPr>
      <w:r>
        <w:rPr>
          <w:rFonts w:ascii="Arial" w:hAnsi="Arial"/>
          <w:sz w:val="20"/>
        </w:rPr>
        <w:br w:type="page"/>
      </w:r>
    </w:p>
    <w:p>
      <w:pPr>
        <w:keepNext/>
        <w:spacing w:before="240" w:after="120" w:lineRule="auto" w:line="480"/>
        <w:jc w:val="left"/>
      </w:pPr>
      <w:bookmarkStart w:id="3655" w:name="note_s1"/>
      <w:r>
        <w:rPr>
          <w:rFonts w:ascii="Arial" w:hAnsi="Arial"/>
          <w:b/>
          <w:color w:val="1F3A5F"/>
          <w:sz w:val="32"/>
        </w:rPr>
        <w:t>Note S1 — Bulbul (2019) transferability probe</w:t>
      </w:r>
      <w:bookmarkEnd w:id="3655"/>
    </w:p>
    <w:bookmarkStart w:id="31" w:name="X4c77ddbcd03ac00f69e68661e5eb39a4c24f13a"/>
    <w:p>
      <w:pPr>
        <w:pStyle w:val="Heading1"/>
        <w:spacing w:lineRule="auto" w:line="360"/>
      </w:pPr>
      <w:r>
        <w:rPr>
          <w:rFonts w:ascii="Arial" w:hAnsi="Arial"/>
        </w:rPr>
        <w:t xml:space="preserve">Supplementary Note S1 — Out-of-sample transferability to a different cyclone class: the Cyclone Bulbul probe</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spacing w:lineRule="auto" w:line="480"/>
        <w:jc w:val="both"/>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pPr>
        <w:spacing w:line="240" w:lineRule="auto"/>
      </w:pPr>
      <w:r>
        <w:rPr>
          <w:rFonts w:ascii="Arial" w:hAnsi="Arial"/>
          <w:sz w:val="20"/>
        </w:rPr>
        <w:pict>
          <v:rect style="width:0;height:1.5pt" o:hralign="center" o:hrstd="t" o:hr="t"/>
        </w:pict>
      </w:r>
    </w:p>
    <w:bookmarkStart w:id="21" w:name="s1.1-motivation-and-falsification-logic"/>
    <w:p>
      <w:pPr>
        <w:pStyle w:val="Heading2"/>
        <w:spacing w:lineRule="auto" w:line="360"/>
      </w:pPr>
      <w:r>
        <w:rPr>
          <w:rFonts w:ascii="Arial" w:hAnsi="Arial"/>
        </w:rPr>
        <w:t xml:space="preserve">S1.1 Motivation and falsification logic</w:t>
      </w:r>
    </w:p>
    <w:p>
      <w:pPr>
        <w:pStyle w:val="FirstParagraph"/>
        <w:spacing w:lineRule="auto" w:line="480"/>
        <w:jc w:val="bot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spacing w:lineRule="auto" w:line="480"/>
        <w:jc w:val="both"/>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spacing w:lineRule="auto" w:line="480"/>
        <w:jc w:val="both"/>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spacing w:lineRule="auto" w:line="480"/>
        <w:jc w:val="both"/>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spacing w:lineRule="auto" w:line="480"/>
        <w:jc w:val="both"/>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spacing w:lineRule="auto" w:line="480"/>
        <w:jc w:val="bot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spacing w:lineRule="auto" w:line="480"/>
        <w:jc w:val="both"/>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spacing w:lineRule="auto" w:line="480"/>
        <w:jc w:val="both"/>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spacing w:lineRule="auto" w:line="480"/>
        <w:jc w:val="bot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spacing w:lineRule="auto" w:line="360"/>
      </w:pPr>
      <w:r>
        <w:rPr>
          <w:rFonts w:ascii="Arial" w:hAnsi="Arial"/>
        </w:rPr>
        <w:t xml:space="preserve">S1.2 Probe-panel construction</w:t>
      </w:r>
    </w:p>
    <w:p>
      <w:pPr>
        <w:pStyle w:val="FirstParagraph"/>
        <w:spacing w:lineRule="auto" w:line="480"/>
        <w:jc w:val="bot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spacing w:lineRule="auto" w:line="480"/>
        <w:jc w:val="lef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spacing w:lineRule="auto" w:line="480"/>
        <w:jc w:val="lef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spacing w:lineRule="auto" w:line="480"/>
        <w:jc w:val="bot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spacing w:lineRule="auto" w:line="480"/>
        <w:jc w:val="left"/>
      </w:pPr>
      <w:r>
        <w:rPr>
          <w:rFonts w:ascii="Arial" w:hAnsi="Arial"/>
          <w:sz w:val="20"/>
        </w:rPr>
        <w:t xml:space="preserve">The plug-in prediction is the trained headline coefficient</w:t>
      </w:r>
    </w:p>
    <w:p>
      <w:pPr>
        <w:pStyle w:val="BodyText"/>
        <w:spacing w:lineRule="auto" w:line="480"/>
        <w:jc w:val="lef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spacing w:lineRule="auto" w:line="480"/>
        <w:jc w:val="bot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spacing w:lineRule="auto" w:line="480"/>
        <w:jc w:val="lef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spacing w:lineRule="auto" w:line="480"/>
        <w:jc w:val="left"/>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spacing w:lineRule="auto" w:line="360"/>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spacing w:lineRule="auto" w:line="360"/>
              <w:jc w:val="left"/>
            </w:pPr>
            <w:r>
              <w:rPr>
                <w:rFonts w:ascii="Arial" w:hAnsi="Arial"/>
                <w:sz w:val="18"/>
              </w:rPr>
              <w:t xml:space="preserve">District</w:t>
            </w:r>
          </w:p>
        </w:tc>
        <w:tc>
          <w:tcPr/>
          <w:p>
            <w:pPr>
              <w:pStyle w:val="Compact"/>
              <w:spacing w:lineRule="auto" w:line="360"/>
              <w:jc w:val="left"/>
            </w:pPr>
            <w:r>
              <w:rPr>
                <w:rFonts w:ascii="Arial" w:hAnsi="Arial"/>
                <w:sz w:val="18"/>
              </w:rPr>
              <w:t xml:space="preserve">Exposure</w:t>
            </w:r>
          </w:p>
        </w:tc>
        <w:tc>
          <w:tcPr/>
          <w:p>
            <w:pPr>
              <w:pStyle w:val="Compact"/>
              <w:spacing w:lineRule="auto" w:line="360"/>
              <w:jc w:val="lef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w:r>
              <w:rPr>
                <w:rFonts w:ascii="Arial" w:hAnsi="Arial"/>
                <w:sz w:val="18"/>
              </w:rPr>
              <w:t xml:space="preserve">Residual (d)</w:t>
            </w:r>
          </w:p>
        </w:tc>
        <w:tc>
          <w:tcPr/>
          <w:p>
            <w:pPr>
              <w:pStyle w:val="Compact"/>
              <w:spacing w:lineRule="auto" w:line="360"/>
              <w:jc w:val="left"/>
            </w:pPr>
            <w:r>
              <w:rPr>
                <w:rFonts w:ascii="Arial" w:hAnsi="Arial"/>
                <w:sz w:val="18"/>
              </w:rPr>
              <w:t xml:space="preserve">Inside 95% PI</w:t>
            </w:r>
          </w:p>
        </w:tc>
      </w:tr>
      <w:tr>
        <w:tc>
          <w:tcPr/>
          <w:p>
            <w:pPr>
              <w:pStyle w:val="Compact"/>
              <w:spacing w:lineRule="auto" w:line="360"/>
              <w:jc w:val="left"/>
            </w:pPr>
            <w:r>
              <w:rPr>
                <w:rFonts w:ascii="Arial" w:hAnsi="Arial"/>
                <w:sz w:val="18"/>
              </w:rPr>
              <w:t xml:space="preserve">Boudh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−0.12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−2.09</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Ganjam</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−3.89</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−5.85</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Kandhamal</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+0.52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−1.44</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Khordha</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−1.06</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−3.02</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Mayurbhanj</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+1.58</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−0.39</w:t>
            </w:r>
          </w:p>
        </w:tc>
        <w:tc>
          <w:tcPr/>
          <w:p>
            <w:pPr>
              <w:pStyle w:val="Compact"/>
              <w:spacing w:lineRule="auto" w:line="360"/>
              <w:jc w:val="left"/>
            </w:pPr>
            <w:r>
              <w:rPr>
                <w:rFonts w:ascii="Arial" w:hAnsi="Arial"/>
                <w:sz w:val="18"/>
              </w:rPr>
              <w:t xml:space="preserve">yes</w:t>
            </w:r>
          </w:p>
        </w:tc>
      </w:tr>
      <w:tr>
        <w:tc>
          <w:tcPr/>
          <w:p>
            <w:pPr>
              <w:pStyle w:val="Compact"/>
              <w:spacing w:lineRule="auto" w:line="360"/>
              <w:jc w:val="left"/>
            </w:pPr>
            <w:r>
              <w:rPr>
                <w:rFonts w:ascii="Arial" w:hAnsi="Arial"/>
                <w:sz w:val="18"/>
              </w:rPr>
              <w:t xml:space="preserve">Nayagarh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+3.30</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+1.34</w:t>
            </w:r>
          </w:p>
        </w:tc>
        <w:tc>
          <w:tcPr/>
          <w:p>
            <w:pPr>
              <w:pStyle w:val="Compact"/>
              <w:spacing w:lineRule="auto" w:line="360"/>
              <w:jc w:val="left"/>
            </w:pPr>
            <w:r>
              <w:rPr>
                <w:rFonts w:ascii="Arial" w:hAnsi="Arial"/>
                <w:sz w:val="18"/>
              </w:rPr>
              <w:t xml:space="preserve">no</w:t>
            </w:r>
          </w:p>
        </w:tc>
      </w:tr>
    </w:tbl>
    <w:p>
      <w:pPr>
        <w:spacing w:before="0" w:after="120" w:line="276" w:lineRule="auto"/>
      </w:pPr>
      <w:r>
        <w:rPr>
          <w:rFonts w:ascii="Arial" w:hAnsi="Arial"/>
          <w:i/>
          <w:sz w:val="19"/>
          <w:szCs w:val="19"/>
          <w:color w:val="595959"/>
        </w:rPr>
        <w:t xml:space="preserve">Abbreviations: PI = Prediction Interval.</w:t>
      </w:r>
    </w:p>
    <w:p>
      <w:pPr>
        <w:pStyle w:val="BodyText"/>
        <w:spacing w:lineRule="auto" w:line="480"/>
        <w:jc w:val="lef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spacing w:lineRule="auto" w:line="480"/>
        <w:jc w:val="both"/>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spacing w:lineRule="auto" w:line="360"/>
      </w:pPr>
      <w:r>
        <w:rPr>
          <w:rFonts w:ascii="Arial" w:hAnsi="Arial"/>
        </w:rPr>
        <w:t xml:space="preserve">S1.4 Interpretation</w:t>
      </w:r>
    </w:p>
    <w:p>
      <w:pPr>
        <w:pStyle w:val="FirstParagraph"/>
        <w:spacing w:lineRule="auto" w:line="480"/>
        <w:jc w:val="bot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spacing w:lineRule="auto" w:line="480"/>
        <w:jc w:val="both"/>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spacing w:lineRule="auto" w:line="480"/>
        <w:jc w:val="both"/>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spacing w:lineRule="auto" w:line="480"/>
        <w:jc w:val="both"/>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spacing w:lineRule="auto" w:line="480"/>
        <w:jc w:val="both"/>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spacing w:lineRule="auto" w:line="480"/>
        <w:jc w:val="bot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spacing w:lineRule="auto" w:line="360"/>
      </w:pPr>
      <w:r>
        <w:rPr>
          <w:rFonts w:ascii="Arial" w:hAnsi="Arial"/>
        </w:rPr>
        <w:t xml:space="preserve">S1.5 Limitations</w:t>
      </w:r>
    </w:p>
    <w:p>
      <w:pPr>
        <w:pStyle w:val="FirstParagraph"/>
        <w:spacing w:lineRule="auto" w:line="480"/>
        <w:jc w:val="left"/>
      </w:pPr>
      <w:r>
        <w:rPr>
          <w:rFonts w:ascii="Arial" w:hAnsi="Arial"/>
          <w:sz w:val="20"/>
        </w:rPr>
        <w:t xml:space="preserve">Three caveats accompany this transferability probe, each declared at pre-registration:</w:t>
      </w:r>
    </w:p>
    <w:p>
      <w:pPr>
        <w:pStyle w:val="Compact"/>
        <w:numPr>
          <w:ilvl w:val="0"/>
          <w:numId w:val="1004"/>
        </w:numPr>
        <w:spacing w:lineRule="auto" w:line="480"/>
        <w:jc w:val="both"/>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spacing w:lineRule="auto" w:line="480"/>
        <w:jc w:val="both"/>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spacing w:lineRule="auto" w:line="480"/>
        <w:jc w:val="both"/>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spacing w:lineRule="auto" w:line="480"/>
        <w:jc w:val="bot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spacing w:lineRule="auto" w:line="360"/>
      </w:pPr>
      <w:r>
        <w:rPr>
          <w:rFonts w:ascii="Arial" w:hAnsi="Arial"/>
        </w:rPr>
        <w:t xml:space="preserve">S1.6 Pre-registration trail</w:t>
      </w:r>
    </w:p>
    <w:p>
      <w:pPr>
        <w:pStyle w:val="Compact"/>
        <w:numPr>
          <w:ilvl w:val="0"/>
          <w:numId w:val="1005"/>
        </w:numPr>
        <w:spacing w:lineRule="auto" w:line="480"/>
        <w:jc w:val="both"/>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spacing w:lineRule="auto" w:line="480"/>
        <w:jc w:val="both"/>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spacing w:lineRule="auto" w:line="360"/>
      </w:pPr>
      <w:r>
        <w:rPr>
          <w:rFonts w:ascii="Arial" w:hAnsi="Arial"/>
        </w:rPr>
        <w:t xml:space="preserve">References</w:t>
      </w:r>
    </w:p>
    <w:p>
      <w:pPr>
        <w:pStyle w:val="Compact"/>
        <w:numPr>
          <w:ilvl w:val="0"/>
          <w:numId w:val="1006"/>
        </w:numPr>
        <w:spacing w:lineRule="auto" w:line="480"/>
        <w:jc w:val="both"/>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69809" w:name="note_s2"/>
      <w:r>
        <w:rPr>
          <w:rFonts w:ascii="Arial" w:hAnsi="Arial"/>
          <w:b/>
          <w:color w:val="1F3A5F"/>
          <w:sz w:val="32"/>
        </w:rPr>
        <w:t>Note S2 — Pre-Kharif Bay-of-Bengal cyclone climatology</w:t>
      </w:r>
      <w:bookmarkEnd w:id="69809"/>
    </w:p>
    <w:bookmarkStart w:id="31" w:name="Xba8bf53b4b47f874330c06c76f2a0ce4ee29e13"/>
    <w:p>
      <w:pPr>
        <w:pStyle w:val="Heading1"/>
        <w:spacing w:lineRule="auto" w:line="360"/>
      </w:pPr>
      <w:r>
        <w:rPr>
          <w:rFonts w:ascii="Arial" w:hAnsi="Arial"/>
        </w:rPr>
        <w:t xml:space="preserve">Supplementary Note S2 — Pre-Kharif Bay-of-Bengal cyclone climatology and the representativeness of the three identification cyclones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2.1-why-this-note-exists"/>
    <w:p>
      <w:pPr>
        <w:pStyle w:val="Heading2"/>
        <w:spacing w:lineRule="auto" w:line="360"/>
      </w:pPr>
      <w:r>
        <w:rPr>
          <w:rFonts w:ascii="Arial" w:hAnsi="Arial"/>
        </w:rPr>
        <w:t xml:space="preserve">S2.1 Why this note exists</w:t>
      </w:r>
    </w:p>
    <w:p>
      <w:pPr>
        <w:pStyle w:val="FirstParagraph"/>
        <w:spacing w:lineRule="auto" w:line="480"/>
        <w:jc w:val="bot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spacing w:lineRule="auto" w:line="480"/>
        <w:jc w:val="both"/>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spacing w:lineRule="auto" w:line="480"/>
        <w:jc w:val="both"/>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spacing w:lineRule="auto" w:line="480"/>
        <w:jc w:val="both"/>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spacing w:lineRule="auto" w:line="480"/>
        <w:jc w:val="bot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spacing w:lineRule="auto" w:line="360"/>
      </w:pPr>
      <w:r>
        <w:rPr>
          <w:rFonts w:ascii="Arial" w:hAnsi="Arial"/>
        </w:rPr>
        <w:t xml:space="preserve">S2.2 Reference distribution: 1981–2018 pre-Kharif Bay-of-Bengal cyclones at the Odisha coast</w:t>
      </w:r>
    </w:p>
    <w:p>
      <w:pPr>
        <w:pStyle w:val="FirstParagraph"/>
        <w:spacing w:lineRule="auto" w:line="480"/>
        <w:jc w:val="left"/>
      </w:pPr>
      <w:r>
        <w:rPr>
          <w:rFonts w:ascii="Arial" w:hAnsi="Arial"/>
          <w:sz w:val="20"/>
        </w:rPr>
        <w:t xml:space="preserve">The reference distribution is constructed from IBTrACS v04r01 (North Indian basin) restricted to:</w:t>
      </w:r>
    </w:p>
    <w:p>
      <w:pPr>
        <w:pStyle w:val="Compact"/>
        <w:numPr>
          <w:ilvl w:val="0"/>
          <w:numId w:val="1002"/>
        </w:numPr>
        <w:spacing w:lineRule="auto" w:line="480"/>
        <w:jc w:val="lef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spacing w:lineRule="auto" w:line="480"/>
        <w:jc w:val="both"/>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spacing w:lineRule="auto" w:line="480"/>
        <w:jc w:val="lef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spacing w:lineRule="auto" w:line="480"/>
        <w:jc w:val="bot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360"/>
              <w:jc w:val="left"/>
            </w:pPr>
            <w:r>
              <w:rPr>
                <w:rFonts w:ascii="Arial" w:hAnsi="Arial"/>
                <w:sz w:val="18"/>
              </w:rPr>
              <w:t xml:space="preserve">Metric</w:t>
            </w:r>
          </w:p>
        </w:tc>
        <w:tc>
          <w:tcPr/>
          <w:p>
            <w:pPr>
              <w:pStyle w:val="Compact"/>
              <w:spacing w:lineRule="auto" w:line="360"/>
              <w:jc w:val="left"/>
            </w:pPr>
            <w:r>
              <w:rPr>
                <w:rFonts w:ascii="Arial" w:hAnsi="Arial"/>
                <w:sz w:val="18"/>
              </w:rPr>
              <w:t xml:space="preserve">p10</w:t>
            </w:r>
          </w:p>
        </w:tc>
        <w:tc>
          <w:tcPr/>
          <w:p>
            <w:pPr>
              <w:pStyle w:val="Compact"/>
              <w:spacing w:lineRule="auto" w:line="360"/>
              <w:jc w:val="left"/>
            </w:pPr>
            <w:r>
              <w:rPr>
                <w:rFonts w:ascii="Arial" w:hAnsi="Arial"/>
                <w:sz w:val="18"/>
              </w:rPr>
              <w:t xml:space="preserve">p25</w:t>
            </w:r>
          </w:p>
        </w:tc>
        <w:tc>
          <w:tcPr/>
          <w:p>
            <w:pPr>
              <w:pStyle w:val="Compact"/>
              <w:spacing w:lineRule="auto" w:line="360"/>
              <w:jc w:val="left"/>
            </w:pPr>
            <w:r>
              <w:rPr>
                <w:rFonts w:ascii="Arial" w:hAnsi="Arial"/>
                <w:sz w:val="18"/>
              </w:rPr>
              <w:t xml:space="preserve">p50</w:t>
            </w:r>
          </w:p>
        </w:tc>
        <w:tc>
          <w:tcPr/>
          <w:p>
            <w:pPr>
              <w:pStyle w:val="Compact"/>
              <w:spacing w:lineRule="auto" w:line="360"/>
              <w:jc w:val="left"/>
            </w:pPr>
            <w:r>
              <w:rPr>
                <w:rFonts w:ascii="Arial" w:hAnsi="Arial"/>
                <w:sz w:val="18"/>
              </w:rPr>
              <w:t xml:space="preserve">p75</w:t>
            </w:r>
          </w:p>
        </w:tc>
        <w:tc>
          <w:tcPr/>
          <w:p>
            <w:pPr>
              <w:pStyle w:val="Compact"/>
              <w:spacing w:lineRule="auto" w:line="360"/>
              <w:jc w:val="left"/>
            </w:pPr>
            <w:r>
              <w:rPr>
                <w:rFonts w:ascii="Arial" w:hAnsi="Arial"/>
                <w:sz w:val="18"/>
              </w:rPr>
              <w:t xml:space="preserve">p90</w:t>
            </w:r>
          </w:p>
        </w:tc>
        <w:tc>
          <w:tcPr/>
          <w:p>
            <w:pPr>
              <w:pStyle w:val="Compact"/>
              <w:spacing w:lineRule="auto" w:line="360"/>
              <w:jc w:val="left"/>
            </w:pPr>
            <w:r>
              <w:rPr>
                <w:rFonts w:ascii="Arial" w:hAnsi="Arial"/>
                <w:sz w:val="18"/>
              </w:rPr>
              <w:t xml:space="preserve">p95</w:t>
            </w:r>
          </w:p>
        </w:tc>
        <w:tc>
          <w:tcPr/>
          <w:p>
            <w:pPr>
              <w:pStyle w:val="Compact"/>
              <w:spacing w:lineRule="auto" w:line="360"/>
              <w:jc w:val="left"/>
            </w:pPr>
            <w:r>
              <w:rPr>
                <w:rFonts w:ascii="Arial" w:hAnsi="Arial"/>
                <w:sz w:val="18"/>
              </w:rPr>
              <w:t xml:space="preserve">Extreme</w:t>
            </w:r>
          </w:p>
        </w:tc>
      </w:tr>
      <w:tr>
        <w:tc>
          <w:tcPr/>
          <w:p>
            <w:pPr>
              <w:pStyle w:val="Compact"/>
              <w:spacing w:lineRule="auto" w:line="360"/>
              <w:jc w:val="left"/>
            </w:pPr>
            <w:r>
              <w:rPr>
                <w:rFonts w:ascii="Arial" w:hAnsi="Arial"/>
                <w:sz w:val="18"/>
              </w:rPr>
              <w:t xml:space="preserve">Vmax (kt)</w:t>
            </w:r>
          </w:p>
        </w:tc>
        <w:tc>
          <w:tcPr/>
          <w:p>
            <w:pPr>
              <w:pStyle w:val="Compact"/>
              <w:spacing w:lineRule="auto" w:line="360"/>
              <w:jc w:val="left"/>
            </w:pPr>
            <w:r>
              <w:rPr>
                <w:rFonts w:ascii="Arial" w:hAnsi="Arial"/>
                <w:sz w:val="18"/>
              </w:rPr>
              <w:t xml:space="preserve">35</w:t>
            </w:r>
          </w:p>
        </w:tc>
        <w:tc>
          <w:tcPr/>
          <w:p>
            <w:pPr>
              <w:pStyle w:val="Compact"/>
              <w:spacing w:lineRule="auto" w:line="360"/>
              <w:jc w:val="left"/>
            </w:pPr>
            <w:r>
              <w:rPr>
                <w:rFonts w:ascii="Arial" w:hAnsi="Arial"/>
                <w:sz w:val="18"/>
              </w:rPr>
              <w:t xml:space="preserve">50</w:t>
            </w:r>
          </w:p>
        </w:tc>
        <w:tc>
          <w:tcPr/>
          <w:p>
            <w:pPr>
              <w:pStyle w:val="Compact"/>
              <w:spacing w:lineRule="auto" w:line="360"/>
              <w:jc w:val="left"/>
            </w:pPr>
            <w:r>
              <w:rPr>
                <w:rFonts w:ascii="Arial" w:hAnsi="Arial"/>
                <w:sz w:val="18"/>
              </w:rPr>
              <w:t xml:space="preserve">65</w:t>
            </w:r>
          </w:p>
        </w:tc>
        <w:tc>
          <w:tcPr/>
          <w:p>
            <w:pPr>
              <w:pStyle w:val="Compact"/>
              <w:spacing w:lineRule="auto" w:line="360"/>
              <w:jc w:val="left"/>
            </w:pPr>
            <w:r>
              <w:rPr>
                <w:rFonts w:ascii="Arial" w:hAnsi="Arial"/>
                <w:sz w:val="18"/>
              </w:rPr>
              <w:t xml:space="preserve">90</w:t>
            </w:r>
          </w:p>
        </w:tc>
        <w:tc>
          <w:tcPr/>
          <w:p>
            <w:pPr>
              <w:pStyle w:val="Compact"/>
              <w:spacing w:lineRule="auto" w:line="360"/>
              <w:jc w:val="left"/>
            </w:pPr>
            <w:r>
              <w:rPr>
                <w:rFonts w:ascii="Arial" w:hAnsi="Arial"/>
                <w:sz w:val="18"/>
              </w:rPr>
              <w:t xml:space="preserve">115</w:t>
            </w:r>
          </w:p>
        </w:tc>
        <w:tc>
          <w:tcPr/>
          <w:p>
            <w:pPr>
              <w:pStyle w:val="Compact"/>
              <w:spacing w:lineRule="auto" w:line="360"/>
              <w:jc w:val="left"/>
            </w:pPr>
            <w:r>
              <w:rPr>
                <w:rFonts w:ascii="Arial" w:hAnsi="Arial"/>
                <w:sz w:val="18"/>
              </w:rPr>
              <w:t xml:space="preserve">130</w:t>
            </w:r>
          </w:p>
        </w:tc>
        <w:tc>
          <w:tcPr/>
          <w:p>
            <w:pPr>
              <w:pStyle w:val="Compact"/>
              <w:spacing w:lineRule="auto" w:line="360"/>
              <w:jc w:val="left"/>
            </w:pPr>
            <w:r>
              <w:rPr>
                <w:rFonts w:ascii="Arial" w:hAnsi="Arial"/>
                <w:sz w:val="18"/>
              </w:rPr>
              <w:t xml:space="preserve">140 (1999)</w:t>
            </w:r>
          </w:p>
        </w:tc>
      </w:tr>
      <w:tr>
        <w:tc>
          <w:tcPr/>
          <w:p>
            <w:pPr>
              <w:pStyle w:val="Compact"/>
              <w:spacing w:lineRule="auto" w:line="360"/>
              <w:jc w:val="left"/>
            </w:pPr>
            <w:r>
              <w:rPr>
                <w:rFonts w:ascii="Arial" w:hAnsi="Arial"/>
                <w:sz w:val="18"/>
              </w:rPr>
              <w:t xml:space="preserve">Pmin (hPa)</w:t>
            </w:r>
          </w:p>
        </w:tc>
        <w:tc>
          <w:tcPr/>
          <w:p>
            <w:pPr>
              <w:pStyle w:val="Compact"/>
              <w:spacing w:lineRule="auto" w:line="360"/>
              <w:jc w:val="left"/>
            </w:pPr>
            <w:r>
              <w:rPr>
                <w:rFonts w:ascii="Arial" w:hAnsi="Arial"/>
                <w:sz w:val="18"/>
              </w:rPr>
              <w:t xml:space="preserve">992</w:t>
            </w:r>
          </w:p>
        </w:tc>
        <w:tc>
          <w:tcPr/>
          <w:p>
            <w:pPr>
              <w:pStyle w:val="Compact"/>
              <w:spacing w:lineRule="auto" w:line="360"/>
              <w:jc w:val="left"/>
            </w:pPr>
            <w:r>
              <w:rPr>
                <w:rFonts w:ascii="Arial" w:hAnsi="Arial"/>
                <w:sz w:val="18"/>
              </w:rPr>
              <w:t xml:space="preserve">985</w:t>
            </w:r>
          </w:p>
        </w:tc>
        <w:tc>
          <w:tcPr/>
          <w:p>
            <w:pPr>
              <w:pStyle w:val="Compact"/>
              <w:spacing w:lineRule="auto" w:line="360"/>
              <w:jc w:val="left"/>
            </w:pPr>
            <w:r>
              <w:rPr>
                <w:rFonts w:ascii="Arial" w:hAnsi="Arial"/>
                <w:sz w:val="18"/>
              </w:rPr>
              <w:t xml:space="preserve">975</w:t>
            </w:r>
          </w:p>
        </w:tc>
        <w:tc>
          <w:tcPr/>
          <w:p>
            <w:pPr>
              <w:pStyle w:val="Compact"/>
              <w:spacing w:lineRule="auto" w:line="360"/>
              <w:jc w:val="left"/>
            </w:pPr>
            <w:r>
              <w:rPr>
                <w:rFonts w:ascii="Arial" w:hAnsi="Arial"/>
                <w:sz w:val="18"/>
              </w:rPr>
              <w:t xml:space="preserve">955</w:t>
            </w:r>
          </w:p>
        </w:tc>
        <w:tc>
          <w:tcPr/>
          <w:p>
            <w:pPr>
              <w:pStyle w:val="Compact"/>
              <w:spacing w:lineRule="auto" w:line="360"/>
              <w:jc w:val="left"/>
            </w:pPr>
            <w:r>
              <w:rPr>
                <w:rFonts w:ascii="Arial" w:hAnsi="Arial"/>
                <w:sz w:val="18"/>
              </w:rPr>
              <w:t xml:space="preserve">935</w:t>
            </w:r>
          </w:p>
        </w:tc>
        <w:tc>
          <w:tcPr/>
          <w:p>
            <w:pPr>
              <w:pStyle w:val="Compact"/>
              <w:spacing w:lineRule="auto" w:line="360"/>
              <w:jc w:val="left"/>
            </w:pPr>
            <w:r>
              <w:rPr>
                <w:rFonts w:ascii="Arial" w:hAnsi="Arial"/>
                <w:sz w:val="18"/>
              </w:rPr>
              <w:t xml:space="preserve">925</w:t>
            </w:r>
          </w:p>
        </w:tc>
        <w:tc>
          <w:tcPr/>
          <w:p>
            <w:pPr>
              <w:pStyle w:val="Compact"/>
              <w:spacing w:lineRule="auto" w:line="360"/>
              <w:jc w:val="left"/>
            </w:pPr>
            <w:r>
              <w:rPr>
                <w:rFonts w:ascii="Arial" w:hAnsi="Arial"/>
                <w:sz w:val="18"/>
              </w:rPr>
              <w:t xml:space="preserve">912 (1999)</w:t>
            </w:r>
          </w:p>
        </w:tc>
      </w:tr>
      <w:tr>
        <w:tc>
          <w:tcPr/>
          <w:p>
            <w:pPr>
              <w:pStyle w:val="Compact"/>
              <w:spacing w:lineRule="auto" w:line="360"/>
              <w:jc w:val="left"/>
            </w:pPr>
            <w:r>
              <w:rPr>
                <w:rFonts w:ascii="Arial" w:hAnsi="Arial"/>
                <w:sz w:val="18"/>
              </w:rPr>
              <w:t xml:space="preserve">Surge (m)</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2.5</w:t>
            </w:r>
          </w:p>
        </w:tc>
        <w:tc>
          <w:tcPr/>
          <w:p>
            <w:pPr>
              <w:pStyle w:val="Compact"/>
              <w:spacing w:lineRule="auto" w:line="360"/>
              <w:jc w:val="left"/>
            </w:pPr>
            <w:r>
              <w:rPr>
                <w:rFonts w:ascii="Arial" w:hAnsi="Arial"/>
                <w:sz w:val="18"/>
              </w:rPr>
              <w:t xml:space="preserve">4.2</w:t>
            </w:r>
          </w:p>
        </w:tc>
        <w:tc>
          <w:tcPr/>
          <w:p>
            <w:pPr>
              <w:pStyle w:val="Compact"/>
              <w:spacing w:lineRule="auto" w:line="360"/>
              <w:jc w:val="left"/>
            </w:pPr>
            <w:r>
              <w:rPr>
                <w:rFonts w:ascii="Arial" w:hAnsi="Arial"/>
                <w:sz w:val="18"/>
              </w:rPr>
              <w:t xml:space="preserve">5.5</w:t>
            </w:r>
          </w:p>
        </w:tc>
        <w:tc>
          <w:tcPr/>
          <w:p>
            <w:pPr>
              <w:pStyle w:val="Compact"/>
              <w:spacing w:lineRule="auto" w:line="360"/>
              <w:jc w:val="left"/>
            </w:pPr>
            <w:r>
              <w:rPr>
                <w:rFonts w:ascii="Arial" w:hAnsi="Arial"/>
                <w:sz w:val="18"/>
              </w:rPr>
              <w:t xml:space="preserve">7.0 (1999)</w:t>
            </w:r>
          </w:p>
        </w:tc>
      </w:tr>
      <w:tr>
        <w:tc>
          <w:tcPr/>
          <w:p>
            <w:pPr>
              <w:pStyle w:val="Compact"/>
              <w:spacing w:lineRule="auto" w:line="360"/>
              <w:jc w:val="left"/>
            </w:pPr>
            <w:r>
              <w:rPr>
                <w:rFonts w:ascii="Arial" w:hAnsi="Arial"/>
                <w:sz w:val="18"/>
              </w:rPr>
              <w:t xml:space="preserve">Landfall DOY</w:t>
            </w:r>
          </w:p>
        </w:tc>
        <w:tc>
          <w:tcPr/>
          <w:p>
            <w:pPr>
              <w:pStyle w:val="Compact"/>
              <w:spacing w:lineRule="auto" w:line="360"/>
              <w:jc w:val="left"/>
            </w:pPr>
            <w:r>
              <w:rPr>
                <w:rFonts w:ascii="Arial" w:hAnsi="Arial"/>
                <w:sz w:val="18"/>
              </w:rPr>
              <w:t xml:space="preserve">105</w:t>
            </w:r>
          </w:p>
        </w:tc>
        <w:tc>
          <w:tcPr/>
          <w:p>
            <w:pPr>
              <w:pStyle w:val="Compact"/>
              <w:spacing w:lineRule="auto" w:line="360"/>
              <w:jc w:val="left"/>
            </w:pPr>
            <w:r>
              <w:rPr>
                <w:rFonts w:ascii="Arial" w:hAnsi="Arial"/>
                <w:sz w:val="18"/>
              </w:rPr>
              <w:t xml:space="preserve">122</w:t>
            </w:r>
          </w:p>
        </w:tc>
        <w:tc>
          <w:tcPr/>
          <w:p>
            <w:pPr>
              <w:pStyle w:val="Compact"/>
              <w:spacing w:lineRule="auto" w:line="360"/>
              <w:jc w:val="left"/>
            </w:pPr>
            <w:r>
              <w:rPr>
                <w:rFonts w:ascii="Arial" w:hAnsi="Arial"/>
                <w:sz w:val="18"/>
              </w:rPr>
              <w:t xml:space="preserve">138</w:t>
            </w:r>
          </w:p>
        </w:tc>
        <w:tc>
          <w:tcPr/>
          <w:p>
            <w:pPr>
              <w:pStyle w:val="Compact"/>
              <w:spacing w:lineRule="auto" w:line="360"/>
              <w:jc w:val="left"/>
            </w:pPr>
            <w:r>
              <w:rPr>
                <w:rFonts w:ascii="Arial" w:hAnsi="Arial"/>
                <w:sz w:val="18"/>
              </w:rPr>
              <w:t xml:space="preserve">152</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166</w:t>
            </w:r>
          </w:p>
        </w:tc>
      </w:tr>
    </w:tbl>
    <w:p>
      <w:pPr>
        <w:spacing w:before="0" w:after="120" w:line="276" w:lineRule="auto"/>
      </w:pPr>
      <w:r>
        <w:rPr>
          <w:rFonts w:ascii="Arial" w:hAnsi="Arial"/>
          <w:i/>
          <w:sz w:val="19"/>
          <w:szCs w:val="19"/>
          <w:color w:val="595959"/>
        </w:rPr>
        <w:t xml:space="preserve">Abbreviations: DOY = Day-Of-Year.</w:t>
      </w:r>
    </w:p>
    <w:p>
      <w:pPr>
        <w:pStyle w:val="BodyText"/>
        <w:spacing w:lineRule="auto" w:line="480"/>
        <w:jc w:val="lef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spacing w:lineRule="auto" w:line="360"/>
      </w:pPr>
      <w:r>
        <w:rPr>
          <w:rFonts w:ascii="Arial" w:hAnsi="Arial"/>
        </w:rPr>
        <w:t xml:space="preserve">S2.3 The three identification cyclones, in climatological context</w:t>
      </w:r>
    </w:p>
    <w:p>
      <w:pPr>
        <w:pStyle w:val="FirstParagraph"/>
        <w:spacing w:lineRule="auto" w:line="480"/>
        <w:jc w:val="bot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spacing w:lineRule="auto" w:line="480"/>
        <w:jc w:val="both"/>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spacing w:lineRule="auto" w:line="480"/>
        <w:jc w:val="both"/>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spacing w:lineRule="auto" w:line="480"/>
        <w:jc w:val="both"/>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spacing w:lineRule="auto" w:line="480"/>
        <w:jc w:val="both"/>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spacing w:lineRule="auto" w:line="360"/>
      </w:pPr>
      <w:r>
        <w:rPr>
          <w:rFonts w:ascii="Arial" w:hAnsi="Arial"/>
        </w:rPr>
        <w:t xml:space="preserve">S2.4 Independence of the three landfalls</w:t>
      </w:r>
    </w:p>
    <w:p>
      <w:pPr>
        <w:pStyle w:val="FirstParagraph"/>
        <w:spacing w:lineRule="auto" w:line="480"/>
        <w:jc w:val="bot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spacing w:lineRule="auto" w:line="480"/>
        <w:jc w:val="lef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spacing w:lineRule="auto" w:line="480"/>
        <w:jc w:val="both"/>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spacing w:lineRule="auto" w:line="480"/>
        <w:jc w:val="both"/>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spacing w:lineRule="auto" w:line="480"/>
        <w:jc w:val="both"/>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spacing w:lineRule="auto" w:line="480"/>
        <w:jc w:val="both"/>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spacing w:lineRule="auto" w:line="480"/>
        <w:jc w:val="both"/>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spacing w:lineRule="auto" w:line="480"/>
        <w:jc w:val="bot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spacing w:lineRule="auto" w:line="360"/>
      </w:pPr>
      <w:r>
        <w:rPr>
          <w:rFonts w:ascii="Arial" w:hAnsi="Arial"/>
        </w:rPr>
        <w:t xml:space="preserve">S2.5 Mechanism homogeneity</w:t>
      </w:r>
    </w:p>
    <w:p>
      <w:pPr>
        <w:pStyle w:val="FirstParagraph"/>
        <w:spacing w:lineRule="auto" w:line="480"/>
        <w:jc w:val="bot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spacing w:lineRule="auto" w:line="480"/>
        <w:jc w:val="both"/>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spacing w:lineRule="auto" w:line="480"/>
        <w:jc w:val="both"/>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spacing w:lineRule="auto" w:line="480"/>
        <w:jc w:val="both"/>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spacing w:lineRule="auto" w:line="480"/>
        <w:jc w:val="bot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spacing w:lineRule="auto" w:line="360"/>
      </w:pPr>
      <w:r>
        <w:rPr>
          <w:rFonts w:ascii="Arial" w:hAnsi="Arial"/>
        </w:rPr>
        <w:t xml:space="preserve">S2.6 Falsification posture</w:t>
      </w:r>
    </w:p>
    <w:p>
      <w:pPr>
        <w:pStyle w:val="FirstParagraph"/>
        <w:spacing w:lineRule="auto" w:line="480"/>
        <w:jc w:val="bot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spacing w:lineRule="auto" w:line="480"/>
        <w:jc w:val="both"/>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spacing w:lineRule="auto" w:line="480"/>
        <w:jc w:val="both"/>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spacing w:lineRule="auto" w:line="480"/>
        <w:jc w:val="both"/>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spacing w:lineRule="auto" w:line="480"/>
        <w:jc w:val="bot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spacing w:lineRule="auto" w:line="360"/>
      </w:pPr>
      <w:r>
        <w:rPr>
          <w:rFonts w:ascii="Arial" w:hAnsi="Arial"/>
        </w:rPr>
        <w:t xml:space="preserve">S2.7 Limitations</w:t>
      </w:r>
    </w:p>
    <w:p>
      <w:pPr>
        <w:pStyle w:val="Compact"/>
        <w:numPr>
          <w:ilvl w:val="0"/>
          <w:numId w:val="1007"/>
        </w:numPr>
        <w:spacing w:lineRule="auto" w:line="480"/>
        <w:jc w:val="both"/>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spacing w:lineRule="auto" w:line="480"/>
        <w:jc w:val="both"/>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spacing w:lineRule="auto" w:line="480"/>
        <w:jc w:val="both"/>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spacing w:lineRule="auto" w:line="360"/>
      </w:pPr>
      <w:r>
        <w:rPr>
          <w:rFonts w:ascii="Arial" w:hAnsi="Arial"/>
        </w:rPr>
        <w:t xml:space="preserve">S2.8 Pre-registration trail</w:t>
      </w:r>
    </w:p>
    <w:p>
      <w:pPr>
        <w:pStyle w:val="FirstParagraph"/>
        <w:spacing w:lineRule="auto" w:line="480"/>
        <w:jc w:val="both"/>
      </w:pPr>
      <w:r>
        <w:rPr>
          <w:rFonts w:ascii="Arial" w:hAnsi="Arial"/>
          <w:sz w:val="20"/>
        </w:rPr>
        <w:t>This climatology note was added to the OSF supplement on 2026-05-05 as a Methods companion to the §3.6 framing; the additional figure (Figure S1) and table (Table S8) were not part of the original 2025 pre-registration. Because the note is descriptive rather than test-forming, no scope amendment was filed; the OSF wiki entry documents the addition under “Methods supplements” rather than under “registered hypotheses.”</w:t>
      </w:r>
      <w:r>
        <w:rPr>
          <w:rFonts w:ascii="Arial" w:hAnsi="Arial"/>
          <w:sz w:val="20"/>
        </w:rPr>
      </w:r>
      <w:r>
        <w:rPr>
          <w:rFonts w:ascii="Arial" w:hAnsi="Arial"/>
          <w:b/>
          <w:bCs/>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p>
    <w:bookmarkEnd w:id="27"/>
    <w:bookmarkStart w:id="30" w:name="references"/>
    <w:p>
      <w:pPr>
        <w:pStyle w:val="Heading2"/>
        <w:spacing w:lineRule="auto" w:line="360"/>
      </w:pPr>
      <w:r>
        <w:rPr>
          <w:rFonts w:ascii="Arial" w:hAnsi="Arial"/>
        </w:rPr>
        <w:t xml:space="preserve">References</w:t>
      </w:r>
    </w:p>
    <w:p>
      <w:pPr>
        <w:pStyle w:val="Compact"/>
        <w:numPr>
          <w:ilvl w:val="0"/>
          <w:numId w:val="1008"/>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73433" w:name="note_s3"/>
      <w:r>
        <w:rPr>
          <w:rFonts w:ascii="Arial" w:hAnsi="Arial"/>
          <w:b/>
          <w:color w:val="1F3A5F"/>
          <w:sz w:val="32"/>
        </w:rPr>
        <w:t>Note S3 — Sentinel-1 dual-polarisation backscatter signatures</w:t>
      </w:r>
      <w:bookmarkEnd w:id="73433"/>
    </w:p>
    <w:bookmarkStart w:id="31" w:name="X3d655c27041e8d6d2856959bf2a6f9e8861d5e2"/>
    <w:p>
      <w:pPr>
        <w:pStyle w:val="Heading1"/>
        <w:spacing w:lineRule="auto" w:line="360"/>
      </w:pPr>
      <w:r>
        <w:rPr>
          <w:rFonts w:ascii="Arial" w:hAnsi="Arial"/>
        </w:rPr>
        <w:t xml:space="preserve">Supplementary Note S3 — Sentinel-1 dual-polarisation backscatter signatures of the three inundation mechanisms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3.1-why-this-note-exists"/>
    <w:p>
      <w:pPr>
        <w:pStyle w:val="Heading2"/>
        <w:spacing w:lineRule="auto" w:line="360"/>
      </w:pPr>
      <w:r>
        <w:rPr>
          <w:rFonts w:ascii="Arial" w:hAnsi="Arial"/>
        </w:rPr>
        <w:t xml:space="preserve">§S3.1 Why this note exists</w:t>
      </w:r>
    </w:p>
    <w:p>
      <w:pPr>
        <w:pStyle w:val="FirstParagraph"/>
        <w:spacing w:lineRule="auto" w:line="480"/>
        <w:jc w:val="left"/>
      </w:pPr>
      <w:r>
        <w:rPr>
          <w:rFonts w:ascii="Arial" w:hAnsi="Arial"/>
          <w:sz w:val="20"/>
        </w:rPr>
        <w:t xml:space="preserve">The Module 02 random-forest classifier separates three physically distinct surface-water states on Odisha rice land:</w:t>
      </w:r>
    </w:p>
    <w:p>
      <w:pPr>
        <w:pStyle w:val="Compact"/>
        <w:numPr>
          <w:ilvl w:val="0"/>
          <w:numId w:val="1001"/>
        </w:numPr>
        <w:spacing w:lineRule="auto" w:line="480"/>
        <w:jc w:val="both"/>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spacing w:lineRule="auto" w:line="480"/>
        <w:jc w:val="both"/>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spacing w:lineRule="auto" w:line="480"/>
        <w:jc w:val="both"/>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spacing w:lineRule="auto" w:line="480"/>
        <w:jc w:val="bot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spacing w:lineRule="auto" w:line="480"/>
        <w:jc w:val="both"/>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pPr>
        <w:spacing w:line="240" w:lineRule="auto"/>
      </w:pPr>
      <w:r>
        <w:rPr>
          <w:rFonts w:ascii="Arial" w:hAnsi="Arial"/>
          <w:sz w:val="20"/>
        </w:rPr>
        <w:pict>
          <v:rect style="width:0;height:1.5pt" o:hralign="center" o:hrstd="t" o:hr="t"/>
        </w:pict>
      </w:r>
    </w:p>
    <w:bookmarkEnd w:id="20"/>
    <w:bookmarkStart w:id="21" w:name="X9b98659bccc45f2ac6c352674c4ceec20d58486"/>
    <w:p>
      <w:pPr>
        <w:pStyle w:val="Heading2"/>
        <w:spacing w:lineRule="auto" w:line="360"/>
      </w:pPr>
      <w:r>
        <w:rPr>
          <w:rFonts w:ascii="Arial" w:hAnsi="Arial"/>
        </w:rPr>
        <w:t xml:space="preserve">§S3.2 Dual-polarisation scattering physics</w:t>
      </w:r>
    </w:p>
    <w:p>
      <w:pPr>
        <w:pStyle w:val="FirstParagraph"/>
        <w:spacing w:lineRule="auto" w:line="480"/>
        <w:jc w:val="bot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spacing w:lineRule="auto" w:line="480"/>
        <w:jc w:val="both"/>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spacing w:lineRule="auto" w:line="480"/>
        <w:jc w:val="both"/>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spacing w:lineRule="auto" w:line="480"/>
        <w:jc w:val="both"/>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spacing w:lineRule="auto" w:line="480"/>
        <w:jc w:val="bot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pPr>
        <w:spacing w:line="240" w:lineRule="auto"/>
      </w:pPr>
      <w:r>
        <w:rPr>
          <w:rFonts w:ascii="Arial" w:hAnsi="Arial"/>
          <w:sz w:val="20"/>
        </w:rPr>
        <w:pict>
          <v:rect style="width:0;height:1.5pt" o:hralign="center" o:hrstd="t" o:hr="t"/>
        </w:pict>
      </w:r>
    </w:p>
    <w:bookmarkEnd w:id="21"/>
    <w:bookmarkStart w:id="25" w:name="s3.3-mechanism-by-mechanism-signature"/>
    <w:p>
      <w:pPr>
        <w:pStyle w:val="Heading2"/>
        <w:spacing w:lineRule="auto" w:line="360"/>
      </w:pPr>
      <w:r>
        <w:rPr>
          <w:rFonts w:ascii="Arial" w:hAnsi="Arial"/>
        </w:rPr>
        <w:t xml:space="preserve">§S3.3 Mechanism-by-mechanism signature</w:t>
      </w:r>
    </w:p>
    <w:p>
      <w:pPr>
        <w:pStyle w:val="FirstParagraph"/>
        <w:spacing w:lineRule="auto" w:line="480"/>
        <w:jc w:val="left"/>
      </w:pPr>
      <w:r>
        <w:rPr>
          <w:rFonts w:ascii="Arial" w:hAnsi="Arial"/>
          <w:sz w:val="20"/>
        </w:rPr>
        <w:t xml:space="preserve">Canonical values (Table S9; Figure S2):</w:t>
      </w:r>
    </w:p>
    <w:bookmarkStart w:id="22" w:name="a-transplanting-flood-doy-188-δvh-6.5-db"/>
    <w:p>
      <w:pPr>
        <w:pStyle w:val="Heading3"/>
        <w:spacing w:lineRule="auto" w:line="360"/>
      </w:pPr>
      <w:r>
        <w:rPr>
          <w:rFonts w:ascii="Arial" w:hAnsi="Arial"/>
        </w:rPr>
        <w:t xml:space="preserve">(A) Transplanting flood — DOY 188, ΔVH = −6.5 dB</w:t>
      </w:r>
    </w:p>
    <w:p>
      <w:pPr>
        <w:pStyle w:val="FirstParagraph"/>
        <w:spacing w:lineRule="auto" w:line="480"/>
        <w:jc w:val="bot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spacing w:lineRule="auto" w:line="360"/>
      </w:pPr>
      <w:r>
        <w:rPr>
          <w:rFonts w:ascii="Arial" w:hAnsi="Arial"/>
        </w:rPr>
        <w:t xml:space="preserve">(B) Saline storm-surge — DOY 123, ΔVH = −10.5 dB</w:t>
      </w:r>
    </w:p>
    <w:p>
      <w:pPr>
        <w:pStyle w:val="FirstParagraph"/>
        <w:spacing w:lineRule="auto" w:line="480"/>
        <w:jc w:val="bot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spacing w:lineRule="auto" w:line="360"/>
      </w:pPr>
      <w:r>
        <w:rPr>
          <w:rFonts w:ascii="Arial" w:hAnsi="Arial"/>
        </w:rPr>
        <w:t xml:space="preserve">(C) Freshwater rainfall ponding (Bulbul-class) — DOY 313, ΔVH = −3.0 dB</w:t>
      </w:r>
    </w:p>
    <w:p>
      <w:pPr>
        <w:pStyle w:val="FirstParagraph"/>
        <w:spacing w:lineRule="auto" w:line="480"/>
        <w:jc w:val="bot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pPr>
        <w:spacing w:line="240" w:lineRule="auto"/>
      </w:pPr>
      <w:r>
        <w:rPr>
          <w:rFonts w:ascii="Arial" w:hAnsi="Arial"/>
          <w:sz w:val="20"/>
        </w:rPr>
        <w:pict>
          <v:rect style="width:0;height:1.5pt" o:hralign="center" o:hrstd="t" o:hr="t"/>
        </w:pict>
      </w:r>
    </w:p>
    <w:bookmarkEnd w:id="24"/>
    <w:bookmarkEnd w:id="25"/>
    <w:bookmarkStart w:id="26" w:name="X5e74269fb2c79a3590f5c9962b5ac55386f8e41"/>
    <w:p>
      <w:pPr>
        <w:pStyle w:val="Heading2"/>
        <w:spacing w:lineRule="auto" w:line="360"/>
      </w:pPr>
      <w:r>
        <w:rPr>
          <w:rFonts w:ascii="Arial" w:hAnsi="Arial"/>
        </w:rPr>
        <w:t xml:space="preserve">§S3.4 Why salinity-per-se is not the discriminator — depth × roughness × dwell time dominates</w:t>
      </w:r>
    </w:p>
    <w:p>
      <w:pPr>
        <w:pStyle w:val="FirstParagraph"/>
        <w:spacing w:lineRule="auto" w:line="480"/>
        <w:jc w:val="bot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spacing w:lineRule="auto" w:line="480"/>
        <w:jc w:val="both"/>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spacing w:lineRule="auto" w:line="480"/>
        <w:jc w:val="both"/>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spacing w:lineRule="auto" w:line="480"/>
        <w:jc w:val="both"/>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spacing w:lineRule="auto" w:line="480"/>
        <w:jc w:val="both"/>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spacing w:lineRule="auto" w:line="480"/>
        <w:jc w:val="bot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pPr>
        <w:spacing w:line="240" w:lineRule="auto"/>
      </w:pPr>
      <w:r>
        <w:rPr>
          <w:rFonts w:ascii="Arial" w:hAnsi="Arial"/>
          <w:sz w:val="20"/>
        </w:rPr>
        <w:pict>
          <v:rect style="width:0;height:1.5pt" o:hralign="center" o:hrstd="t" o:hr="t"/>
        </w:pict>
      </w:r>
    </w:p>
    <w:bookmarkEnd w:id="26"/>
    <w:bookmarkStart w:id="27" w:name="X9f7a2950de9b675f51cc5d36901e8876a835c91"/>
    <w:p>
      <w:pPr>
        <w:pStyle w:val="Heading2"/>
        <w:spacing w:lineRule="auto" w:line="360"/>
      </w:pPr>
      <w:r>
        <w:rPr>
          <w:rFonts w:ascii="Arial" w:hAnsi="Arial"/>
        </w:rPr>
        <w:t xml:space="preserve">§S3.5 Empirical justification of the seven-feature set used by Module 02</w:t>
      </w:r>
    </w:p>
    <w:p>
      <w:pPr>
        <w:pStyle w:val="FirstParagraph"/>
        <w:spacing w:lineRule="auto" w:line="480"/>
        <w:jc w:val="left"/>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spacing w:lineRule="auto" w:line="360"/>
              <w:jc w:val="left"/>
            </w:pPr>
            <w:r>
              <w:rPr>
                <w:rFonts w:ascii="Arial" w:hAnsi="Arial"/>
                <w:sz w:val="18"/>
              </w:rPr>
              <w:t xml:space="preserve">Feature</w:t>
            </w:r>
          </w:p>
        </w:tc>
        <w:tc>
          <w:tcPr/>
          <w:p>
            <w:pPr>
              <w:pStyle w:val="Compact"/>
              <w:spacing w:lineRule="auto" w:line="360"/>
              <w:jc w:val="left"/>
            </w:pPr>
            <w:r>
              <w:rPr>
                <w:rFonts w:ascii="Arial" w:hAnsi="Arial"/>
                <w:sz w:val="18"/>
              </w:rPr>
              <w:t xml:space="preserve">Source</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b/>
                <w:bCs/>
                <w:sz w:val="18"/>
              </w:rPr>
              <w:t xml:space="preserve">VH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Cross-pol — primary discriminator (ΔVH separates A/B/C)</w:t>
            </w:r>
          </w:p>
        </w:tc>
      </w:tr>
      <w:tr>
        <w:tc>
          <w:tcPr/>
          <w:p>
            <w:pPr>
              <w:pStyle w:val="Compact"/>
              <w:spacing w:lineRule="auto" w:line="360"/>
              <w:jc w:val="left"/>
            </w:pPr>
            <w:r>
              <w:rPr>
                <w:rFonts w:ascii="Arial" w:hAnsi="Arial"/>
                <w:b/>
                <w:bCs/>
                <w:sz w:val="18"/>
              </w:rPr>
              <w:t xml:space="preserve">VV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Co-pol — surface vs. volume scattering</w:t>
            </w:r>
          </w:p>
        </w:tc>
      </w:tr>
      <w:tr>
        <w:tc>
          <w:tcPr/>
          <w:p>
            <w:pPr>
              <w:pStyle w:val="Compact"/>
              <w:spacing w:lineRule="auto" w:line="360"/>
              <w:jc w:val="left"/>
            </w:pPr>
            <w:r>
              <w:rPr>
                <w:rFonts w:ascii="Arial" w:hAnsi="Arial"/>
                <w:b/>
                <w:bCs/>
                <w:sz w:val="18"/>
              </w:rPr>
              <w:t xml:space="preserve">CR = VH − VV (dB)</w:t>
            </w:r>
          </w:p>
        </w:tc>
        <w:tc>
          <w:tcPr/>
          <w:p>
            <w:pPr>
              <w:pStyle w:val="Compact"/>
              <w:spacing w:lineRule="auto" w:line="360"/>
              <w:jc w:val="left"/>
            </w:pPr>
            <w:r>
              <w:rPr>
                <w:rFonts w:ascii="Arial" w:hAnsi="Arial"/>
                <w:sz w:val="18"/>
              </w:rPr>
              <w:t xml:space="preserve">derived</w:t>
            </w:r>
          </w:p>
        </w:tc>
        <w:tc>
          <w:tcPr/>
          <w:p>
            <w:pPr>
              <w:pStyle w:val="Compact"/>
              <w:spacing w:lineRule="auto" w:line="360"/>
              <w:jc w:val="left"/>
            </w:pPr>
            <w:r>
              <w:rPr>
                <w:rFonts w:ascii="Arial" w:hAnsi="Arial"/>
                <w:sz w:val="18"/>
              </w:rPr>
              <w:t xml:space="preserve">Depolarisation index — uniquely high for surge (B)</w:t>
            </w:r>
          </w:p>
        </w:tc>
      </w:tr>
      <w:tr>
        <w:tc>
          <w:tcPr/>
          <w:p>
            <w:pPr>
              <w:pStyle w:val="Compact"/>
              <w:spacing w:lineRule="auto" w:line="360"/>
              <w:jc w:val="left"/>
            </w:pPr>
            <w:r>
              <w:rPr>
                <w:rFonts w:ascii="Arial" w:hAnsi="Arial"/>
                <w:b/>
                <w:bCs/>
                <w:sz w:val="18"/>
              </w:rPr>
              <w:t xml:space="preserve">NDWI</w:t>
            </w:r>
          </w:p>
        </w:tc>
        <w:tc>
          <w:tcPr/>
          <w:p>
            <w:pPr>
              <w:pStyle w:val="Compact"/>
              <w:spacing w:lineRule="auto" w:line="360"/>
              <w:jc w:val="left"/>
            </w:pPr>
            <w:r>
              <w:rPr>
                <w:rFonts w:ascii="Arial" w:hAnsi="Arial"/>
                <w:sz w:val="18"/>
              </w:rPr>
              <w:t xml:space="preserve">Sentinel-2 SR (Harm.)</w:t>
            </w:r>
          </w:p>
        </w:tc>
        <w:tc>
          <w:tcPr/>
          <w:p>
            <w:pPr>
              <w:pStyle w:val="Compact"/>
              <w:spacing w:lineRule="auto" w:line="360"/>
              <w:jc w:val="left"/>
            </w:pPr>
            <w:r>
              <w:rPr>
                <w:rFonts w:ascii="Arial" w:hAnsi="Arial"/>
                <w:sz w:val="18"/>
              </w:rPr>
              <w:t xml:space="preserve">Optical surface-water confirmation, when cloud-free</w:t>
            </w:r>
          </w:p>
        </w:tc>
      </w:tr>
      <w:tr>
        <w:tc>
          <w:tcPr/>
          <w:p>
            <w:pPr>
              <w:pStyle w:val="Compact"/>
              <w:spacing w:lineRule="auto" w:line="360"/>
              <w:jc w:val="left"/>
            </w:pPr>
            <w:r>
              <w:rPr>
                <w:rFonts w:ascii="Arial" w:hAnsi="Arial"/>
                <w:b/>
                <w:bCs/>
                <w:sz w:val="18"/>
              </w:rPr>
              <w:t xml:space="preserve">LSWI</w:t>
            </w:r>
          </w:p>
        </w:tc>
        <w:tc>
          <w:tcPr/>
          <w:p>
            <w:pPr>
              <w:pStyle w:val="Compact"/>
              <w:spacing w:lineRule="auto" w:line="360"/>
              <w:jc w:val="left"/>
            </w:pPr>
            <w:r>
              <w:rPr>
                <w:rFonts w:ascii="Arial" w:hAnsi="Arial"/>
                <w:sz w:val="18"/>
              </w:rPr>
              <w:t xml:space="preserve">Sentinel-2 SR</w:t>
            </w:r>
          </w:p>
        </w:tc>
        <w:tc>
          <w:tcPr/>
          <w:p>
            <w:pPr>
              <w:pStyle w:val="Compact"/>
              <w:spacing w:lineRule="auto" w:line="360"/>
              <w:jc w:val="both"/>
            </w:pPr>
            <w:r>
              <w:rPr>
                <w:rFonts w:ascii="Arial" w:hAnsi="Arial"/>
                <w:sz w:val="18"/>
              </w:rPr>
              <w:t xml:space="preserve">Canopy water content — distinguishes flooded canopy from open water</w:t>
            </w:r>
          </w:p>
        </w:tc>
      </w:tr>
      <w:tr>
        <w:tc>
          <w:tcPr/>
          <w:p>
            <w:pPr>
              <w:pStyle w:val="Compact"/>
              <w:spacing w:lineRule="auto" w:line="360"/>
              <w:jc w:val="left"/>
            </w:pPr>
            <w:r>
              <w:rPr>
                <w:rFonts w:ascii="Arial" w:hAnsi="Arial"/>
                <w:b/>
                <w:bCs/>
                <w:sz w:val="18"/>
              </w:rPr>
              <w:t xml:space="preserve">JRC water permanence</w:t>
            </w:r>
          </w:p>
        </w:tc>
        <w:tc>
          <w:tcPr/>
          <w:p>
            <w:pPr>
              <w:pStyle w:val="Compact"/>
              <w:spacing w:lineRule="auto" w:line="360"/>
              <w:jc w:val="left"/>
            </w:pPr>
            <w:r>
              <w:rPr>
                <w:rFonts w:ascii="Arial" w:hAnsi="Arial"/>
                <w:sz w:val="18"/>
              </w:rPr>
              <w:t xml:space="preserve">JRC GSW v1.4</w:t>
            </w:r>
          </w:p>
        </w:tc>
        <w:tc>
          <w:tcPr/>
          <w:p>
            <w:pPr>
              <w:pStyle w:val="Compact"/>
              <w:spacing w:lineRule="auto" w:line="360"/>
              <w:jc w:val="left"/>
            </w:pPr>
            <w:r>
              <w:rPr>
                <w:rFonts w:ascii="Arial" w:hAnsi="Arial"/>
                <w:sz w:val="18"/>
              </w:rPr>
              <w:t xml:space="preserve">Excludes permanent waterbodies (rivers, ponds, aquaculture)</w:t>
            </w:r>
          </w:p>
        </w:tc>
      </w:tr>
      <w:tr>
        <w:tc>
          <w:tcPr/>
          <w:p>
            <w:pPr>
              <w:pStyle w:val="Compact"/>
              <w:spacing w:lineRule="auto" w:line="360"/>
              <w:jc w:val="left"/>
            </w:pPr>
            <w:r>
              <w:rPr>
                <w:rFonts w:ascii="Arial" w:hAnsi="Arial"/>
                <w:b/>
                <w:bCs/>
                <w:sz w:val="18"/>
              </w:rPr>
              <w:t xml:space="preserve">ERA5 3-day max wind</w:t>
            </w:r>
          </w:p>
        </w:tc>
        <w:tc>
          <w:tcPr/>
          <w:p>
            <w:pPr>
              <w:pStyle w:val="Compact"/>
              <w:spacing w:lineRule="auto" w:line="360"/>
              <w:jc w:val="left"/>
            </w:pPr>
            <w:r>
              <w:rPr>
                <w:rFonts w:ascii="Arial" w:hAnsi="Arial"/>
                <w:sz w:val="18"/>
              </w:rPr>
              <w:t xml:space="preserve">ERA5-Land hourly</w:t>
            </w:r>
          </w:p>
        </w:tc>
        <w:tc>
          <w:tcPr/>
          <w:p>
            <w:pPr>
              <w:pStyle w:val="Compact"/>
              <w:spacing w:lineRule="auto" w:line="360"/>
              <w:jc w:val="left"/>
            </w:pPr>
            <w:r>
              <w:rPr>
                <w:rFonts w:ascii="Arial" w:hAnsi="Arial"/>
                <w:sz w:val="18"/>
              </w:rPr>
              <w:t xml:space="preserve">Cyclonic-event filter for mechanism (B)</w:t>
            </w:r>
          </w:p>
        </w:tc>
      </w:tr>
    </w:tbl>
    <w:p>
      <w:pPr>
        <w:spacing w:before="0" w:after="120" w:line="276" w:lineRule="auto"/>
      </w:pPr>
      <w:r>
        <w:rPr>
          <w:rFonts w:ascii="Arial" w:hAnsi="Arial"/>
          <w:i/>
          <w:sz w:val="19"/>
          <w:szCs w:val="19"/>
          <w:color w:val="595959"/>
        </w:rPr>
        <w:t xml:space="preserve">Abbreviations: CR = Cross-Ratio (VH − VV in dB); ERA5 = ECMWF Reanalysis v5; GRD = Ground Range Detected; GSW = Global Surface Water; IW = Interferometric Wide swath; JRC = Joint Research Centre (European Commission); LSWI = Land Surface Water Index; NDWI = Normalised Difference Water Index; VH = Vertical-transmit Horizontal-receive polarisation; VV = Vertical-transmit Vertical-receive polarisation.</w:t>
      </w:r>
    </w:p>
    <w:p>
      <w:pPr>
        <w:pStyle w:val="BodyText"/>
        <w:spacing w:lineRule="auto" w:line="480"/>
        <w:jc w:val="both"/>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pPr>
        <w:spacing w:line="240" w:lineRule="auto"/>
      </w:pPr>
      <w:r>
        <w:rPr>
          <w:rFonts w:ascii="Arial" w:hAnsi="Arial"/>
          <w:sz w:val="20"/>
        </w:rPr>
        <w:pict>
          <v:rect style="width:0;height:1.5pt" o:hralign="center" o:hrstd="t" o:hr="t"/>
        </w:pict>
      </w:r>
    </w:p>
    <w:bookmarkEnd w:id="27"/>
    <w:bookmarkStart w:id="28" w:name="Xf68a0a5935df6be22767d622599cd98d67fa490"/>
    <w:p>
      <w:pPr>
        <w:pStyle w:val="Heading2"/>
        <w:spacing w:lineRule="auto" w:line="360"/>
      </w:pPr>
      <w:r>
        <w:rPr>
          <w:rFonts w:ascii="Arial" w:hAnsi="Arial"/>
        </w:rPr>
        <w:t xml:space="preserve">§S3.6 Feature importance from the Module 02 random forest</w:t>
      </w:r>
    </w:p>
    <w:p>
      <w:pPr>
        <w:pStyle w:val="FirstParagraph"/>
        <w:spacing w:lineRule="auto" w:line="480"/>
        <w:jc w:val="bot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spacing w:lineRule="auto" w:line="480"/>
        <w:jc w:val="left"/>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spacing w:lineRule="auto" w:line="480"/>
        <w:jc w:val="left"/>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spacing w:lineRule="auto" w:line="480"/>
        <w:jc w:val="left"/>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spacing w:lineRule="auto" w:line="480"/>
        <w:jc w:val="left"/>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spacing w:lineRule="auto" w:line="480"/>
        <w:jc w:val="left"/>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spacing w:lineRule="auto" w:line="480"/>
        <w:jc w:val="left"/>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spacing w:lineRule="auto" w:line="480"/>
        <w:jc w:val="left"/>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spacing w:lineRule="auto" w:line="480"/>
        <w:jc w:val="bot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pPr>
        <w:spacing w:line="240" w:lineRule="auto"/>
      </w:pPr>
      <w:r>
        <w:rPr>
          <w:rFonts w:ascii="Arial" w:hAnsi="Arial"/>
          <w:sz w:val="20"/>
        </w:rPr>
        <w:pict>
          <v:rect style="width:0;height:1.5pt" o:hralign="center" o:hrstd="t" o:hr="t"/>
        </w:pict>
      </w:r>
    </w:p>
    <w:bookmarkEnd w:id="28"/>
    <w:bookmarkStart w:id="29" w:name="s3.7-falsifiability-and-limitations"/>
    <w:p>
      <w:pPr>
        <w:pStyle w:val="Heading2"/>
        <w:spacing w:lineRule="auto" w:line="360"/>
      </w:pPr>
      <w:r>
        <w:rPr>
          <w:rFonts w:ascii="Arial" w:hAnsi="Arial"/>
        </w:rPr>
        <w:t xml:space="preserve">§S3.7 Falsifiability and limitations</w:t>
      </w:r>
    </w:p>
    <w:p>
      <w:pPr>
        <w:pStyle w:val="FirstParagraph"/>
        <w:spacing w:lineRule="auto" w:line="480"/>
        <w:jc w:val="left"/>
      </w:pPr>
      <w:r>
        <w:rPr>
          <w:rFonts w:ascii="Arial" w:hAnsi="Arial"/>
          <w:sz w:val="20"/>
        </w:rPr>
        <w:t xml:space="preserve">The discriminator is rejected — and the entire identification strategy with it — under any of the following conditions:</w:t>
      </w:r>
    </w:p>
    <w:p>
      <w:pPr>
        <w:pStyle w:val="Compact"/>
        <w:numPr>
          <w:ilvl w:val="0"/>
          <w:numId w:val="1005"/>
        </w:numPr>
        <w:spacing w:lineRule="auto" w:line="480"/>
        <w:jc w:val="both"/>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spacing w:lineRule="auto" w:line="480"/>
        <w:jc w:val="both"/>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spacing w:lineRule="auto" w:line="480"/>
        <w:jc w:val="both"/>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spacing w:lineRule="auto" w:line="480"/>
        <w:jc w:val="both"/>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spacing w:lineRule="auto" w:line="480"/>
        <w:jc w:val="bot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spacing w:lineRule="auto" w:line="360"/>
              <w:jc w:val="left"/>
            </w:pPr>
            <w:r>
              <w:rPr>
                <w:rFonts w:ascii="Arial" w:hAnsi="Arial"/>
                <w:sz w:val="18"/>
              </w:rPr>
              <w:t xml:space="preserve">Check</w:t>
            </w:r>
          </w:p>
        </w:tc>
        <w:tc>
          <w:tcPr/>
          <w:p>
            <w:pPr>
              <w:pStyle w:val="Compact"/>
              <w:spacing w:lineRule="auto" w:line="360"/>
              <w:jc w:val="left"/>
            </w:pPr>
            <w:r>
              <w:rPr>
                <w:rFonts w:ascii="Arial" w:hAnsi="Arial"/>
                <w:sz w:val="18"/>
              </w:rPr>
              <w:t xml:space="preserve">Threshold</w:t>
            </w:r>
          </w:p>
        </w:tc>
        <w:tc>
          <w:tcPr/>
          <w:p>
            <w:pPr>
              <w:pStyle w:val="Compact"/>
              <w:spacing w:lineRule="auto" w:line="360"/>
              <w:jc w:val="left"/>
            </w:pPr>
            <w:r>
              <w:rPr>
                <w:rFonts w:ascii="Arial" w:hAnsi="Arial"/>
                <w:sz w:val="18"/>
              </w:rPr>
              <w:t xml:space="preserve">Observed</w:t>
            </w:r>
          </w:p>
        </w:tc>
        <w:tc>
          <w:tcPr/>
          <w:p>
            <w:pPr>
              <w:pStyle w:val="Compact"/>
              <w:spacing w:lineRule="auto" w:line="360"/>
              <w:jc w:val="left"/>
            </w:pPr>
            <w:r>
              <w:rPr>
                <w:rFonts w:ascii="Arial" w:hAnsi="Arial"/>
                <w:sz w:val="18"/>
              </w:rPr>
              <w:t xml:space="preserve">Margin</w:t>
            </w:r>
          </w:p>
        </w:tc>
        <w:tc>
          <w:tcPr/>
          <w:p>
            <w:pPr>
              <w:pStyle w:val="Compact"/>
              <w:spacing w:lineRule="auto" w:line="360"/>
              <w:jc w:val="left"/>
            </w:pPr>
            <w:r>
              <w:rPr>
                <w:rFonts w:ascii="Arial" w:hAnsi="Arial"/>
                <w:sz w:val="18"/>
              </w:rPr>
              <w:t xml:space="preserve">Verdict</w:t>
            </w:r>
          </w:p>
        </w:tc>
      </w:tr>
      <w:tr>
        <w:tc>
          <w:tcPr/>
          <w:p>
            <w:pPr>
              <w:pStyle w:val="Compact"/>
              <w:spacing w:lineRule="auto" w:line="360"/>
              <w:jc w:val="left"/>
            </w:pPr>
            <w:r>
              <w:rPr>
                <w:rFonts w:ascii="Arial" w:hAnsi="Arial"/>
                <w:sz w:val="18"/>
              </w:rPr>
              <w:t xml:space="preserve">F1 — ΔVH gap (surge − transplanting)</w:t>
            </w:r>
          </w:p>
        </w:tc>
        <w:tc>
          <w:tcPr/>
          <w:p>
            <w:pPr>
              <w:pStyle w:val="Compact"/>
              <w:spacing w:lineRule="auto" w:line="360"/>
              <w:jc w:val="left"/>
            </w:pPr>
            <w:r>
              <w:rPr>
                <w:rFonts w:ascii="Arial" w:hAnsi="Arial"/>
                <w:sz w:val="18"/>
              </w:rPr>
              <w:t xml:space="preserve">≥ 3.0 dB</w:t>
            </w:r>
          </w:p>
        </w:tc>
        <w:tc>
          <w:tcPr/>
          <w:p>
            <w:pPr>
              <w:pStyle w:val="Compact"/>
              <w:spacing w:lineRule="auto" w:line="360"/>
              <w:jc w:val="left"/>
            </w:pPr>
            <w:r>
              <w:rPr>
                <w:rFonts w:ascii="Arial" w:hAnsi="Arial"/>
                <w:sz w:val="18"/>
              </w:rPr>
              <w:t xml:space="preserve">4.0 dB</w:t>
            </w:r>
          </w:p>
        </w:tc>
        <w:tc>
          <w:tcPr/>
          <w:p>
            <w:pPr>
              <w:pStyle w:val="Compact"/>
              <w:spacing w:lineRule="auto" w:line="360"/>
              <w:jc w:val="left"/>
            </w:pPr>
            <w:r>
              <w:rPr>
                <w:rFonts w:ascii="Arial" w:hAnsi="Arial"/>
                <w:sz w:val="18"/>
              </w:rPr>
              <w:t xml:space="preserve">+1.0 dB</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F2 — onset-rate separation</w:t>
            </w:r>
          </w:p>
        </w:tc>
        <w:tc>
          <w:tcPr/>
          <w:p>
            <w:pPr>
              <w:pStyle w:val="Compact"/>
              <w:spacing w:lineRule="auto" w:line="360"/>
              <w:jc w:val="left"/>
            </w:pPr>
            <w:r>
              <w:rPr>
                <w:rFonts w:ascii="Arial" w:hAnsi="Arial"/>
                <w:sz w:val="18"/>
              </w:rPr>
              <w:t xml:space="preserve">≥ 4×</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+8×</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F3 — wind ⊥ transplanting onset</w:t>
            </w:r>
          </w:p>
        </w:tc>
        <w:tc>
          <w:tcPr/>
          <w:p>
            <w:pPr>
              <w:pStyle w:val="Compact"/>
              <w:spacing w:lineRule="auto" w:line="360"/>
              <w:jc w:val="left"/>
            </w:pPr>
            <w:r>
              <w:rPr>
                <w:rFonts w:ascii="Arial" w:hAnsi="Arial"/>
                <w:sz w:val="18"/>
              </w:rPr>
              <w:t xml:space="preserve">|r| ≤ 0.30</w:t>
            </w:r>
          </w:p>
        </w:tc>
        <w:tc>
          <w:tcPr/>
          <w:p>
            <w:pPr>
              <w:pStyle w:val="Compact"/>
              <w:spacing w:lineRule="auto" w:line="360"/>
              <w:jc w:val="left"/>
            </w:pPr>
            <w:r>
              <w:rPr>
                <w:rFonts w:ascii="Arial" w:hAnsi="Arial"/>
                <w:sz w:val="18"/>
              </w:rPr>
              <w:t xml:space="preserve">r = 0.08</w:t>
            </w:r>
          </w:p>
        </w:tc>
        <w:tc>
          <w:tcPr/>
          <w:p>
            <w:pPr>
              <w:pStyle w:val="Compact"/>
              <w:spacing w:lineRule="auto" w:line="360"/>
              <w:jc w:val="left"/>
            </w:pPr>
            <w:r>
              <w:rPr>
                <w:rFonts w:ascii="Arial" w:hAnsi="Arial"/>
                <w:sz w:val="18"/>
              </w:rPr>
              <w:t xml:space="preserve">+0.22</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F4 — persistent post-event VH deficit</w:t>
            </w:r>
          </w:p>
        </w:tc>
        <w:tc>
          <w:tcPr/>
          <w:p>
            <w:pPr>
              <w:pStyle w:val="Compact"/>
              <w:spacing w:lineRule="auto" w:line="360"/>
              <w:jc w:val="left"/>
            </w:pPr>
            <w:r>
              <w:rPr>
                <w:rFonts w:ascii="Arial" w:hAnsi="Arial"/>
                <w:sz w:val="18"/>
              </w:rPr>
              <w:t xml:space="preserve">≥ 1.0 dB at +30 d</w:t>
            </w:r>
          </w:p>
        </w:tc>
        <w:tc>
          <w:tcPr/>
          <w:p>
            <w:pPr>
              <w:pStyle w:val="Compact"/>
              <w:spacing w:lineRule="auto" w:line="360"/>
              <w:jc w:val="left"/>
            </w:pPr>
            <w:r>
              <w:rPr>
                <w:rFonts w:ascii="Arial" w:hAnsi="Arial"/>
                <w:sz w:val="18"/>
              </w:rPr>
              <w:t xml:space="preserve">1.8 dB</w:t>
            </w:r>
          </w:p>
        </w:tc>
        <w:tc>
          <w:tcPr/>
          <w:p>
            <w:pPr>
              <w:pStyle w:val="Compact"/>
              <w:spacing w:lineRule="auto" w:line="360"/>
              <w:jc w:val="left"/>
            </w:pPr>
            <w:r>
              <w:rPr>
                <w:rFonts w:ascii="Arial" w:hAnsi="Arial"/>
                <w:sz w:val="18"/>
              </w:rPr>
              <w:t xml:space="preserve">+0.8 dB</w:t>
            </w:r>
          </w:p>
        </w:tc>
        <w:tc>
          <w:tcPr/>
          <w:p>
            <w:pPr>
              <w:pStyle w:val="Compact"/>
              <w:spacing w:lineRule="auto" w:line="360"/>
              <w:jc w:val="left"/>
            </w:pPr>
            <w:r>
              <w:rPr>
                <w:rFonts w:ascii="Arial" w:hAnsi="Arial"/>
                <w:sz w:val="18"/>
              </w:rPr>
              <w:t xml:space="preserve">pass</w:t>
            </w:r>
          </w:p>
        </w:tc>
      </w:tr>
    </w:tbl>
    <w:p>
      <w:pPr>
        <w:spacing w:before="0" w:after="120" w:line="276" w:lineRule="auto"/>
      </w:pPr>
      <w:r>
        <w:rPr>
          <w:rFonts w:ascii="Arial" w:hAnsi="Arial"/>
          <w:i/>
          <w:sz w:val="19"/>
          <w:szCs w:val="19"/>
          <w:color w:val="595959"/>
        </w:rPr>
        <w:t xml:space="preserve">Abbreviations: VH = Vertical-transmit Horizontal-receive polarisation.</w:t>
      </w:r>
    </w:p>
    <w:p>
      <w:pPr>
        <w:pStyle w:val="BodyText"/>
        <w:spacing w:lineRule="auto" w:line="480"/>
        <w:jc w:val="both"/>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spacing w:lineRule="auto" w:line="480"/>
        <w:jc w:val="lef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spacing w:lineRule="auto" w:line="480"/>
        <w:jc w:val="both"/>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spacing w:lineRule="auto" w:line="480"/>
        <w:jc w:val="both"/>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spacing w:lineRule="auto" w:line="480"/>
        <w:jc w:val="both"/>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spacing w:lineRule="auto" w:line="480"/>
        <w:jc w:val="both"/>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pPr>
        <w:spacing w:line="240" w:lineRule="auto"/>
      </w:pPr>
      <w:r>
        <w:rPr>
          <w:rFonts w:ascii="Arial" w:hAnsi="Arial"/>
          <w:sz w:val="20"/>
        </w:rPr>
        <w:pict>
          <v:rect style="width:0;height:1.5pt" o:hralign="center" o:hrstd="t" o:hr="t"/>
        </w:pict>
      </w:r>
    </w:p>
    <w:bookmarkEnd w:id="29"/>
    <w:bookmarkStart w:id="30" w:name="s3.8-pre-registration-trail"/>
    <w:p>
      <w:pPr>
        <w:pStyle w:val="Heading2"/>
        <w:spacing w:lineRule="auto" w:line="360"/>
      </w:pPr>
      <w:r>
        <w:rPr>
          <w:rFonts w:ascii="Arial" w:hAnsi="Arial"/>
        </w:rPr>
        <w:t xml:space="preserve">§S3.8 Pre-registration trail</w:t>
      </w:r>
    </w:p>
    <w:p>
      <w:pPr>
        <w:pStyle w:val="FirstParagraph"/>
        <w:spacing w:lineRule="auto" w:line="480"/>
        <w:jc w:val="bot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spacing w:lineRule="auto" w:line="480"/>
        <w:jc w:val="lef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spacing w:lineRule="auto" w:line="480"/>
        <w:jc w:val="left"/>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spacing w:line="276" w:lineRule="auto"/>
        <w:jc w:val="both"/>
      </w:pPr>
      <w:r>
        <w:rPr>
          <w:rFonts w:ascii="Arial" w:hAnsi="Arial"/>
          <w:sz w:val="20"/>
        </w:rPr>
        <w:t xml:space="preserve">Table S9 docx and Figure S2 PDF/PNG;</w:t>
      </w:r>
    </w:p>
    <w:p>
      <w:pPr>
        <w:pStyle w:val="Compact"/>
        <w:numPr>
          <w:ilvl w:val="0"/>
          <w:numId w:val="1007"/>
        </w:numPr>
        <w:spacing w:lineRule="auto" w:line="480"/>
        <w:jc w:val="both"/>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pPr>
        <w:spacing w:line="240" w:lineRule="auto"/>
      </w:pPr>
      <w:r>
        <w:rPr>
          <w:rFonts w:ascii="Arial" w:hAnsi="Arial"/>
          <w:sz w:val="20"/>
        </w:rPr>
        <w:pict>
          <v:rect style="width:0;height:1.5pt" o:hralign="center" o:hrstd="t" o:hr="t"/>
        </w:pict>
      </w:r>
    </w:p>
    <w:p>
      <w:pPr>
        <w:pStyle w:val="FirstParagraph"/>
        <w:spacing w:lineRule="auto" w:line="480"/>
        <w:jc w:val="left"/>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spacing w:lineRule="auto" w:line="480"/>
        <w:jc w:val="left"/>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spacing w:lineRule="auto" w:line="480"/>
        <w:jc w:val="both"/>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spacing w:lineRule="auto" w:line="480"/>
        <w:jc w:val="both"/>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spacing w:lineRule="auto" w:line="480"/>
        <w:jc w:val="left"/>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spacing w:lineRule="auto" w:line="480"/>
        <w:jc w:val="both"/>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pPr>
        <w:spacing w:lineRule="auto" w:line="480"/>
        <w:jc w:val="left"/>
      </w:pPr>
      <w:r>
        <w:rPr>
          <w:rFonts w:ascii="Arial" w:hAnsi="Arial"/>
          <w:sz w:val="20"/>
        </w:rPr>
        <w:br w:type="page"/>
      </w:r>
    </w:p>
    <w:p>
      <w:pPr>
        <w:keepNext/>
        <w:spacing w:before="240" w:after="120" w:line="276" w:lineRule="auto"/>
        <w:jc w:val="both"/>
      </w:pPr>
      <w:bookmarkStart w:id="58150" w:name="table_s1"/>
      <w:r>
        <w:rPr>
          <w:rFonts w:ascii="Arial" w:hAnsi="Arial"/>
          <w:b/>
          <w:color w:val="1F3A5F"/>
          <w:sz w:val="32"/>
        </w:rPr>
        <w:t>Table S1 — Static TWFE-DiD point estimates</w:t>
      </w:r>
      <w:bookmarkEnd w:id="58150"/>
    </w:p>
    <w:p>
      <w:pPr>
        <w:spacing w:line="276" w:lineRule="auto"/>
        <w:jc w:val="both"/>
      </w:pPr>
      <w:r>
        <w:rPr>
          <w:rFonts w:ascii="Arial" w:hAnsi="Arial"/>
          <w:b/>
          <w:sz w:val="20"/>
        </w:rPr>
        <w:t xml:space="preserve">Table S1.  Static difference-in-differences estimates of pre-Kharif cyclone effect on rice phenology (8 districts × 8 years; SEs clustered at the district-level).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Rule="auto" w:line="360"/>
              <w:jc w:val="left"/>
            </w:pPr>
            <w:r>
              <w:rPr>
                <w:rFonts w:ascii="Arial" w:hAnsi="Arial"/>
                <w:b/>
                <w:sz w:val="20"/>
              </w:rPr>
              <w:t>Pipeline</w:t>
            </w:r>
          </w:p>
        </w:tc>
        <w:tc>
          <w:tcPr>
            <w:tcW w:type="dxa" w:w="785"/>
          </w:tcPr>
          <w:p>
            <w:pPr>
              <w:spacing w:lineRule="auto" w:line="360"/>
              <w:jc w:val="left"/>
            </w:pPr>
            <w:r>
              <w:rPr>
                <w:rFonts w:ascii="Arial" w:hAnsi="Arial"/>
                <w:b/>
                <w:sz w:val="20"/>
              </w:rPr>
              <w:t>Metric</w:t>
            </w:r>
          </w:p>
        </w:tc>
        <w:tc>
          <w:tcPr>
            <w:tcW w:type="dxa" w:w="785"/>
          </w:tcPr>
          <w:p>
            <w:pPr>
              <w:spacing w:lineRule="auto" w:line="360"/>
              <w:jc w:val="left"/>
            </w:pPr>
            <w:r>
              <w:rPr>
                <w:rFonts w:ascii="Arial" w:hAnsi="Arial"/>
                <w:b/>
                <w:sz w:val="20"/>
              </w:rPr>
              <w:t>N obs</w:t>
            </w:r>
          </w:p>
        </w:tc>
        <w:tc>
          <w:tcPr>
            <w:tcW w:type="dxa" w:w="785"/>
          </w:tcPr>
          <w:p>
            <w:pPr>
              <w:spacing w:lineRule="auto" w:line="360"/>
              <w:jc w:val="left"/>
            </w:pPr>
            <w:r>
              <w:rPr>
                <w:rFonts w:ascii="Arial" w:hAnsi="Arial"/>
                <w:b/>
                <w:sz w:val="20"/>
              </w:rPr>
              <w:t>N dist.</w:t>
            </w:r>
          </w:p>
        </w:tc>
        <w:tc>
          <w:tcPr>
            <w:tcW w:type="dxa" w:w="785"/>
          </w:tcPr>
          <w:p>
            <w:pPr>
              <w:spacing w:lineRule="auto" w:line="360"/>
              <w:jc w:val="left"/>
            </w:pPr>
            <w:r>
              <w:rPr>
                <w:rFonts w:ascii="Arial" w:hAnsi="Arial"/>
                <w:b/>
                <w:sz w:val="20"/>
              </w:rPr>
              <w:t>τ (d)</w:t>
            </w:r>
          </w:p>
        </w:tc>
        <w:tc>
          <w:tcPr>
            <w:tcW w:type="dxa" w:w="785"/>
          </w:tcPr>
          <w:p>
            <w:pPr>
              <w:spacing w:lineRule="auto" w:line="360"/>
              <w:jc w:val="left"/>
            </w:pPr>
            <w:r>
              <w:rPr>
                <w:rFonts w:ascii="Arial" w:hAnsi="Arial"/>
                <w:b/>
                <w:sz w:val="20"/>
              </w:rPr>
              <w:t>SE</w:t>
            </w:r>
          </w:p>
        </w:tc>
        <w:tc>
          <w:tcPr>
            <w:tcW w:type="dxa" w:w="785"/>
          </w:tcPr>
          <w:p>
            <w:pPr>
              <w:spacing w:lineRule="auto" w:line="360"/>
              <w:jc w:val="left"/>
            </w:pPr>
            <w:r>
              <w:rPr>
                <w:rFonts w:ascii="Arial" w:hAnsi="Arial"/>
                <w:b/>
                <w:sz w:val="20"/>
              </w:rPr>
              <w:t>t</w:t>
            </w:r>
          </w:p>
        </w:tc>
        <w:tc>
          <w:tcPr>
            <w:tcW w:type="dxa" w:w="785"/>
          </w:tcPr>
          <w:p>
            <w:pPr>
              <w:spacing w:lineRule="auto" w:line="360"/>
              <w:jc w:val="left"/>
            </w:pPr>
            <w:r>
              <w:rPr>
                <w:rFonts w:ascii="Arial" w:hAnsi="Arial"/>
                <w:b/>
                <w:sz w:val="20"/>
              </w:rPr>
              <w:t>p</w:t>
            </w:r>
          </w:p>
        </w:tc>
        <w:tc>
          <w:tcPr>
            <w:tcW w:type="dxa" w:w="785"/>
          </w:tcPr>
          <w:p>
            <w:pPr>
              <w:spacing w:lineRule="auto" w:line="360"/>
              <w:jc w:val="left"/>
            </w:pPr>
            <w:r>
              <w:rPr>
                <w:rFonts w:ascii="Arial" w:hAnsi="Arial"/>
                <w:b/>
                <w:sz w:val="20"/>
              </w:rPr>
              <w:t>CI₂.₅</w:t>
            </w:r>
          </w:p>
        </w:tc>
        <w:tc>
          <w:tcPr>
            <w:tcW w:type="dxa" w:w="785"/>
          </w:tcPr>
          <w:p>
            <w:pPr>
              <w:spacing w:lineRule="auto" w:line="360"/>
              <w:jc w:val="left"/>
            </w:pPr>
            <w:r>
              <w:rPr>
                <w:rFonts w:ascii="Arial" w:hAnsi="Arial"/>
                <w:b/>
                <w:sz w:val="20"/>
              </w:rPr>
              <w:t>CI₉₇.₅</w:t>
            </w:r>
          </w:p>
        </w:tc>
        <w:tc>
          <w:tcPr>
            <w:tcW w:type="dxa" w:w="785"/>
          </w:tcPr>
          <w:p>
            <w:pPr>
              <w:spacing w:lineRule="auto" w:line="360"/>
              <w:jc w:val="left"/>
            </w:pPr>
            <w:r>
              <w:rPr>
                <w:rFonts w:ascii="Arial" w:hAnsi="Arial"/>
                <w:b/>
                <w:sz w:val="20"/>
              </w:rPr>
              <w:t>R²ᵥᵥ</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+15.289</w:t>
            </w:r>
          </w:p>
        </w:tc>
        <w:tc>
          <w:tcPr>
            <w:tcW w:type="dxa" w:w="785"/>
          </w:tcPr>
          <w:p>
            <w:pPr>
              <w:spacing w:lineRule="auto" w:line="360"/>
              <w:jc w:val="left"/>
            </w:pPr>
            <w:r>
              <w:rPr>
                <w:rFonts w:ascii="Arial" w:hAnsi="Arial"/>
                <w:sz w:val="20"/>
              </w:rPr>
              <w:t>17.328</w:t>
            </w:r>
          </w:p>
        </w:tc>
        <w:tc>
          <w:tcPr>
            <w:tcW w:type="dxa" w:w="785"/>
          </w:tcPr>
          <w:p>
            <w:pPr>
              <w:spacing w:lineRule="auto" w:line="360"/>
              <w:jc w:val="left"/>
            </w:pPr>
            <w:r>
              <w:rPr>
                <w:rFonts w:ascii="Arial" w:hAnsi="Arial"/>
                <w:sz w:val="20"/>
              </w:rPr>
              <w:t>0.882</w:t>
            </w:r>
          </w:p>
        </w:tc>
        <w:tc>
          <w:tcPr>
            <w:tcW w:type="dxa" w:w="785"/>
          </w:tcPr>
          <w:p>
            <w:pPr>
              <w:spacing w:lineRule="auto" w:line="360"/>
              <w:jc w:val="left"/>
            </w:pPr>
            <w:r>
              <w:rPr>
                <w:rFonts w:ascii="Arial" w:hAnsi="Arial"/>
                <w:sz w:val="20"/>
              </w:rPr>
              <w:t>0.378</w:t>
            </w:r>
          </w:p>
        </w:tc>
        <w:tc>
          <w:tcPr>
            <w:tcW w:type="dxa" w:w="785"/>
          </w:tcPr>
          <w:p>
            <w:pPr>
              <w:spacing w:lineRule="auto" w:line="360"/>
              <w:jc w:val="left"/>
            </w:pPr>
            <w:r>
              <w:rPr>
                <w:rFonts w:ascii="Arial" w:hAnsi="Arial"/>
                <w:sz w:val="20"/>
              </w:rPr>
              <w:t>-18.673</w:t>
            </w:r>
          </w:p>
        </w:tc>
        <w:tc>
          <w:tcPr>
            <w:tcW w:type="dxa" w:w="785"/>
          </w:tcPr>
          <w:p>
            <w:pPr>
              <w:spacing w:lineRule="auto" w:line="360"/>
              <w:jc w:val="left"/>
            </w:pPr>
            <w:r>
              <w:rPr>
                <w:rFonts w:ascii="Arial" w:hAnsi="Arial"/>
                <w:sz w:val="20"/>
              </w:rPr>
              <w:t>49.250</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-3.587</w:t>
            </w:r>
          </w:p>
        </w:tc>
        <w:tc>
          <w:tcPr>
            <w:tcW w:type="dxa" w:w="785"/>
          </w:tcPr>
          <w:p>
            <w:pPr>
              <w:spacing w:lineRule="auto" w:line="360"/>
              <w:jc w:val="left"/>
            </w:pPr>
            <w:r>
              <w:rPr>
                <w:rFonts w:ascii="Arial" w:hAnsi="Arial"/>
                <w:sz w:val="20"/>
              </w:rPr>
              <w:t>2.882</w:t>
            </w:r>
          </w:p>
        </w:tc>
        <w:tc>
          <w:tcPr>
            <w:tcW w:type="dxa" w:w="785"/>
          </w:tcPr>
          <w:p>
            <w:pPr>
              <w:spacing w:lineRule="auto" w:line="360"/>
              <w:jc w:val="left"/>
            </w:pPr>
            <w:r>
              <w:rPr>
                <w:rFonts w:ascii="Arial" w:hAnsi="Arial"/>
                <w:sz w:val="20"/>
              </w:rPr>
              <w:t>-1.245</w:t>
            </w:r>
          </w:p>
        </w:tc>
        <w:tc>
          <w:tcPr>
            <w:tcW w:type="dxa" w:w="785"/>
          </w:tcPr>
          <w:p>
            <w:pPr>
              <w:spacing w:lineRule="auto" w:line="360"/>
              <w:jc w:val="left"/>
            </w:pPr>
            <w:r>
              <w:rPr>
                <w:rFonts w:ascii="Arial" w:hAnsi="Arial"/>
                <w:sz w:val="20"/>
              </w:rPr>
              <w:t>0.213</w:t>
            </w:r>
          </w:p>
        </w:tc>
        <w:tc>
          <w:tcPr>
            <w:tcW w:type="dxa" w:w="785"/>
          </w:tcPr>
          <w:p>
            <w:pPr>
              <w:spacing w:lineRule="auto" w:line="360"/>
              <w:jc w:val="left"/>
            </w:pPr>
            <w:r>
              <w:rPr>
                <w:rFonts w:ascii="Arial" w:hAnsi="Arial"/>
                <w:sz w:val="20"/>
              </w:rPr>
              <w:t>-9.235</w:t>
            </w:r>
          </w:p>
        </w:tc>
        <w:tc>
          <w:tcPr>
            <w:tcW w:type="dxa" w:w="785"/>
          </w:tcPr>
          <w:p>
            <w:pPr>
              <w:spacing w:lineRule="auto" w:line="360"/>
              <w:jc w:val="left"/>
            </w:pPr>
            <w:r>
              <w:rPr>
                <w:rFonts w:ascii="Arial" w:hAnsi="Arial"/>
                <w:sz w:val="20"/>
              </w:rPr>
              <w:t>2.062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-2.038</w:t>
            </w:r>
          </w:p>
        </w:tc>
        <w:tc>
          <w:tcPr>
            <w:tcW w:type="dxa" w:w="785"/>
          </w:tcPr>
          <w:p>
            <w:pPr>
              <w:spacing w:lineRule="auto" w:line="360"/>
              <w:jc w:val="left"/>
            </w:pPr>
            <w:r>
              <w:rPr>
                <w:rFonts w:ascii="Arial" w:hAnsi="Arial"/>
                <w:sz w:val="20"/>
              </w:rPr>
              <w:t>0.042</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+15.108</w:t>
            </w:r>
          </w:p>
        </w:tc>
        <w:tc>
          <w:tcPr>
            <w:tcW w:type="dxa" w:w="785"/>
          </w:tcPr>
          <w:p>
            <w:pPr>
              <w:spacing w:lineRule="auto" w:line="360"/>
              <w:jc w:val="left"/>
            </w:pPr>
            <w:r>
              <w:rPr>
                <w:rFonts w:ascii="Arial" w:hAnsi="Arial"/>
                <w:sz w:val="20"/>
              </w:rPr>
              <w:t>17.312</w:t>
            </w:r>
          </w:p>
        </w:tc>
        <w:tc>
          <w:tcPr>
            <w:tcW w:type="dxa" w:w="785"/>
          </w:tcPr>
          <w:p>
            <w:pPr>
              <w:spacing w:lineRule="auto" w:line="360"/>
              <w:jc w:val="left"/>
            </w:pPr>
            <w:r>
              <w:rPr>
                <w:rFonts w:ascii="Arial" w:hAnsi="Arial"/>
                <w:sz w:val="20"/>
              </w:rPr>
              <w:t>0.873</w:t>
            </w:r>
          </w:p>
        </w:tc>
        <w:tc>
          <w:tcPr>
            <w:tcW w:type="dxa" w:w="785"/>
          </w:tcPr>
          <w:p>
            <w:pPr>
              <w:spacing w:lineRule="auto" w:line="360"/>
              <w:jc w:val="left"/>
            </w:pPr>
            <w:r>
              <w:rPr>
                <w:rFonts w:ascii="Arial" w:hAnsi="Arial"/>
                <w:sz w:val="20"/>
              </w:rPr>
              <w:t>0.383</w:t>
            </w:r>
          </w:p>
        </w:tc>
        <w:tc>
          <w:tcPr>
            <w:tcW w:type="dxa" w:w="785"/>
          </w:tcPr>
          <w:p>
            <w:pPr>
              <w:spacing w:lineRule="auto" w:line="360"/>
              <w:jc w:val="left"/>
            </w:pPr>
            <w:r>
              <w:rPr>
                <w:rFonts w:ascii="Arial" w:hAnsi="Arial"/>
                <w:sz w:val="20"/>
              </w:rPr>
              <w:t>-18.822</w:t>
            </w:r>
          </w:p>
        </w:tc>
        <w:tc>
          <w:tcPr>
            <w:tcW w:type="dxa" w:w="785"/>
          </w:tcPr>
          <w:p>
            <w:pPr>
              <w:spacing w:lineRule="auto" w:line="360"/>
              <w:jc w:val="left"/>
            </w:pPr>
            <w:r>
              <w:rPr>
                <w:rFonts w:ascii="Arial" w:hAnsi="Arial"/>
                <w:sz w:val="20"/>
              </w:rPr>
              <w:t>49.039</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-3.677</w:t>
            </w:r>
          </w:p>
        </w:tc>
        <w:tc>
          <w:tcPr>
            <w:tcW w:type="dxa" w:w="785"/>
          </w:tcPr>
          <w:p>
            <w:pPr>
              <w:spacing w:lineRule="auto" w:line="360"/>
              <w:jc w:val="left"/>
            </w:pPr>
            <w:r>
              <w:rPr>
                <w:rFonts w:ascii="Arial" w:hAnsi="Arial"/>
                <w:sz w:val="20"/>
              </w:rPr>
              <w:t>2.897</w:t>
            </w:r>
          </w:p>
        </w:tc>
        <w:tc>
          <w:tcPr>
            <w:tcW w:type="dxa" w:w="785"/>
          </w:tcPr>
          <w:p>
            <w:pPr>
              <w:spacing w:lineRule="auto" w:line="360"/>
              <w:jc w:val="left"/>
            </w:pPr>
            <w:r>
              <w:rPr>
                <w:rFonts w:ascii="Arial" w:hAnsi="Arial"/>
                <w:sz w:val="20"/>
              </w:rPr>
              <w:t>-1.269</w:t>
            </w:r>
          </w:p>
        </w:tc>
        <w:tc>
          <w:tcPr>
            <w:tcW w:type="dxa" w:w="785"/>
          </w:tcPr>
          <w:p>
            <w:pPr>
              <w:spacing w:lineRule="auto" w:line="360"/>
              <w:jc w:val="left"/>
            </w:pPr>
            <w:r>
              <w:rPr>
                <w:rFonts w:ascii="Arial" w:hAnsi="Arial"/>
                <w:sz w:val="20"/>
              </w:rPr>
              <w:t>0.204</w:t>
            </w:r>
          </w:p>
        </w:tc>
        <w:tc>
          <w:tcPr>
            <w:tcW w:type="dxa" w:w="785"/>
          </w:tcPr>
          <w:p>
            <w:pPr>
              <w:spacing w:lineRule="auto" w:line="360"/>
              <w:jc w:val="left"/>
            </w:pPr>
            <w:r>
              <w:rPr>
                <w:rFonts w:ascii="Arial" w:hAnsi="Arial"/>
                <w:sz w:val="20"/>
              </w:rPr>
              <w:t>-9.356</w:t>
            </w:r>
          </w:p>
        </w:tc>
        <w:tc>
          <w:tcPr>
            <w:tcW w:type="dxa" w:w="785"/>
          </w:tcPr>
          <w:p>
            <w:pPr>
              <w:spacing w:lineRule="auto" w:line="360"/>
              <w:jc w:val="left"/>
            </w:pPr>
            <w:r>
              <w:rPr>
                <w:rFonts w:ascii="Arial" w:hAnsi="Arial"/>
                <w:sz w:val="20"/>
              </w:rPr>
              <w:t>2.002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-0.239</w:t>
            </w:r>
          </w:p>
        </w:tc>
        <w:tc>
          <w:tcPr>
            <w:tcW w:type="dxa" w:w="785"/>
          </w:tcPr>
          <w:p>
            <w:pPr>
              <w:spacing w:lineRule="auto" w:line="360"/>
              <w:jc w:val="left"/>
            </w:pPr>
            <w:r>
              <w:rPr>
                <w:rFonts w:ascii="Arial" w:hAnsi="Arial"/>
                <w:sz w:val="20"/>
              </w:rPr>
              <w:t>0.169</w:t>
            </w:r>
          </w:p>
        </w:tc>
        <w:tc>
          <w:tcPr>
            <w:tcW w:type="dxa" w:w="785"/>
          </w:tcPr>
          <w:p>
            <w:pPr>
              <w:spacing w:lineRule="auto" w:line="360"/>
              <w:jc w:val="left"/>
            </w:pPr>
            <w:r>
              <w:rPr>
                <w:rFonts w:ascii="Arial" w:hAnsi="Arial"/>
                <w:sz w:val="20"/>
              </w:rPr>
              <w:t>-1.411</w:t>
            </w:r>
          </w:p>
        </w:tc>
        <w:tc>
          <w:tcPr>
            <w:tcW w:type="dxa" w:w="785"/>
          </w:tcPr>
          <w:p>
            <w:pPr>
              <w:spacing w:lineRule="auto" w:line="360"/>
              <w:jc w:val="left"/>
            </w:pPr>
            <w:r>
              <w:rPr>
                <w:rFonts w:ascii="Arial" w:hAnsi="Arial"/>
                <w:sz w:val="20"/>
              </w:rPr>
              <w:t>0.158</w:t>
            </w:r>
          </w:p>
        </w:tc>
        <w:tc>
          <w:tcPr>
            <w:tcW w:type="dxa" w:w="785"/>
          </w:tcPr>
          <w:p>
            <w:pPr>
              <w:spacing w:lineRule="auto" w:line="360"/>
              <w:jc w:val="left"/>
            </w:pPr>
            <w:r>
              <w:rPr>
                <w:rFonts w:ascii="Arial" w:hAnsi="Arial"/>
                <w:sz w:val="20"/>
              </w:rPr>
              <w:t>-0.570</w:t>
            </w:r>
          </w:p>
        </w:tc>
        <w:tc>
          <w:tcPr>
            <w:tcW w:type="dxa" w:w="785"/>
          </w:tcPr>
          <w:p>
            <w:pPr>
              <w:spacing w:lineRule="auto" w:line="360"/>
              <w:jc w:val="left"/>
            </w:pPr>
            <w:r>
              <w:rPr>
                <w:rFonts w:ascii="Arial" w:hAnsi="Arial"/>
                <w:sz w:val="20"/>
              </w:rPr>
              <w:t>0.093</w:t>
            </w:r>
          </w:p>
        </w:tc>
        <w:tc>
          <w:tcPr>
            <w:tcW w:type="dxa" w:w="785"/>
          </w:tcPr>
          <w:p>
            <w:pPr>
              <w:spacing w:lineRule="auto" w:line="360"/>
              <w:jc w:val="left"/>
            </w:pPr>
            <w:r>
              <w:rPr>
                <w:rFonts w:ascii="Arial" w:hAnsi="Arial"/>
                <w:sz w:val="20"/>
              </w:rPr>
              <w:t>0.074</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Rule="auto" w:line="480"/>
        <w:jc w:val="both"/>
      </w:pPr>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pPr>
        <w:spacing w:lineRule="auto" w:line="480"/>
        <w:jc w:val="left"/>
      </w:pPr>
      <w:r>
        <w:rPr>
          <w:rFonts w:ascii="Arial" w:hAnsi="Arial"/>
          <w:sz w:val="20"/>
        </w:rPr>
        <w:br w:type="page"/>
      </w:r>
    </w:p>
    <w:p>
      <w:pPr>
        <w:keepNext/>
        <w:spacing w:before="240" w:after="120" w:line="276" w:lineRule="auto"/>
        <w:jc w:val="both"/>
      </w:pPr>
      <w:bookmarkStart w:id="62942" w:name="table_s2"/>
      <w:r>
        <w:rPr>
          <w:rFonts w:ascii="Arial" w:hAnsi="Arial"/>
          <w:b/>
          <w:color w:val="1F3A5F"/>
          <w:sz w:val="32"/>
        </w:rPr>
        <w:t>Table S2 — Pre-trend tests</w:t>
      </w:r>
      <w:bookmarkEnd w:id="62942"/>
    </w:p>
    <w:p>
      <w:pPr>
        <w:spacing w:line="276" w:lineRule="auto"/>
        <w:jc w:val="both"/>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Rule="auto" w:line="360"/>
              <w:jc w:val="left"/>
            </w:pPr>
            <w:r>
              <w:rPr>
                <w:rFonts w:ascii="Arial" w:hAnsi="Arial"/>
                <w:b/>
                <w:sz w:val="20"/>
              </w:rPr>
              <w:t>Pipeline</w:t>
            </w:r>
          </w:p>
        </w:tc>
        <w:tc>
          <w:tcPr>
            <w:tcW w:type="dxa" w:w="1234"/>
          </w:tcPr>
          <w:p>
            <w:pPr>
              <w:spacing w:lineRule="auto" w:line="360"/>
              <w:jc w:val="left"/>
            </w:pPr>
            <w:r>
              <w:rPr>
                <w:rFonts w:ascii="Arial" w:hAnsi="Arial"/>
                <w:b/>
                <w:sz w:val="20"/>
              </w:rPr>
              <w:t>Metric</w:t>
            </w:r>
          </w:p>
        </w:tc>
        <w:tc>
          <w:tcPr>
            <w:tcW w:type="dxa" w:w="1234"/>
          </w:tcPr>
          <w:p>
            <w:pPr>
              <w:spacing w:lineRule="auto" w:line="360"/>
              <w:jc w:val="left"/>
            </w:pPr>
            <w:r>
              <w:rPr>
                <w:rFonts w:ascii="Arial" w:hAnsi="Arial"/>
                <w:b/>
                <w:sz w:val="20"/>
              </w:rPr>
              <w:t>β (year×treat)</w:t>
            </w:r>
          </w:p>
        </w:tc>
        <w:tc>
          <w:tcPr>
            <w:tcW w:type="dxa" w:w="1234"/>
          </w:tcPr>
          <w:p>
            <w:pPr>
              <w:spacing w:lineRule="auto" w:line="360"/>
              <w:jc w:val="left"/>
            </w:pPr>
            <w:r>
              <w:rPr>
                <w:rFonts w:ascii="Arial" w:hAnsi="Arial"/>
                <w:b/>
                <w:sz w:val="20"/>
              </w:rPr>
              <w:t>SE</w:t>
            </w:r>
          </w:p>
        </w:tc>
        <w:tc>
          <w:tcPr>
            <w:tcW w:type="dxa" w:w="1234"/>
          </w:tcPr>
          <w:p>
            <w:pPr>
              <w:spacing w:lineRule="auto" w:line="360"/>
              <w:jc w:val="left"/>
            </w:pPr>
            <w:r>
              <w:rPr>
                <w:rFonts w:ascii="Arial" w:hAnsi="Arial"/>
                <w:b/>
                <w:sz w:val="20"/>
              </w:rPr>
              <w:t>p</w:t>
            </w:r>
          </w:p>
        </w:tc>
        <w:tc>
          <w:tcPr>
            <w:tcW w:type="dxa" w:w="1234"/>
          </w:tcPr>
          <w:p>
            <w:pPr>
              <w:spacing w:lineRule="auto" w:line="360"/>
              <w:jc w:val="left"/>
            </w:pPr>
            <w:r>
              <w:rPr>
                <w:rFonts w:ascii="Arial" w:hAnsi="Arial"/>
                <w:b/>
                <w:sz w:val="20"/>
              </w:rPr>
              <w:t>N pre</w:t>
            </w:r>
          </w:p>
        </w:tc>
        <w:tc>
          <w:tcPr>
            <w:tcW w:type="dxa" w:w="1234"/>
          </w:tcPr>
          <w:p>
            <w:pPr>
              <w:spacing w:lineRule="auto" w:line="360"/>
              <w:jc w:val="left"/>
            </w:pPr>
            <w:r>
              <w:rPr>
                <w:rFonts w:ascii="Arial" w:hAnsi="Arial"/>
                <w:b/>
                <w:sz w:val="20"/>
              </w:rPr>
              <w:t>Verdict</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sz w:val="20"/>
        </w:rPr>
        <w:br w:type="page"/>
      </w:r>
    </w:p>
    <w:p>
      <w:pPr>
        <w:keepNext/>
        <w:spacing w:before="240" w:after="120" w:line="276" w:lineRule="auto"/>
        <w:jc w:val="both"/>
      </w:pPr>
      <w:bookmarkStart w:id="44256" w:name="table_s4"/>
      <w:r>
        <w:rPr>
          <w:rFonts w:ascii="Arial" w:hAnsi="Arial"/>
          <w:b/>
          <w:color w:val="1F3A5F"/>
          <w:sz w:val="32"/>
        </w:rPr>
        <w:t>Table S4 — Wild-cluster bootstrap (G = 8)</w:t>
      </w:r>
      <w:bookmarkEnd w:id="44256"/>
    </w:p>
    <w:p>
      <w:pPr>
        <w:spacing w:line="276" w:lineRule="auto"/>
        <w:jc w:val="both"/>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20"/>
              </w:rPr>
              <w:t>Pipeline</w:t>
            </w:r>
          </w:p>
        </w:tc>
        <w:tc>
          <w:tcPr>
            <w:tcW w:type="dxa" w:w="1080"/>
          </w:tcPr>
          <w:p>
            <w:pPr>
              <w:spacing w:lineRule="auto" w:line="360"/>
              <w:jc w:val="left"/>
            </w:pPr>
            <w:r>
              <w:rPr>
                <w:rFonts w:ascii="Arial" w:hAnsi="Arial"/>
                <w:b/>
                <w:sz w:val="20"/>
              </w:rPr>
              <w:t>Metric</w:t>
            </w:r>
          </w:p>
        </w:tc>
        <w:tc>
          <w:tcPr>
            <w:tcW w:type="dxa" w:w="1080"/>
          </w:tcPr>
          <w:p>
            <w:pPr>
              <w:spacing w:lineRule="auto" w:line="360"/>
              <w:jc w:val="left"/>
            </w:pPr>
            <w:r>
              <w:rPr>
                <w:rFonts w:ascii="Arial" w:hAnsi="Arial"/>
                <w:b/>
                <w:sz w:val="20"/>
              </w:rPr>
              <w:t>τ (d)</w:t>
            </w:r>
          </w:p>
        </w:tc>
        <w:tc>
          <w:tcPr>
            <w:tcW w:type="dxa" w:w="1080"/>
          </w:tcPr>
          <w:p>
            <w:pPr>
              <w:spacing w:lineRule="auto" w:line="360"/>
              <w:jc w:val="left"/>
            </w:pPr>
            <w:r>
              <w:rPr>
                <w:rFonts w:ascii="Arial" w:hAnsi="Arial"/>
                <w:b/>
                <w:sz w:val="20"/>
              </w:rPr>
              <w:t>t (CR1)</w:t>
            </w:r>
          </w:p>
        </w:tc>
        <w:tc>
          <w:tcPr>
            <w:tcW w:type="dxa" w:w="1080"/>
          </w:tcPr>
          <w:p>
            <w:pPr>
              <w:spacing w:lineRule="auto" w:line="360"/>
              <w:jc w:val="left"/>
            </w:pPr>
            <w:r>
              <w:rPr>
                <w:rFonts w:ascii="Arial" w:hAnsi="Arial"/>
                <w:b/>
                <w:sz w:val="20"/>
              </w:rPr>
              <w:t>B</w:t>
            </w:r>
          </w:p>
        </w:tc>
        <w:tc>
          <w:tcPr>
            <w:tcW w:type="dxa" w:w="1080"/>
          </w:tcPr>
          <w:p>
            <w:pPr>
              <w:spacing w:lineRule="auto" w:line="360"/>
              <w:jc w:val="left"/>
            </w:pPr>
            <w:r>
              <w:rPr>
                <w:rFonts w:ascii="Arial" w:hAnsi="Arial"/>
                <w:b/>
                <w:sz w:val="20"/>
              </w:rPr>
              <w:t>p (WCR)</w:t>
            </w:r>
          </w:p>
        </w:tc>
        <w:tc>
          <w:tcPr>
            <w:tcW w:type="dxa" w:w="1080"/>
          </w:tcPr>
          <w:p>
            <w:pPr>
              <w:spacing w:lineRule="auto" w:line="360"/>
              <w:jc w:val="left"/>
            </w:pPr>
            <w:r>
              <w:rPr>
                <w:rFonts w:ascii="Arial" w:hAnsi="Arial"/>
                <w:b/>
                <w:sz w:val="20"/>
              </w:rPr>
              <w:t>CI₂.₅ (WCR)</w:t>
            </w:r>
          </w:p>
        </w:tc>
        <w:tc>
          <w:tcPr>
            <w:tcW w:type="dxa" w:w="1080"/>
          </w:tcPr>
          <w:p>
            <w:pPr>
              <w:spacing w:lineRule="auto" w:line="360"/>
              <w:jc w:val="left"/>
            </w:pPr>
            <w:r>
              <w:rPr>
                <w:rFonts w:ascii="Arial" w:hAnsi="Arial"/>
                <w:b/>
                <w:sz w:val="20"/>
              </w:rPr>
              <w:t>CI₉₇.₅ (WCR)</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+15.289</w:t>
            </w:r>
          </w:p>
        </w:tc>
        <w:tc>
          <w:tcPr>
            <w:tcW w:type="dxa" w:w="1080"/>
          </w:tcPr>
          <w:p>
            <w:pPr>
              <w:spacing w:lineRule="auto" w:line="360"/>
              <w:jc w:val="left"/>
            </w:pPr>
            <w:r>
              <w:rPr>
                <w:rFonts w:ascii="Arial" w:hAnsi="Arial"/>
                <w:sz w:val="20"/>
              </w:rPr>
              <w:t>0.882</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0.4000</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-3.587</w:t>
            </w:r>
          </w:p>
        </w:tc>
        <w:tc>
          <w:tcPr>
            <w:tcW w:type="dxa" w:w="1080"/>
          </w:tcPr>
          <w:p>
            <w:pPr>
              <w:spacing w:lineRule="auto" w:line="360"/>
              <w:jc w:val="left"/>
            </w:pPr>
            <w:r>
              <w:rPr>
                <w:rFonts w:ascii="Arial" w:hAnsi="Arial"/>
                <w:sz w:val="20"/>
              </w:rPr>
              <w:t>-1.245</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+0.000</w:t>
            </w:r>
          </w:p>
        </w:tc>
        <w:tc>
          <w:tcPr>
            <w:tcW w:type="dxa" w:w="1080"/>
          </w:tcPr>
          <w:p>
            <w:pPr>
              <w:spacing w:lineRule="auto" w:line="360"/>
              <w:jc w:val="left"/>
            </w:pPr>
            <w:r>
              <w:rPr>
                <w:rFonts w:ascii="Arial" w:hAnsi="Arial"/>
                <w:sz w:val="20"/>
              </w:rPr>
              <w:t>1.029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0.2047</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+15.108</w:t>
            </w:r>
          </w:p>
        </w:tc>
        <w:tc>
          <w:tcPr>
            <w:tcW w:type="dxa" w:w="1080"/>
          </w:tcPr>
          <w:p>
            <w:pPr>
              <w:spacing w:lineRule="auto" w:line="360"/>
              <w:jc w:val="left"/>
            </w:pPr>
            <w:r>
              <w:rPr>
                <w:rFonts w:ascii="Arial" w:hAnsi="Arial"/>
                <w:sz w:val="20"/>
              </w:rPr>
              <w:t>0.873</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0.4065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-3.677</w:t>
            </w:r>
          </w:p>
        </w:tc>
        <w:tc>
          <w:tcPr>
            <w:tcW w:type="dxa" w:w="1080"/>
          </w:tcPr>
          <w:p>
            <w:pPr>
              <w:spacing w:lineRule="auto" w:line="360"/>
              <w:jc w:val="left"/>
            </w:pPr>
            <w:r>
              <w:rPr>
                <w:rFonts w:ascii="Arial" w:hAnsi="Arial"/>
                <w:sz w:val="20"/>
              </w:rPr>
              <w:t>-1.269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-0.239</w:t>
            </w:r>
          </w:p>
        </w:tc>
        <w:tc>
          <w:tcPr>
            <w:tcW w:type="dxa" w:w="1080"/>
          </w:tcPr>
          <w:p>
            <w:pPr>
              <w:spacing w:lineRule="auto" w:line="360"/>
              <w:jc w:val="left"/>
            </w:pPr>
            <w:r>
              <w:rPr>
                <w:rFonts w:ascii="Arial" w:hAnsi="Arial"/>
                <w:sz w:val="20"/>
              </w:rPr>
              <w:t>-1.411</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0.2035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 WCR = Wild-Cluster Restricted (bootstrap).</w:t>
      </w:r>
    </w:p>
    <w:p>
      <w:pPr>
        <w:spacing w:lineRule="auto" w:line="480"/>
        <w:jc w:val="left"/>
      </w:pPr>
    </w:p>
    <w:p>
      <w:pPr>
        <w:spacing w:lineRule="auto" w:line="480"/>
        <w:jc w:val="both"/>
      </w:pPr>
      <w:r>
        <w:rPr>
          <w:rFonts w:ascii="Arial" w:hAnsi="Arial"/>
          <w:sz w:val="18"/>
        </w:rPr>
        <w:t>Notes. WCR = wild cluster restricted (residuals imposed under H0: τ=0). Floor on bootstrap p-value at B=9999 is 1/(B+1) = 0.0001. District clusters: 8.</w:t>
      </w:r>
    </w:p>
    <w:p>
      <w:pPr>
        <w:spacing w:lineRule="auto" w:line="480"/>
        <w:jc w:val="left"/>
      </w:pPr>
      <w:r>
        <w:rPr>
          <w:rFonts w:ascii="Arial" w:hAnsi="Arial"/>
          <w:sz w:val="20"/>
        </w:rPr>
        <w:br w:type="page"/>
      </w:r>
    </w:p>
    <w:p>
      <w:pPr>
        <w:keepNext/>
        <w:spacing w:before="240" w:after="120" w:line="276" w:lineRule="auto"/>
        <w:jc w:val="both"/>
      </w:pPr>
      <w:bookmarkStart w:id="63462" w:name="table_s5"/>
      <w:r>
        <w:rPr>
          <w:rFonts w:ascii="Arial" w:hAnsi="Arial"/>
          <w:b/>
          <w:color w:val="1F3A5F"/>
          <w:sz w:val="32"/>
        </w:rPr>
        <w:t>Table S5 — Jackknife leave-one-out</w:t>
      </w:r>
      <w:bookmarkEnd w:id="63462"/>
    </w:p>
    <w:p>
      <w:pPr>
        <w:spacing w:line="276" w:lineRule="auto"/>
        <w:jc w:val="both"/>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Rule="auto" w:line="360"/>
              <w:jc w:val="left"/>
            </w:pPr>
            <w:r>
              <w:rPr>
                <w:rFonts w:ascii="Arial" w:hAnsi="Arial"/>
                <w:b/>
                <w:sz w:val="20"/>
              </w:rPr>
              <w:t>Pipeline</w:t>
            </w:r>
          </w:p>
        </w:tc>
        <w:tc>
          <w:tcPr>
            <w:tcW w:type="dxa" w:w="1440"/>
          </w:tcPr>
          <w:p>
            <w:pPr>
              <w:spacing w:lineRule="auto" w:line="360"/>
              <w:jc w:val="left"/>
            </w:pPr>
            <w:r>
              <w:rPr>
                <w:rFonts w:ascii="Arial" w:hAnsi="Arial"/>
                <w:b/>
                <w:sz w:val="20"/>
              </w:rPr>
              <w:t>Metric</w:t>
            </w:r>
          </w:p>
        </w:tc>
        <w:tc>
          <w:tcPr>
            <w:tcW w:type="dxa" w:w="1440"/>
          </w:tcPr>
          <w:p>
            <w:pPr>
              <w:spacing w:lineRule="auto" w:line="360"/>
              <w:jc w:val="left"/>
            </w:pPr>
            <w:r>
              <w:rPr>
                <w:rFonts w:ascii="Arial" w:hAnsi="Arial"/>
                <w:b/>
                <w:sz w:val="20"/>
              </w:rPr>
              <w:t>τ̂ full (d)</w:t>
            </w:r>
          </w:p>
        </w:tc>
        <w:tc>
          <w:tcPr>
            <w:tcW w:type="dxa" w:w="1440"/>
          </w:tcPr>
          <w:p>
            <w:pPr>
              <w:spacing w:lineRule="auto" w:line="360"/>
              <w:jc w:val="left"/>
            </w:pPr>
            <w:r>
              <w:rPr>
                <w:rFonts w:ascii="Arial" w:hAnsi="Arial"/>
                <w:b/>
                <w:sz w:val="20"/>
              </w:rPr>
              <w:t>max |Δτ| (%)</w:t>
            </w:r>
          </w:p>
        </w:tc>
        <w:tc>
          <w:tcPr>
            <w:tcW w:type="dxa" w:w="1440"/>
          </w:tcPr>
          <w:p>
            <w:pPr>
              <w:spacing w:lineRule="auto" w:line="360"/>
              <w:jc w:val="left"/>
            </w:pPr>
            <w:r>
              <w:rPr>
                <w:rFonts w:ascii="Arial" w:hAnsi="Arial"/>
                <w:b/>
                <w:sz w:val="20"/>
              </w:rPr>
              <w:t>Driver district</w:t>
            </w:r>
          </w:p>
        </w:tc>
        <w:tc>
          <w:tcPr>
            <w:tcW w:type="dxa" w:w="1440"/>
          </w:tcPr>
          <w:p>
            <w:pPr>
              <w:spacing w:lineRule="auto" w:line="360"/>
              <w:jc w:val="left"/>
            </w:pPr>
            <w:r>
              <w:rPr>
                <w:rFonts w:ascii="Arial" w:hAnsi="Arial"/>
                <w:b/>
                <w:sz w:val="20"/>
              </w:rPr>
              <w:t>Verdict</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+15.289</w:t>
            </w:r>
          </w:p>
        </w:tc>
        <w:tc>
          <w:tcPr>
            <w:tcW w:type="dxa" w:w="1440"/>
          </w:tcPr>
          <w:p>
            <w:pPr>
              <w:spacing w:lineRule="auto" w:line="360"/>
              <w:jc w:val="left"/>
            </w:pPr>
            <w:r>
              <w:rPr>
                <w:rFonts w:ascii="Arial" w:hAnsi="Arial"/>
                <w:sz w:val="20"/>
              </w:rPr>
              <w:t>76.1</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-3.587</w:t>
            </w:r>
          </w:p>
        </w:tc>
        <w:tc>
          <w:tcPr>
            <w:tcW w:type="dxa" w:w="1440"/>
          </w:tcPr>
          <w:p>
            <w:pPr>
              <w:spacing w:lineRule="auto" w:line="360"/>
              <w:jc w:val="left"/>
            </w:pPr>
            <w:r>
              <w:rPr>
                <w:rFonts w:ascii="Arial" w:hAnsi="Arial"/>
                <w:sz w:val="20"/>
              </w:rPr>
              <w:t>55.8</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-0.000</w:t>
            </w:r>
          </w:p>
        </w:tc>
        <w:tc>
          <w:tcPr>
            <w:tcW w:type="dxa" w:w="1440"/>
          </w:tcPr>
          <w:p>
            <w:pPr>
              <w:spacing w:lineRule="auto" w:line="360"/>
              <w:jc w:val="center"/>
            </w:pPr>
            <w:r>
              <w:rPr>
                <w:sz w:val="20"/>
              </w:rPr>
              <w:t>—</w:t>
            </w:r>
          </w:p>
        </w:tc>
        <w:tc>
          <w:tcPr>
            <w:tcW w:type="dxa" w:w="1440"/>
          </w:tcPr>
          <w:p>
            <w:pPr>
              <w:spacing w:lineRule="auto" w:line="360"/>
              <w:jc w:val="left"/>
            </w:pPr>
            <w:r>
              <w:rPr>
                <w:rFonts w:ascii="Arial" w:hAnsi="Arial"/>
                <w:sz w:val="20"/>
              </w:rPr>
              <w:t>Angul</w:t>
            </w:r>
          </w:p>
        </w:tc>
        <w:tc>
          <w:tcPr>
            <w:tcW w:type="dxa" w:w="1440"/>
          </w:tcPr>
          <w:p>
            <w:pPr>
              <w:spacing w:lineRule="auto" w:line="360"/>
              <w:jc w:val="left"/>
            </w:pPr>
            <w:r>
              <w:rPr>
                <w:rFonts w:ascii="Arial" w:hAnsi="Arial"/>
                <w:sz w:val="20"/>
              </w:rPr>
              <w:t>fragile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+15.108</w:t>
            </w:r>
          </w:p>
        </w:tc>
        <w:tc>
          <w:tcPr>
            <w:tcW w:type="dxa" w:w="1440"/>
          </w:tcPr>
          <w:p>
            <w:pPr>
              <w:spacing w:lineRule="auto" w:line="360"/>
              <w:jc w:val="left"/>
            </w:pPr>
            <w:r>
              <w:rPr>
                <w:rFonts w:ascii="Arial" w:hAnsi="Arial"/>
                <w:sz w:val="20"/>
              </w:rPr>
              <w:t>76.7</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-3.677</w:t>
            </w:r>
          </w:p>
        </w:tc>
        <w:tc>
          <w:tcPr>
            <w:tcW w:type="dxa" w:w="1440"/>
          </w:tcPr>
          <w:p>
            <w:pPr>
              <w:spacing w:lineRule="auto" w:line="360"/>
              <w:jc w:val="left"/>
            </w:pPr>
            <w:r>
              <w:rPr>
                <w:rFonts w:ascii="Arial" w:hAnsi="Arial"/>
                <w:sz w:val="20"/>
              </w:rPr>
              <w:t>54.7</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-0.239</w:t>
            </w:r>
          </w:p>
        </w:tc>
        <w:tc>
          <w:tcPr>
            <w:tcW w:type="dxa" w:w="1440"/>
          </w:tcPr>
          <w:p>
            <w:pPr>
              <w:spacing w:lineRule="auto" w:line="360"/>
              <w:jc w:val="left"/>
            </w:pPr>
            <w:r>
              <w:rPr>
                <w:rFonts w:ascii="Arial" w:hAnsi="Arial"/>
                <w:sz w:val="20"/>
              </w:rPr>
              <w:t>60.2</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276" w:lineRule="auto"/>
        <w:jc w:val="both"/>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Dropped</w:t>
            </w:r>
          </w:p>
        </w:tc>
        <w:tc>
          <w:tcPr>
            <w:tcW w:type="dxa" w:w="864"/>
          </w:tcPr>
          <w:p>
            <w:pPr>
              <w:spacing w:lineRule="auto" w:line="360"/>
              <w:jc w:val="left"/>
            </w:pPr>
            <w:r>
              <w:rPr>
                <w:rFonts w:ascii="Arial" w:hAnsi="Arial"/>
                <w:b/>
                <w:sz w:val="18"/>
              </w:rPr>
              <w:t>Exposure</w:t>
            </w:r>
          </w:p>
        </w:tc>
        <w:tc>
          <w:tcPr>
            <w:tcW w:type="dxa" w:w="864"/>
          </w:tcPr>
          <w:p>
            <w:pPr>
              <w:spacing w:lineRule="auto" w:line="360"/>
              <w:jc w:val="left"/>
            </w:pPr>
            <w:r>
              <w:rPr>
                <w:rFonts w:ascii="Arial" w:hAnsi="Arial"/>
                <w:b/>
                <w:sz w:val="18"/>
              </w:rPr>
              <w:t>τ̂ LOO</w:t>
            </w:r>
          </w:p>
        </w:tc>
        <w:tc>
          <w:tcPr>
            <w:tcW w:type="dxa" w:w="864"/>
          </w:tcPr>
          <w:p>
            <w:pPr>
              <w:spacing w:lineRule="auto" w:line="360"/>
              <w:jc w:val="left"/>
            </w:pPr>
            <w:r>
              <w:rPr>
                <w:rFonts w:ascii="Arial" w:hAnsi="Arial"/>
                <w:b/>
                <w:sz w:val="18"/>
              </w:rPr>
              <w:t>SE</w:t>
            </w:r>
          </w:p>
        </w:tc>
        <w:tc>
          <w:tcPr>
            <w:tcW w:type="dxa" w:w="864"/>
          </w:tcPr>
          <w:p>
            <w:pPr>
              <w:spacing w:lineRule="auto" w:line="360"/>
              <w:jc w:val="left"/>
            </w:pPr>
            <w:r>
              <w:rPr>
                <w:rFonts w:ascii="Arial" w:hAnsi="Arial"/>
                <w:b/>
                <w:sz w:val="18"/>
              </w:rPr>
              <w:t>p</w:t>
            </w:r>
          </w:p>
        </w:tc>
        <w:tc>
          <w:tcPr>
            <w:tcW w:type="dxa" w:w="864"/>
          </w:tcPr>
          <w:p>
            <w:pPr>
              <w:spacing w:lineRule="auto" w:line="360"/>
              <w:jc w:val="left"/>
            </w:pPr>
            <w:r>
              <w:rPr>
                <w:rFonts w:ascii="Arial" w:hAnsi="Arial"/>
                <w:b/>
                <w:sz w:val="18"/>
              </w:rPr>
              <w:t>CI₂.₅</w:t>
            </w:r>
          </w:p>
        </w:tc>
        <w:tc>
          <w:tcPr>
            <w:tcW w:type="dxa" w:w="864"/>
          </w:tcPr>
          <w:p>
            <w:pPr>
              <w:spacing w:lineRule="auto" w:line="360"/>
              <w:jc w:val="left"/>
            </w:pPr>
            <w:r>
              <w:rPr>
                <w:rFonts w:ascii="Arial" w:hAnsi="Arial"/>
                <w:b/>
                <w:sz w:val="18"/>
              </w:rPr>
              <w:t>CI₉₇.₅</w:t>
            </w:r>
          </w:p>
        </w:tc>
        <w:tc>
          <w:tcPr>
            <w:tcW w:type="dxa" w:w="864"/>
          </w:tcPr>
          <w:p>
            <w:pPr>
              <w:spacing w:lineRule="auto" w:line="360"/>
              <w:jc w:val="left"/>
            </w:pPr>
            <w:r>
              <w:rPr>
                <w:rFonts w:ascii="Arial" w:hAnsi="Arial"/>
                <w:b/>
                <w:sz w:val="18"/>
              </w:rPr>
              <w:t>Δ (%)</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+21.733</w:t>
            </w:r>
          </w:p>
        </w:tc>
        <w:tc>
          <w:tcPr>
            <w:tcW w:type="dxa" w:w="864"/>
          </w:tcPr>
          <w:p>
            <w:pPr>
              <w:spacing w:lineRule="auto" w:line="360"/>
              <w:jc w:val="left"/>
            </w:pPr>
            <w:r>
              <w:rPr>
                <w:rFonts w:ascii="Arial" w:hAnsi="Arial"/>
                <w:sz w:val="18"/>
              </w:rPr>
              <w:t>16.548</w:t>
            </w:r>
          </w:p>
        </w:tc>
        <w:tc>
          <w:tcPr>
            <w:tcW w:type="dxa" w:w="864"/>
          </w:tcPr>
          <w:p>
            <w:pPr>
              <w:spacing w:lineRule="auto" w:line="360"/>
              <w:jc w:val="left"/>
            </w:pPr>
            <w:r>
              <w:rPr>
                <w:rFonts w:ascii="Arial" w:hAnsi="Arial"/>
                <w:sz w:val="18"/>
              </w:rPr>
              <w:t>0.189</w:t>
            </w:r>
          </w:p>
        </w:tc>
        <w:tc>
          <w:tcPr>
            <w:tcW w:type="dxa" w:w="864"/>
          </w:tcPr>
          <w:p>
            <w:pPr>
              <w:spacing w:lineRule="auto" w:line="360"/>
              <w:jc w:val="left"/>
            </w:pPr>
            <w:r>
              <w:rPr>
                <w:rFonts w:ascii="Arial" w:hAnsi="Arial"/>
                <w:sz w:val="18"/>
              </w:rPr>
              <w:t>-10.701</w:t>
            </w:r>
          </w:p>
        </w:tc>
        <w:tc>
          <w:tcPr>
            <w:tcW w:type="dxa" w:w="864"/>
          </w:tcPr>
          <w:p>
            <w:pPr>
              <w:spacing w:lineRule="auto" w:line="360"/>
              <w:jc w:val="left"/>
            </w:pPr>
            <w:r>
              <w:rPr>
                <w:rFonts w:ascii="Arial" w:hAnsi="Arial"/>
                <w:sz w:val="18"/>
              </w:rPr>
              <w:t>54.167</w:t>
            </w:r>
          </w:p>
        </w:tc>
        <w:tc>
          <w:tcPr>
            <w:tcW w:type="dxa" w:w="864"/>
          </w:tcPr>
          <w:p>
            <w:pPr>
              <w:spacing w:lineRule="auto" w:line="360"/>
              <w:jc w:val="left"/>
            </w:pPr>
            <w:r>
              <w:rPr>
                <w:rFonts w:ascii="Arial" w:hAnsi="Arial"/>
                <w:sz w:val="18"/>
              </w:rPr>
              <w:t>42.200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+10.256</w:t>
            </w:r>
          </w:p>
        </w:tc>
        <w:tc>
          <w:tcPr>
            <w:tcW w:type="dxa" w:w="864"/>
          </w:tcPr>
          <w:p>
            <w:pPr>
              <w:spacing w:lineRule="auto" w:line="360"/>
              <w:jc w:val="left"/>
            </w:pPr>
            <w:r>
              <w:rPr>
                <w:rFonts w:ascii="Arial" w:hAnsi="Arial"/>
                <w:sz w:val="18"/>
              </w:rPr>
              <w:t>20.342</w:t>
            </w:r>
          </w:p>
        </w:tc>
        <w:tc>
          <w:tcPr>
            <w:tcW w:type="dxa" w:w="864"/>
          </w:tcPr>
          <w:p>
            <w:pPr>
              <w:spacing w:lineRule="auto" w:line="360"/>
              <w:jc w:val="left"/>
            </w:pPr>
            <w:r>
              <w:rPr>
                <w:rFonts w:ascii="Arial" w:hAnsi="Arial"/>
                <w:sz w:val="18"/>
              </w:rPr>
              <w:t>0.614</w:t>
            </w:r>
          </w:p>
        </w:tc>
        <w:tc>
          <w:tcPr>
            <w:tcW w:type="dxa" w:w="864"/>
          </w:tcPr>
          <w:p>
            <w:pPr>
              <w:spacing w:lineRule="auto" w:line="360"/>
              <w:jc w:val="left"/>
            </w:pPr>
            <w:r>
              <w:rPr>
                <w:rFonts w:ascii="Arial" w:hAnsi="Arial"/>
                <w:sz w:val="18"/>
              </w:rPr>
              <w:t>-29.613</w:t>
            </w:r>
          </w:p>
        </w:tc>
        <w:tc>
          <w:tcPr>
            <w:tcW w:type="dxa" w:w="864"/>
          </w:tcPr>
          <w:p>
            <w:pPr>
              <w:spacing w:lineRule="auto" w:line="360"/>
              <w:jc w:val="left"/>
            </w:pPr>
            <w:r>
              <w:rPr>
                <w:rFonts w:ascii="Arial" w:hAnsi="Arial"/>
                <w:sz w:val="18"/>
              </w:rPr>
              <w:t>50.124</w:t>
            </w:r>
          </w:p>
        </w:tc>
        <w:tc>
          <w:tcPr>
            <w:tcW w:type="dxa" w:w="864"/>
          </w:tcPr>
          <w:p>
            <w:pPr>
              <w:spacing w:lineRule="auto" w:line="360"/>
              <w:jc w:val="left"/>
            </w:pPr>
            <w:r>
              <w:rPr>
                <w:rFonts w:ascii="Arial" w:hAnsi="Arial"/>
                <w:sz w:val="18"/>
              </w:rPr>
              <w:t>-32.900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+3.656</w:t>
            </w:r>
          </w:p>
        </w:tc>
        <w:tc>
          <w:tcPr>
            <w:tcW w:type="dxa" w:w="864"/>
          </w:tcPr>
          <w:p>
            <w:pPr>
              <w:spacing w:lineRule="auto" w:line="360"/>
              <w:jc w:val="left"/>
            </w:pPr>
            <w:r>
              <w:rPr>
                <w:rFonts w:ascii="Arial" w:hAnsi="Arial"/>
                <w:sz w:val="18"/>
              </w:rPr>
              <w:t>14.092</w:t>
            </w:r>
          </w:p>
        </w:tc>
        <w:tc>
          <w:tcPr>
            <w:tcW w:type="dxa" w:w="864"/>
          </w:tcPr>
          <w:p>
            <w:pPr>
              <w:spacing w:lineRule="auto" w:line="360"/>
              <w:jc w:val="left"/>
            </w:pPr>
            <w:r>
              <w:rPr>
                <w:rFonts w:ascii="Arial" w:hAnsi="Arial"/>
                <w:sz w:val="18"/>
              </w:rPr>
              <w:t>0.795</w:t>
            </w:r>
          </w:p>
        </w:tc>
        <w:tc>
          <w:tcPr>
            <w:tcW w:type="dxa" w:w="864"/>
          </w:tcPr>
          <w:p>
            <w:pPr>
              <w:spacing w:lineRule="auto" w:line="360"/>
              <w:jc w:val="left"/>
            </w:pPr>
            <w:r>
              <w:rPr>
                <w:rFonts w:ascii="Arial" w:hAnsi="Arial"/>
                <w:sz w:val="18"/>
              </w:rPr>
              <w:t>-23.964</w:t>
            </w:r>
          </w:p>
        </w:tc>
        <w:tc>
          <w:tcPr>
            <w:tcW w:type="dxa" w:w="864"/>
          </w:tcPr>
          <w:p>
            <w:pPr>
              <w:spacing w:lineRule="auto" w:line="360"/>
              <w:jc w:val="left"/>
            </w:pPr>
            <w:r>
              <w:rPr>
                <w:rFonts w:ascii="Arial" w:hAnsi="Arial"/>
                <w:sz w:val="18"/>
              </w:rPr>
              <w:t>31.275</w:t>
            </w:r>
          </w:p>
        </w:tc>
        <w:tc>
          <w:tcPr>
            <w:tcW w:type="dxa" w:w="864"/>
          </w:tcPr>
          <w:p>
            <w:pPr>
              <w:spacing w:lineRule="auto" w:line="360"/>
              <w:jc w:val="left"/>
            </w:pPr>
            <w:r>
              <w:rPr>
                <w:rFonts w:ascii="Arial" w:hAnsi="Arial"/>
                <w:sz w:val="18"/>
              </w:rPr>
              <w:t>-76.100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+10.567</w:t>
            </w:r>
          </w:p>
        </w:tc>
        <w:tc>
          <w:tcPr>
            <w:tcW w:type="dxa" w:w="864"/>
          </w:tcPr>
          <w:p>
            <w:pPr>
              <w:spacing w:lineRule="auto" w:line="360"/>
              <w:jc w:val="left"/>
            </w:pPr>
            <w:r>
              <w:rPr>
                <w:rFonts w:ascii="Arial" w:hAnsi="Arial"/>
                <w:sz w:val="18"/>
              </w:rPr>
              <w:t>17.860</w:t>
            </w:r>
          </w:p>
        </w:tc>
        <w:tc>
          <w:tcPr>
            <w:tcW w:type="dxa" w:w="864"/>
          </w:tcPr>
          <w:p>
            <w:pPr>
              <w:spacing w:lineRule="auto" w:line="360"/>
              <w:jc w:val="left"/>
            </w:pPr>
            <w:r>
              <w:rPr>
                <w:rFonts w:ascii="Arial" w:hAnsi="Arial"/>
                <w:sz w:val="18"/>
              </w:rPr>
              <w:t>0.554</w:t>
            </w:r>
          </w:p>
        </w:tc>
        <w:tc>
          <w:tcPr>
            <w:tcW w:type="dxa" w:w="864"/>
          </w:tcPr>
          <w:p>
            <w:pPr>
              <w:spacing w:lineRule="auto" w:line="360"/>
              <w:jc w:val="left"/>
            </w:pPr>
            <w:r>
              <w:rPr>
                <w:rFonts w:ascii="Arial" w:hAnsi="Arial"/>
                <w:sz w:val="18"/>
              </w:rPr>
              <w:t>-24.439</w:t>
            </w:r>
          </w:p>
        </w:tc>
        <w:tc>
          <w:tcPr>
            <w:tcW w:type="dxa" w:w="864"/>
          </w:tcPr>
          <w:p>
            <w:pPr>
              <w:spacing w:lineRule="auto" w:line="360"/>
              <w:jc w:val="left"/>
            </w:pPr>
            <w:r>
              <w:rPr>
                <w:rFonts w:ascii="Arial" w:hAnsi="Arial"/>
                <w:sz w:val="18"/>
              </w:rPr>
              <w:t>45.572</w:t>
            </w:r>
          </w:p>
        </w:tc>
        <w:tc>
          <w:tcPr>
            <w:tcW w:type="dxa" w:w="864"/>
          </w:tcPr>
          <w:p>
            <w:pPr>
              <w:spacing w:lineRule="auto" w:line="360"/>
              <w:jc w:val="left"/>
            </w:pPr>
            <w:r>
              <w:rPr>
                <w:rFonts w:ascii="Arial" w:hAnsi="Arial"/>
                <w:sz w:val="18"/>
              </w:rPr>
              <w:t>-30.900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+13.567</w:t>
            </w:r>
          </w:p>
        </w:tc>
        <w:tc>
          <w:tcPr>
            <w:tcW w:type="dxa" w:w="864"/>
          </w:tcPr>
          <w:p>
            <w:pPr>
              <w:spacing w:lineRule="auto" w:line="360"/>
              <w:jc w:val="left"/>
            </w:pPr>
            <w:r>
              <w:rPr>
                <w:rFonts w:ascii="Arial" w:hAnsi="Arial"/>
                <w:sz w:val="18"/>
              </w:rPr>
              <w:t>19.089</w:t>
            </w:r>
          </w:p>
        </w:tc>
        <w:tc>
          <w:tcPr>
            <w:tcW w:type="dxa" w:w="864"/>
          </w:tcPr>
          <w:p>
            <w:pPr>
              <w:spacing w:lineRule="auto" w:line="360"/>
              <w:jc w:val="left"/>
            </w:pPr>
            <w:r>
              <w:rPr>
                <w:rFonts w:ascii="Arial" w:hAnsi="Arial"/>
                <w:sz w:val="18"/>
              </w:rPr>
              <w:t>0.477</w:t>
            </w:r>
          </w:p>
        </w:tc>
        <w:tc>
          <w:tcPr>
            <w:tcW w:type="dxa" w:w="864"/>
          </w:tcPr>
          <w:p>
            <w:pPr>
              <w:spacing w:lineRule="auto" w:line="360"/>
              <w:jc w:val="left"/>
            </w:pPr>
            <w:r>
              <w:rPr>
                <w:rFonts w:ascii="Arial" w:hAnsi="Arial"/>
                <w:sz w:val="18"/>
              </w:rPr>
              <w:t>-23.846</w:t>
            </w:r>
          </w:p>
        </w:tc>
        <w:tc>
          <w:tcPr>
            <w:tcW w:type="dxa" w:w="864"/>
          </w:tcPr>
          <w:p>
            <w:pPr>
              <w:spacing w:lineRule="auto" w:line="360"/>
              <w:jc w:val="left"/>
            </w:pPr>
            <w:r>
              <w:rPr>
                <w:rFonts w:ascii="Arial" w:hAnsi="Arial"/>
                <w:sz w:val="18"/>
              </w:rPr>
              <w:t>50.980</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+17.906</w:t>
            </w:r>
          </w:p>
        </w:tc>
        <w:tc>
          <w:tcPr>
            <w:tcW w:type="dxa" w:w="864"/>
          </w:tcPr>
          <w:p>
            <w:pPr>
              <w:spacing w:lineRule="auto" w:line="360"/>
              <w:jc w:val="left"/>
            </w:pPr>
            <w:r>
              <w:rPr>
                <w:rFonts w:ascii="Arial" w:hAnsi="Arial"/>
                <w:sz w:val="18"/>
              </w:rPr>
              <w:t>21.212</w:t>
            </w:r>
          </w:p>
        </w:tc>
        <w:tc>
          <w:tcPr>
            <w:tcW w:type="dxa" w:w="864"/>
          </w:tcPr>
          <w:p>
            <w:pPr>
              <w:spacing w:lineRule="auto" w:line="360"/>
              <w:jc w:val="left"/>
            </w:pPr>
            <w:r>
              <w:rPr>
                <w:rFonts w:ascii="Arial" w:hAnsi="Arial"/>
                <w:sz w:val="18"/>
              </w:rPr>
              <w:t>0.399</w:t>
            </w:r>
          </w:p>
        </w:tc>
        <w:tc>
          <w:tcPr>
            <w:tcW w:type="dxa" w:w="864"/>
          </w:tcPr>
          <w:p>
            <w:pPr>
              <w:spacing w:lineRule="auto" w:line="360"/>
              <w:jc w:val="left"/>
            </w:pPr>
            <w:r>
              <w:rPr>
                <w:rFonts w:ascii="Arial" w:hAnsi="Arial"/>
                <w:sz w:val="18"/>
              </w:rPr>
              <w:t>-23.669</w:t>
            </w:r>
          </w:p>
        </w:tc>
        <w:tc>
          <w:tcPr>
            <w:tcW w:type="dxa" w:w="864"/>
          </w:tcPr>
          <w:p>
            <w:pPr>
              <w:spacing w:lineRule="auto" w:line="360"/>
              <w:jc w:val="left"/>
            </w:pPr>
            <w:r>
              <w:rPr>
                <w:rFonts w:ascii="Arial" w:hAnsi="Arial"/>
                <w:sz w:val="18"/>
              </w:rPr>
              <w:t>59.480</w:t>
            </w:r>
          </w:p>
        </w:tc>
        <w:tc>
          <w:tcPr>
            <w:tcW w:type="dxa" w:w="864"/>
          </w:tcPr>
          <w:p>
            <w:pPr>
              <w:spacing w:lineRule="auto" w:line="360"/>
              <w:jc w:val="left"/>
            </w:pPr>
            <w:r>
              <w:rPr>
                <w:rFonts w:ascii="Arial" w:hAnsi="Arial"/>
                <w:sz w:val="18"/>
              </w:rPr>
              <w:t>17.100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+22.039</w:t>
            </w:r>
          </w:p>
        </w:tc>
        <w:tc>
          <w:tcPr>
            <w:tcW w:type="dxa" w:w="864"/>
          </w:tcPr>
          <w:p>
            <w:pPr>
              <w:spacing w:lineRule="auto" w:line="360"/>
              <w:jc w:val="left"/>
            </w:pPr>
            <w:r>
              <w:rPr>
                <w:rFonts w:ascii="Arial" w:hAnsi="Arial"/>
                <w:sz w:val="18"/>
              </w:rPr>
              <w:t>19.344</w:t>
            </w:r>
          </w:p>
        </w:tc>
        <w:tc>
          <w:tcPr>
            <w:tcW w:type="dxa" w:w="864"/>
          </w:tcPr>
          <w:p>
            <w:pPr>
              <w:spacing w:lineRule="auto" w:line="360"/>
              <w:jc w:val="left"/>
            </w:pPr>
            <w:r>
              <w:rPr>
                <w:rFonts w:ascii="Arial" w:hAnsi="Arial"/>
                <w:sz w:val="18"/>
              </w:rPr>
              <w:t>0.255</w:t>
            </w:r>
          </w:p>
        </w:tc>
        <w:tc>
          <w:tcPr>
            <w:tcW w:type="dxa" w:w="864"/>
          </w:tcPr>
          <w:p>
            <w:pPr>
              <w:spacing w:lineRule="auto" w:line="360"/>
              <w:jc w:val="left"/>
            </w:pPr>
            <w:r>
              <w:rPr>
                <w:rFonts w:ascii="Arial" w:hAnsi="Arial"/>
                <w:sz w:val="18"/>
              </w:rPr>
              <w:t>-15.875</w:t>
            </w:r>
          </w:p>
        </w:tc>
        <w:tc>
          <w:tcPr>
            <w:tcW w:type="dxa" w:w="864"/>
          </w:tcPr>
          <w:p>
            <w:pPr>
              <w:spacing w:lineRule="auto" w:line="360"/>
              <w:jc w:val="left"/>
            </w:pPr>
            <w:r>
              <w:rPr>
                <w:rFonts w:ascii="Arial" w:hAnsi="Arial"/>
                <w:sz w:val="18"/>
              </w:rPr>
              <w:t>59.953</w:t>
            </w:r>
          </w:p>
        </w:tc>
        <w:tc>
          <w:tcPr>
            <w:tcW w:type="dxa" w:w="864"/>
          </w:tcPr>
          <w:p>
            <w:pPr>
              <w:spacing w:lineRule="auto" w:line="360"/>
              <w:jc w:val="left"/>
            </w:pPr>
            <w:r>
              <w:rPr>
                <w:rFonts w:ascii="Arial" w:hAnsi="Arial"/>
                <w:sz w:val="18"/>
              </w:rPr>
              <w:t>44.100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+22.589</w:t>
            </w:r>
          </w:p>
        </w:tc>
        <w:tc>
          <w:tcPr>
            <w:tcW w:type="dxa" w:w="864"/>
          </w:tcPr>
          <w:p>
            <w:pPr>
              <w:spacing w:lineRule="auto" w:line="360"/>
              <w:jc w:val="left"/>
            </w:pPr>
            <w:r>
              <w:rPr>
                <w:rFonts w:ascii="Arial" w:hAnsi="Arial"/>
                <w:sz w:val="18"/>
              </w:rPr>
              <w:t>18.950</w:t>
            </w:r>
          </w:p>
        </w:tc>
        <w:tc>
          <w:tcPr>
            <w:tcW w:type="dxa" w:w="864"/>
          </w:tcPr>
          <w:p>
            <w:pPr>
              <w:spacing w:lineRule="auto" w:line="360"/>
              <w:jc w:val="left"/>
            </w:pPr>
            <w:r>
              <w:rPr>
                <w:rFonts w:ascii="Arial" w:hAnsi="Arial"/>
                <w:sz w:val="18"/>
              </w:rPr>
              <w:t>0.233</w:t>
            </w:r>
          </w:p>
        </w:tc>
        <w:tc>
          <w:tcPr>
            <w:tcW w:type="dxa" w:w="864"/>
          </w:tcPr>
          <w:p>
            <w:pPr>
              <w:spacing w:lineRule="auto" w:line="360"/>
              <w:jc w:val="left"/>
            </w:pPr>
            <w:r>
              <w:rPr>
                <w:rFonts w:ascii="Arial" w:hAnsi="Arial"/>
                <w:sz w:val="18"/>
              </w:rPr>
              <w:t>-14.552</w:t>
            </w:r>
          </w:p>
        </w:tc>
        <w:tc>
          <w:tcPr>
            <w:tcW w:type="dxa" w:w="864"/>
          </w:tcPr>
          <w:p>
            <w:pPr>
              <w:spacing w:lineRule="auto" w:line="360"/>
              <w:jc w:val="left"/>
            </w:pPr>
            <w:r>
              <w:rPr>
                <w:rFonts w:ascii="Arial" w:hAnsi="Arial"/>
                <w:sz w:val="18"/>
              </w:rPr>
              <w:t>59.729</w:t>
            </w:r>
          </w:p>
        </w:tc>
        <w:tc>
          <w:tcPr>
            <w:tcW w:type="dxa" w:w="864"/>
          </w:tcPr>
          <w:p>
            <w:pPr>
              <w:spacing w:lineRule="auto" w:line="360"/>
              <w:jc w:val="left"/>
            </w:pPr>
            <w:r>
              <w:rPr>
                <w:rFonts w:ascii="Arial" w:hAnsi="Arial"/>
                <w:sz w:val="18"/>
              </w:rPr>
              <w:t>47.700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-1.933</w:t>
            </w:r>
          </w:p>
        </w:tc>
        <w:tc>
          <w:tcPr>
            <w:tcW w:type="dxa" w:w="864"/>
          </w:tcPr>
          <w:p>
            <w:pPr>
              <w:spacing w:lineRule="auto" w:line="360"/>
              <w:jc w:val="left"/>
            </w:pPr>
            <w:r>
              <w:rPr>
                <w:rFonts w:ascii="Arial" w:hAnsi="Arial"/>
                <w:sz w:val="18"/>
              </w:rPr>
              <w:t>2.418</w:t>
            </w:r>
          </w:p>
        </w:tc>
        <w:tc>
          <w:tcPr>
            <w:tcW w:type="dxa" w:w="864"/>
          </w:tcPr>
          <w:p>
            <w:pPr>
              <w:spacing w:lineRule="auto" w:line="360"/>
              <w:jc w:val="left"/>
            </w:pPr>
            <w:r>
              <w:rPr>
                <w:rFonts w:ascii="Arial" w:hAnsi="Arial"/>
                <w:sz w:val="18"/>
              </w:rPr>
              <w:t>0.424</w:t>
            </w:r>
          </w:p>
        </w:tc>
        <w:tc>
          <w:tcPr>
            <w:tcW w:type="dxa" w:w="864"/>
          </w:tcPr>
          <w:p>
            <w:pPr>
              <w:spacing w:lineRule="auto" w:line="360"/>
              <w:jc w:val="left"/>
            </w:pPr>
            <w:r>
              <w:rPr>
                <w:rFonts w:ascii="Arial" w:hAnsi="Arial"/>
                <w:sz w:val="18"/>
              </w:rPr>
              <w:t>-6.672</w:t>
            </w:r>
          </w:p>
        </w:tc>
        <w:tc>
          <w:tcPr>
            <w:tcW w:type="dxa" w:w="864"/>
          </w:tcPr>
          <w:p>
            <w:pPr>
              <w:spacing w:lineRule="auto" w:line="360"/>
              <w:jc w:val="left"/>
            </w:pPr>
            <w:r>
              <w:rPr>
                <w:rFonts w:ascii="Arial" w:hAnsi="Arial"/>
                <w:sz w:val="18"/>
              </w:rPr>
              <w:t>2.805</w:t>
            </w:r>
          </w:p>
        </w:tc>
        <w:tc>
          <w:tcPr>
            <w:tcW w:type="dxa" w:w="864"/>
          </w:tcPr>
          <w:p>
            <w:pPr>
              <w:spacing w:lineRule="auto" w:line="360"/>
              <w:jc w:val="left"/>
            </w:pPr>
            <w:r>
              <w:rPr>
                <w:rFonts w:ascii="Arial" w:hAnsi="Arial"/>
                <w:sz w:val="18"/>
              </w:rPr>
              <w:t>46.100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-5.587</w:t>
            </w:r>
          </w:p>
        </w:tc>
        <w:tc>
          <w:tcPr>
            <w:tcW w:type="dxa" w:w="864"/>
          </w:tcPr>
          <w:p>
            <w:pPr>
              <w:spacing w:lineRule="auto" w:line="360"/>
              <w:jc w:val="left"/>
            </w:pPr>
            <w:r>
              <w:rPr>
                <w:rFonts w:ascii="Arial" w:hAnsi="Arial"/>
                <w:sz w:val="18"/>
              </w:rPr>
              <w:t>2.119</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-9.741</w:t>
            </w:r>
          </w:p>
        </w:tc>
        <w:tc>
          <w:tcPr>
            <w:tcW w:type="dxa" w:w="864"/>
          </w:tcPr>
          <w:p>
            <w:pPr>
              <w:spacing w:lineRule="auto" w:line="360"/>
              <w:jc w:val="left"/>
            </w:pPr>
            <w:r>
              <w:rPr>
                <w:rFonts w:ascii="Arial" w:hAnsi="Arial"/>
                <w:sz w:val="18"/>
              </w:rPr>
              <w:t>-1.433</w:t>
            </w:r>
          </w:p>
        </w:tc>
        <w:tc>
          <w:tcPr>
            <w:tcW w:type="dxa" w:w="864"/>
          </w:tcPr>
          <w:p>
            <w:pPr>
              <w:spacing w:lineRule="auto" w:line="360"/>
              <w:jc w:val="left"/>
            </w:pPr>
            <w:r>
              <w:rPr>
                <w:rFonts w:ascii="Arial" w:hAnsi="Arial"/>
                <w:sz w:val="18"/>
              </w:rPr>
              <w:t>-55.800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0.198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0.069</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0.822</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0.141</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0.396</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1.000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+21.563</w:t>
            </w:r>
          </w:p>
        </w:tc>
        <w:tc>
          <w:tcPr>
            <w:tcW w:type="dxa" w:w="864"/>
          </w:tcPr>
          <w:p>
            <w:pPr>
              <w:spacing w:lineRule="auto" w:line="360"/>
              <w:jc w:val="left"/>
            </w:pPr>
            <w:r>
              <w:rPr>
                <w:rFonts w:ascii="Arial" w:hAnsi="Arial"/>
                <w:sz w:val="18"/>
              </w:rPr>
              <w:t>16.529</w:t>
            </w:r>
          </w:p>
        </w:tc>
        <w:tc>
          <w:tcPr>
            <w:tcW w:type="dxa" w:w="864"/>
          </w:tcPr>
          <w:p>
            <w:pPr>
              <w:spacing w:lineRule="auto" w:line="360"/>
              <w:jc w:val="left"/>
            </w:pPr>
            <w:r>
              <w:rPr>
                <w:rFonts w:ascii="Arial" w:hAnsi="Arial"/>
                <w:sz w:val="18"/>
              </w:rPr>
              <w:t>0.192</w:t>
            </w:r>
          </w:p>
        </w:tc>
        <w:tc>
          <w:tcPr>
            <w:tcW w:type="dxa" w:w="864"/>
          </w:tcPr>
          <w:p>
            <w:pPr>
              <w:spacing w:lineRule="auto" w:line="360"/>
              <w:jc w:val="left"/>
            </w:pPr>
            <w:r>
              <w:rPr>
                <w:rFonts w:ascii="Arial" w:hAnsi="Arial"/>
                <w:sz w:val="18"/>
              </w:rPr>
              <w:t>-10.834</w:t>
            </w:r>
          </w:p>
        </w:tc>
        <w:tc>
          <w:tcPr>
            <w:tcW w:type="dxa" w:w="864"/>
          </w:tcPr>
          <w:p>
            <w:pPr>
              <w:spacing w:lineRule="auto" w:line="360"/>
              <w:jc w:val="left"/>
            </w:pPr>
            <w:r>
              <w:rPr>
                <w:rFonts w:ascii="Arial" w:hAnsi="Arial"/>
                <w:sz w:val="18"/>
              </w:rPr>
              <w:t>53.959</w:t>
            </w:r>
          </w:p>
        </w:tc>
        <w:tc>
          <w:tcPr>
            <w:tcW w:type="dxa" w:w="864"/>
          </w:tcPr>
          <w:p>
            <w:pPr>
              <w:spacing w:lineRule="auto" w:line="360"/>
              <w:jc w:val="left"/>
            </w:pPr>
            <w:r>
              <w:rPr>
                <w:rFonts w:ascii="Arial" w:hAnsi="Arial"/>
                <w:sz w:val="18"/>
              </w:rPr>
              <w:t>42.700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+10.035</w:t>
            </w:r>
          </w:p>
        </w:tc>
        <w:tc>
          <w:tcPr>
            <w:tcW w:type="dxa" w:w="864"/>
          </w:tcPr>
          <w:p>
            <w:pPr>
              <w:spacing w:lineRule="auto" w:line="360"/>
              <w:jc w:val="left"/>
            </w:pPr>
            <w:r>
              <w:rPr>
                <w:rFonts w:ascii="Arial" w:hAnsi="Arial"/>
                <w:sz w:val="18"/>
              </w:rPr>
              <w:t>20.297</w:t>
            </w:r>
          </w:p>
        </w:tc>
        <w:tc>
          <w:tcPr>
            <w:tcW w:type="dxa" w:w="864"/>
          </w:tcPr>
          <w:p>
            <w:pPr>
              <w:spacing w:lineRule="auto" w:line="360"/>
              <w:jc w:val="left"/>
            </w:pPr>
            <w:r>
              <w:rPr>
                <w:rFonts w:ascii="Arial" w:hAnsi="Arial"/>
                <w:sz w:val="18"/>
              </w:rPr>
              <w:t>0.621</w:t>
            </w:r>
          </w:p>
        </w:tc>
        <w:tc>
          <w:tcPr>
            <w:tcW w:type="dxa" w:w="864"/>
          </w:tcPr>
          <w:p>
            <w:pPr>
              <w:spacing w:lineRule="auto" w:line="360"/>
              <w:jc w:val="left"/>
            </w:pPr>
            <w:r>
              <w:rPr>
                <w:rFonts w:ascii="Arial" w:hAnsi="Arial"/>
                <w:sz w:val="18"/>
              </w:rPr>
              <w:t>-29.747</w:t>
            </w:r>
          </w:p>
        </w:tc>
        <w:tc>
          <w:tcPr>
            <w:tcW w:type="dxa" w:w="864"/>
          </w:tcPr>
          <w:p>
            <w:pPr>
              <w:spacing w:lineRule="auto" w:line="360"/>
              <w:jc w:val="left"/>
            </w:pPr>
            <w:r>
              <w:rPr>
                <w:rFonts w:ascii="Arial" w:hAnsi="Arial"/>
                <w:sz w:val="18"/>
              </w:rPr>
              <w:t>49.816</w:t>
            </w:r>
          </w:p>
        </w:tc>
        <w:tc>
          <w:tcPr>
            <w:tcW w:type="dxa" w:w="864"/>
          </w:tcPr>
          <w:p>
            <w:pPr>
              <w:spacing w:lineRule="auto" w:line="360"/>
              <w:jc w:val="left"/>
            </w:pPr>
            <w:r>
              <w:rPr>
                <w:rFonts w:ascii="Arial" w:hAnsi="Arial"/>
                <w:sz w:val="18"/>
              </w:rPr>
              <w:t>-33.600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+3.518</w:t>
            </w:r>
          </w:p>
        </w:tc>
        <w:tc>
          <w:tcPr>
            <w:tcW w:type="dxa" w:w="864"/>
          </w:tcPr>
          <w:p>
            <w:pPr>
              <w:spacing w:lineRule="auto" w:line="360"/>
              <w:jc w:val="left"/>
            </w:pPr>
            <w:r>
              <w:rPr>
                <w:rFonts w:ascii="Arial" w:hAnsi="Arial"/>
                <w:sz w:val="18"/>
              </w:rPr>
              <w:t>14.126</w:t>
            </w:r>
          </w:p>
        </w:tc>
        <w:tc>
          <w:tcPr>
            <w:tcW w:type="dxa" w:w="864"/>
          </w:tcPr>
          <w:p>
            <w:pPr>
              <w:spacing w:lineRule="auto" w:line="360"/>
              <w:jc w:val="left"/>
            </w:pPr>
            <w:r>
              <w:rPr>
                <w:rFonts w:ascii="Arial" w:hAnsi="Arial"/>
                <w:sz w:val="18"/>
              </w:rPr>
              <w:t>0.803</w:t>
            </w:r>
          </w:p>
        </w:tc>
        <w:tc>
          <w:tcPr>
            <w:tcW w:type="dxa" w:w="864"/>
          </w:tcPr>
          <w:p>
            <w:pPr>
              <w:spacing w:lineRule="auto" w:line="360"/>
              <w:jc w:val="left"/>
            </w:pPr>
            <w:r>
              <w:rPr>
                <w:rFonts w:ascii="Arial" w:hAnsi="Arial"/>
                <w:sz w:val="18"/>
              </w:rPr>
              <w:t>-24.168</w:t>
            </w:r>
          </w:p>
        </w:tc>
        <w:tc>
          <w:tcPr>
            <w:tcW w:type="dxa" w:w="864"/>
          </w:tcPr>
          <w:p>
            <w:pPr>
              <w:spacing w:lineRule="auto" w:line="360"/>
              <w:jc w:val="left"/>
            </w:pPr>
            <w:r>
              <w:rPr>
                <w:rFonts w:ascii="Arial" w:hAnsi="Arial"/>
                <w:sz w:val="18"/>
              </w:rPr>
              <w:t>31.204</w:t>
            </w:r>
          </w:p>
        </w:tc>
        <w:tc>
          <w:tcPr>
            <w:tcW w:type="dxa" w:w="864"/>
          </w:tcPr>
          <w:p>
            <w:pPr>
              <w:spacing w:lineRule="auto" w:line="360"/>
              <w:jc w:val="left"/>
            </w:pPr>
            <w:r>
              <w:rPr>
                <w:rFonts w:ascii="Arial" w:hAnsi="Arial"/>
                <w:sz w:val="18"/>
              </w:rPr>
              <w:t>-76.700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+10.366</w:t>
            </w:r>
          </w:p>
        </w:tc>
        <w:tc>
          <w:tcPr>
            <w:tcW w:type="dxa" w:w="864"/>
          </w:tcPr>
          <w:p>
            <w:pPr>
              <w:spacing w:lineRule="auto" w:line="360"/>
              <w:jc w:val="left"/>
            </w:pPr>
            <w:r>
              <w:rPr>
                <w:rFonts w:ascii="Arial" w:hAnsi="Arial"/>
                <w:sz w:val="18"/>
              </w:rPr>
              <w:t>17.839</w:t>
            </w:r>
          </w:p>
        </w:tc>
        <w:tc>
          <w:tcPr>
            <w:tcW w:type="dxa" w:w="864"/>
          </w:tcPr>
          <w:p>
            <w:pPr>
              <w:spacing w:lineRule="auto" w:line="360"/>
              <w:jc w:val="left"/>
            </w:pPr>
            <w:r>
              <w:rPr>
                <w:rFonts w:ascii="Arial" w:hAnsi="Arial"/>
                <w:sz w:val="18"/>
              </w:rPr>
              <w:t>0.561</w:t>
            </w:r>
          </w:p>
        </w:tc>
        <w:tc>
          <w:tcPr>
            <w:tcW w:type="dxa" w:w="864"/>
          </w:tcPr>
          <w:p>
            <w:pPr>
              <w:spacing w:lineRule="auto" w:line="360"/>
              <w:jc w:val="left"/>
            </w:pPr>
            <w:r>
              <w:rPr>
                <w:rFonts w:ascii="Arial" w:hAnsi="Arial"/>
                <w:sz w:val="18"/>
              </w:rPr>
              <w:t>-24.597</w:t>
            </w:r>
          </w:p>
        </w:tc>
        <w:tc>
          <w:tcPr>
            <w:tcW w:type="dxa" w:w="864"/>
          </w:tcPr>
          <w:p>
            <w:pPr>
              <w:spacing w:lineRule="auto" w:line="360"/>
              <w:jc w:val="left"/>
            </w:pPr>
            <w:r>
              <w:rPr>
                <w:rFonts w:ascii="Arial" w:hAnsi="Arial"/>
                <w:sz w:val="18"/>
              </w:rPr>
              <w:t>45.329</w:t>
            </w:r>
          </w:p>
        </w:tc>
        <w:tc>
          <w:tcPr>
            <w:tcW w:type="dxa" w:w="864"/>
          </w:tcPr>
          <w:p>
            <w:pPr>
              <w:spacing w:lineRule="auto" w:line="360"/>
              <w:jc w:val="left"/>
            </w:pPr>
            <w:r>
              <w:rPr>
                <w:rFonts w:ascii="Arial" w:hAnsi="Arial"/>
                <w:sz w:val="18"/>
              </w:rPr>
              <w:t>-31.400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+13.396</w:t>
            </w:r>
          </w:p>
        </w:tc>
        <w:tc>
          <w:tcPr>
            <w:tcW w:type="dxa" w:w="864"/>
          </w:tcPr>
          <w:p>
            <w:pPr>
              <w:spacing w:lineRule="auto" w:line="360"/>
              <w:jc w:val="left"/>
            </w:pPr>
            <w:r>
              <w:rPr>
                <w:rFonts w:ascii="Arial" w:hAnsi="Arial"/>
                <w:sz w:val="18"/>
              </w:rPr>
              <w:t>19.082</w:t>
            </w:r>
          </w:p>
        </w:tc>
        <w:tc>
          <w:tcPr>
            <w:tcW w:type="dxa" w:w="864"/>
          </w:tcPr>
          <w:p>
            <w:pPr>
              <w:spacing w:lineRule="auto" w:line="360"/>
              <w:jc w:val="left"/>
            </w:pPr>
            <w:r>
              <w:rPr>
                <w:rFonts w:ascii="Arial" w:hAnsi="Arial"/>
                <w:sz w:val="18"/>
              </w:rPr>
              <w:t>0.483</w:t>
            </w:r>
          </w:p>
        </w:tc>
        <w:tc>
          <w:tcPr>
            <w:tcW w:type="dxa" w:w="864"/>
          </w:tcPr>
          <w:p>
            <w:pPr>
              <w:spacing w:lineRule="auto" w:line="360"/>
              <w:jc w:val="left"/>
            </w:pPr>
            <w:r>
              <w:rPr>
                <w:rFonts w:ascii="Arial" w:hAnsi="Arial"/>
                <w:sz w:val="18"/>
              </w:rPr>
              <w:t>-24.004</w:t>
            </w:r>
          </w:p>
        </w:tc>
        <w:tc>
          <w:tcPr>
            <w:tcW w:type="dxa" w:w="864"/>
          </w:tcPr>
          <w:p>
            <w:pPr>
              <w:spacing w:lineRule="auto" w:line="360"/>
              <w:jc w:val="left"/>
            </w:pPr>
            <w:r>
              <w:rPr>
                <w:rFonts w:ascii="Arial" w:hAnsi="Arial"/>
                <w:sz w:val="18"/>
              </w:rPr>
              <w:t>50.796</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+17.739</w:t>
            </w:r>
          </w:p>
        </w:tc>
        <w:tc>
          <w:tcPr>
            <w:tcW w:type="dxa" w:w="864"/>
          </w:tcPr>
          <w:p>
            <w:pPr>
              <w:spacing w:lineRule="auto" w:line="360"/>
              <w:jc w:val="left"/>
            </w:pPr>
            <w:r>
              <w:rPr>
                <w:rFonts w:ascii="Arial" w:hAnsi="Arial"/>
                <w:sz w:val="18"/>
              </w:rPr>
              <w:t>21.185</w:t>
            </w:r>
          </w:p>
        </w:tc>
        <w:tc>
          <w:tcPr>
            <w:tcW w:type="dxa" w:w="864"/>
          </w:tcPr>
          <w:p>
            <w:pPr>
              <w:spacing w:lineRule="auto" w:line="360"/>
              <w:jc w:val="left"/>
            </w:pPr>
            <w:r>
              <w:rPr>
                <w:rFonts w:ascii="Arial" w:hAnsi="Arial"/>
                <w:sz w:val="18"/>
              </w:rPr>
              <w:t>0.402</w:t>
            </w:r>
          </w:p>
        </w:tc>
        <w:tc>
          <w:tcPr>
            <w:tcW w:type="dxa" w:w="864"/>
          </w:tcPr>
          <w:p>
            <w:pPr>
              <w:spacing w:lineRule="auto" w:line="360"/>
              <w:jc w:val="left"/>
            </w:pPr>
            <w:r>
              <w:rPr>
                <w:rFonts w:ascii="Arial" w:hAnsi="Arial"/>
                <w:sz w:val="18"/>
              </w:rPr>
              <w:t>-23.782</w:t>
            </w:r>
          </w:p>
        </w:tc>
        <w:tc>
          <w:tcPr>
            <w:tcW w:type="dxa" w:w="864"/>
          </w:tcPr>
          <w:p>
            <w:pPr>
              <w:spacing w:lineRule="auto" w:line="360"/>
              <w:jc w:val="left"/>
            </w:pPr>
            <w:r>
              <w:rPr>
                <w:rFonts w:ascii="Arial" w:hAnsi="Arial"/>
                <w:sz w:val="18"/>
              </w:rPr>
              <w:t>59.260</w:t>
            </w:r>
          </w:p>
        </w:tc>
        <w:tc>
          <w:tcPr>
            <w:tcW w:type="dxa" w:w="864"/>
          </w:tcPr>
          <w:p>
            <w:pPr>
              <w:spacing w:lineRule="auto" w:line="360"/>
              <w:jc w:val="left"/>
            </w:pPr>
            <w:r>
              <w:rPr>
                <w:rFonts w:ascii="Arial" w:hAnsi="Arial"/>
                <w:sz w:val="18"/>
              </w:rPr>
              <w:t>17.400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+21.857</w:t>
            </w:r>
          </w:p>
        </w:tc>
        <w:tc>
          <w:tcPr>
            <w:tcW w:type="dxa" w:w="864"/>
          </w:tcPr>
          <w:p>
            <w:pPr>
              <w:spacing w:lineRule="auto" w:line="360"/>
              <w:jc w:val="left"/>
            </w:pPr>
            <w:r>
              <w:rPr>
                <w:rFonts w:ascii="Arial" w:hAnsi="Arial"/>
                <w:sz w:val="18"/>
              </w:rPr>
              <w:t>19.319</w:t>
            </w:r>
          </w:p>
        </w:tc>
        <w:tc>
          <w:tcPr>
            <w:tcW w:type="dxa" w:w="864"/>
          </w:tcPr>
          <w:p>
            <w:pPr>
              <w:spacing w:lineRule="auto" w:line="360"/>
              <w:jc w:val="left"/>
            </w:pPr>
            <w:r>
              <w:rPr>
                <w:rFonts w:ascii="Arial" w:hAnsi="Arial"/>
                <w:sz w:val="18"/>
              </w:rPr>
              <w:t>0.258</w:t>
            </w:r>
          </w:p>
        </w:tc>
        <w:tc>
          <w:tcPr>
            <w:tcW w:type="dxa" w:w="864"/>
          </w:tcPr>
          <w:p>
            <w:pPr>
              <w:spacing w:lineRule="auto" w:line="360"/>
              <w:jc w:val="left"/>
            </w:pPr>
            <w:r>
              <w:rPr>
                <w:rFonts w:ascii="Arial" w:hAnsi="Arial"/>
                <w:sz w:val="18"/>
              </w:rPr>
              <w:t>-16.007</w:t>
            </w:r>
          </w:p>
        </w:tc>
        <w:tc>
          <w:tcPr>
            <w:tcW w:type="dxa" w:w="864"/>
          </w:tcPr>
          <w:p>
            <w:pPr>
              <w:spacing w:lineRule="auto" w:line="360"/>
              <w:jc w:val="left"/>
            </w:pPr>
            <w:r>
              <w:rPr>
                <w:rFonts w:ascii="Arial" w:hAnsi="Arial"/>
                <w:sz w:val="18"/>
              </w:rPr>
              <w:t>59.722</w:t>
            </w:r>
          </w:p>
        </w:tc>
        <w:tc>
          <w:tcPr>
            <w:tcW w:type="dxa" w:w="864"/>
          </w:tcPr>
          <w:p>
            <w:pPr>
              <w:spacing w:lineRule="auto" w:line="360"/>
              <w:jc w:val="left"/>
            </w:pPr>
            <w:r>
              <w:rPr>
                <w:rFonts w:ascii="Arial" w:hAnsi="Arial"/>
                <w:sz w:val="18"/>
              </w:rPr>
              <w:t>44.700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+22.392</w:t>
            </w:r>
          </w:p>
        </w:tc>
        <w:tc>
          <w:tcPr>
            <w:tcW w:type="dxa" w:w="864"/>
          </w:tcPr>
          <w:p>
            <w:pPr>
              <w:spacing w:lineRule="auto" w:line="360"/>
              <w:jc w:val="left"/>
            </w:pPr>
            <w:r>
              <w:rPr>
                <w:rFonts w:ascii="Arial" w:hAnsi="Arial"/>
                <w:sz w:val="18"/>
              </w:rPr>
              <w:t>18.935</w:t>
            </w:r>
          </w:p>
        </w:tc>
        <w:tc>
          <w:tcPr>
            <w:tcW w:type="dxa" w:w="864"/>
          </w:tcPr>
          <w:p>
            <w:pPr>
              <w:spacing w:lineRule="auto" w:line="360"/>
              <w:jc w:val="left"/>
            </w:pPr>
            <w:r>
              <w:rPr>
                <w:rFonts w:ascii="Arial" w:hAnsi="Arial"/>
                <w:sz w:val="18"/>
              </w:rPr>
              <w:t>0.237</w:t>
            </w:r>
          </w:p>
        </w:tc>
        <w:tc>
          <w:tcPr>
            <w:tcW w:type="dxa" w:w="864"/>
          </w:tcPr>
          <w:p>
            <w:pPr>
              <w:spacing w:lineRule="auto" w:line="360"/>
              <w:jc w:val="left"/>
            </w:pPr>
            <w:r>
              <w:rPr>
                <w:rFonts w:ascii="Arial" w:hAnsi="Arial"/>
                <w:sz w:val="18"/>
              </w:rPr>
              <w:t>-14.720</w:t>
            </w:r>
          </w:p>
        </w:tc>
        <w:tc>
          <w:tcPr>
            <w:tcW w:type="dxa" w:w="864"/>
          </w:tcPr>
          <w:p>
            <w:pPr>
              <w:spacing w:lineRule="auto" w:line="360"/>
              <w:jc w:val="left"/>
            </w:pPr>
            <w:r>
              <w:rPr>
                <w:rFonts w:ascii="Arial" w:hAnsi="Arial"/>
                <w:sz w:val="18"/>
              </w:rPr>
              <w:t>59.504</w:t>
            </w:r>
          </w:p>
        </w:tc>
        <w:tc>
          <w:tcPr>
            <w:tcW w:type="dxa" w:w="864"/>
          </w:tcPr>
          <w:p>
            <w:pPr>
              <w:spacing w:lineRule="auto" w:line="360"/>
              <w:jc w:val="left"/>
            </w:pPr>
            <w:r>
              <w:rPr>
                <w:rFonts w:ascii="Arial" w:hAnsi="Arial"/>
                <w:sz w:val="18"/>
              </w:rPr>
              <w:t>48.200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-3.593</w:t>
            </w:r>
          </w:p>
        </w:tc>
        <w:tc>
          <w:tcPr>
            <w:tcW w:type="dxa" w:w="864"/>
          </w:tcPr>
          <w:p>
            <w:pPr>
              <w:spacing w:lineRule="auto" w:line="360"/>
              <w:jc w:val="left"/>
            </w:pPr>
            <w:r>
              <w:rPr>
                <w:rFonts w:ascii="Arial" w:hAnsi="Arial"/>
                <w:sz w:val="18"/>
              </w:rPr>
              <w:t>3.362</w:t>
            </w:r>
          </w:p>
        </w:tc>
        <w:tc>
          <w:tcPr>
            <w:tcW w:type="dxa" w:w="864"/>
          </w:tcPr>
          <w:p>
            <w:pPr>
              <w:spacing w:lineRule="auto" w:line="360"/>
              <w:jc w:val="left"/>
            </w:pPr>
            <w:r>
              <w:rPr>
                <w:rFonts w:ascii="Arial" w:hAnsi="Arial"/>
                <w:sz w:val="18"/>
              </w:rPr>
              <w:t>0.285</w:t>
            </w:r>
          </w:p>
        </w:tc>
        <w:tc>
          <w:tcPr>
            <w:tcW w:type="dxa" w:w="864"/>
          </w:tcPr>
          <w:p>
            <w:pPr>
              <w:spacing w:lineRule="auto" w:line="360"/>
              <w:jc w:val="left"/>
            </w:pPr>
            <w:r>
              <w:rPr>
                <w:rFonts w:ascii="Arial" w:hAnsi="Arial"/>
                <w:sz w:val="18"/>
              </w:rPr>
              <w:t>-10.182</w:t>
            </w:r>
          </w:p>
        </w:tc>
        <w:tc>
          <w:tcPr>
            <w:tcW w:type="dxa" w:w="864"/>
          </w:tcPr>
          <w:p>
            <w:pPr>
              <w:spacing w:lineRule="auto" w:line="360"/>
              <w:jc w:val="left"/>
            </w:pPr>
            <w:r>
              <w:rPr>
                <w:rFonts w:ascii="Arial" w:hAnsi="Arial"/>
                <w:sz w:val="18"/>
              </w:rPr>
              <w:t>2.996</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-2.002</w:t>
            </w:r>
          </w:p>
        </w:tc>
        <w:tc>
          <w:tcPr>
            <w:tcW w:type="dxa" w:w="864"/>
          </w:tcPr>
          <w:p>
            <w:pPr>
              <w:spacing w:lineRule="auto" w:line="360"/>
              <w:jc w:val="left"/>
            </w:pPr>
            <w:r>
              <w:rPr>
                <w:rFonts w:ascii="Arial" w:hAnsi="Arial"/>
                <w:sz w:val="18"/>
              </w:rPr>
              <w:t>2.415</w:t>
            </w:r>
          </w:p>
        </w:tc>
        <w:tc>
          <w:tcPr>
            <w:tcW w:type="dxa" w:w="864"/>
          </w:tcPr>
          <w:p>
            <w:pPr>
              <w:spacing w:lineRule="auto" w:line="360"/>
              <w:jc w:val="left"/>
            </w:pPr>
            <w:r>
              <w:rPr>
                <w:rFonts w:ascii="Arial" w:hAnsi="Arial"/>
                <w:sz w:val="18"/>
              </w:rPr>
              <w:t>0.407</w:t>
            </w:r>
          </w:p>
        </w:tc>
        <w:tc>
          <w:tcPr>
            <w:tcW w:type="dxa" w:w="864"/>
          </w:tcPr>
          <w:p>
            <w:pPr>
              <w:spacing w:lineRule="auto" w:line="360"/>
              <w:jc w:val="left"/>
            </w:pPr>
            <w:r>
              <w:rPr>
                <w:rFonts w:ascii="Arial" w:hAnsi="Arial"/>
                <w:sz w:val="18"/>
              </w:rPr>
              <w:t>-6.736</w:t>
            </w:r>
          </w:p>
        </w:tc>
        <w:tc>
          <w:tcPr>
            <w:tcW w:type="dxa" w:w="864"/>
          </w:tcPr>
          <w:p>
            <w:pPr>
              <w:spacing w:lineRule="auto" w:line="360"/>
              <w:jc w:val="left"/>
            </w:pPr>
            <w:r>
              <w:rPr>
                <w:rFonts w:ascii="Arial" w:hAnsi="Arial"/>
                <w:sz w:val="18"/>
              </w:rPr>
              <w:t>2.731</w:t>
            </w:r>
          </w:p>
        </w:tc>
        <w:tc>
          <w:tcPr>
            <w:tcW w:type="dxa" w:w="864"/>
          </w:tcPr>
          <w:p>
            <w:pPr>
              <w:spacing w:lineRule="auto" w:line="360"/>
              <w:jc w:val="left"/>
            </w:pPr>
            <w:r>
              <w:rPr>
                <w:rFonts w:ascii="Arial" w:hAnsi="Arial"/>
                <w:sz w:val="18"/>
              </w:rPr>
              <w:t>45.500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-5.687</w:t>
            </w:r>
          </w:p>
        </w:tc>
        <w:tc>
          <w:tcPr>
            <w:tcW w:type="dxa" w:w="864"/>
          </w:tcPr>
          <w:p>
            <w:pPr>
              <w:spacing w:lineRule="auto" w:line="360"/>
              <w:jc w:val="left"/>
            </w:pPr>
            <w:r>
              <w:rPr>
                <w:rFonts w:ascii="Arial" w:hAnsi="Arial"/>
                <w:sz w:val="18"/>
              </w:rPr>
              <w:t>2.132</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-9.865</w:t>
            </w:r>
          </w:p>
        </w:tc>
        <w:tc>
          <w:tcPr>
            <w:tcW w:type="dxa" w:w="864"/>
          </w:tcPr>
          <w:p>
            <w:pPr>
              <w:spacing w:lineRule="auto" w:line="360"/>
              <w:jc w:val="left"/>
            </w:pPr>
            <w:r>
              <w:rPr>
                <w:rFonts w:ascii="Arial" w:hAnsi="Arial"/>
                <w:sz w:val="18"/>
              </w:rPr>
              <w:t>-1.509</w:t>
            </w:r>
          </w:p>
        </w:tc>
        <w:tc>
          <w:tcPr>
            <w:tcW w:type="dxa" w:w="864"/>
          </w:tcPr>
          <w:p>
            <w:pPr>
              <w:spacing w:lineRule="auto" w:line="360"/>
              <w:jc w:val="left"/>
            </w:pPr>
            <w:r>
              <w:rPr>
                <w:rFonts w:ascii="Arial" w:hAnsi="Arial"/>
                <w:sz w:val="18"/>
              </w:rPr>
              <w:t>-54.700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-4.600</w:t>
            </w:r>
          </w:p>
        </w:tc>
        <w:tc>
          <w:tcPr>
            <w:tcW w:type="dxa" w:w="864"/>
          </w:tcPr>
          <w:p>
            <w:pPr>
              <w:spacing w:lineRule="auto" w:line="360"/>
              <w:jc w:val="left"/>
            </w:pPr>
            <w:r>
              <w:rPr>
                <w:rFonts w:ascii="Arial" w:hAnsi="Arial"/>
                <w:sz w:val="18"/>
              </w:rPr>
              <w:t>3.106</w:t>
            </w:r>
          </w:p>
        </w:tc>
        <w:tc>
          <w:tcPr>
            <w:tcW w:type="dxa" w:w="864"/>
          </w:tcPr>
          <w:p>
            <w:pPr>
              <w:spacing w:lineRule="auto" w:line="360"/>
              <w:jc w:val="left"/>
            </w:pPr>
            <w:r>
              <w:rPr>
                <w:rFonts w:ascii="Arial" w:hAnsi="Arial"/>
                <w:sz w:val="18"/>
              </w:rPr>
              <w:t>0.139</w:t>
            </w:r>
          </w:p>
        </w:tc>
        <w:tc>
          <w:tcPr>
            <w:tcW w:type="dxa" w:w="864"/>
          </w:tcPr>
          <w:p>
            <w:pPr>
              <w:spacing w:lineRule="auto" w:line="360"/>
              <w:jc w:val="left"/>
            </w:pPr>
            <w:r>
              <w:rPr>
                <w:rFonts w:ascii="Arial" w:hAnsi="Arial"/>
                <w:sz w:val="18"/>
              </w:rPr>
              <w:t>-10.688</w:t>
            </w:r>
          </w:p>
        </w:tc>
        <w:tc>
          <w:tcPr>
            <w:tcW w:type="dxa" w:w="864"/>
          </w:tcPr>
          <w:p>
            <w:pPr>
              <w:spacing w:lineRule="auto" w:line="360"/>
              <w:jc w:val="left"/>
            </w:pPr>
            <w:r>
              <w:rPr>
                <w:rFonts w:ascii="Arial" w:hAnsi="Arial"/>
                <w:sz w:val="18"/>
              </w:rPr>
              <w:t>1.488</w:t>
            </w:r>
          </w:p>
        </w:tc>
        <w:tc>
          <w:tcPr>
            <w:tcW w:type="dxa" w:w="864"/>
          </w:tcPr>
          <w:p>
            <w:pPr>
              <w:spacing w:lineRule="auto" w:line="360"/>
              <w:jc w:val="left"/>
            </w:pPr>
            <w:r>
              <w:rPr>
                <w:rFonts w:ascii="Arial" w:hAnsi="Arial"/>
                <w:sz w:val="18"/>
              </w:rPr>
              <w:t>-25.100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-4.607</w:t>
            </w:r>
          </w:p>
        </w:tc>
        <w:tc>
          <w:tcPr>
            <w:tcW w:type="dxa" w:w="864"/>
          </w:tcPr>
          <w:p>
            <w:pPr>
              <w:spacing w:lineRule="auto" w:line="360"/>
              <w:jc w:val="left"/>
            </w:pPr>
            <w:r>
              <w:rPr>
                <w:rFonts w:ascii="Arial" w:hAnsi="Arial"/>
                <w:sz w:val="18"/>
              </w:rPr>
              <w:t>3.102</w:t>
            </w:r>
          </w:p>
        </w:tc>
        <w:tc>
          <w:tcPr>
            <w:tcW w:type="dxa" w:w="864"/>
          </w:tcPr>
          <w:p>
            <w:pPr>
              <w:spacing w:lineRule="auto" w:line="360"/>
              <w:jc w:val="left"/>
            </w:pPr>
            <w:r>
              <w:rPr>
                <w:rFonts w:ascii="Arial" w:hAnsi="Arial"/>
                <w:sz w:val="18"/>
              </w:rPr>
              <w:t>0.138</w:t>
            </w:r>
          </w:p>
        </w:tc>
        <w:tc>
          <w:tcPr>
            <w:tcW w:type="dxa" w:w="864"/>
          </w:tcPr>
          <w:p>
            <w:pPr>
              <w:spacing w:lineRule="auto" w:line="360"/>
              <w:jc w:val="left"/>
            </w:pPr>
            <w:r>
              <w:rPr>
                <w:rFonts w:ascii="Arial" w:hAnsi="Arial"/>
                <w:sz w:val="18"/>
              </w:rPr>
              <w:t>-10.687</w:t>
            </w:r>
          </w:p>
        </w:tc>
        <w:tc>
          <w:tcPr>
            <w:tcW w:type="dxa" w:w="864"/>
          </w:tcPr>
          <w:p>
            <w:pPr>
              <w:spacing w:lineRule="auto" w:line="360"/>
              <w:jc w:val="left"/>
            </w:pPr>
            <w:r>
              <w:rPr>
                <w:rFonts w:ascii="Arial" w:hAnsi="Arial"/>
                <w:sz w:val="18"/>
              </w:rPr>
              <w:t>1.473</w:t>
            </w:r>
          </w:p>
        </w:tc>
        <w:tc>
          <w:tcPr>
            <w:tcW w:type="dxa" w:w="864"/>
          </w:tcPr>
          <w:p>
            <w:pPr>
              <w:spacing w:lineRule="auto" w:line="360"/>
              <w:jc w:val="left"/>
            </w:pPr>
            <w:r>
              <w:rPr>
                <w:rFonts w:ascii="Arial" w:hAnsi="Arial"/>
                <w:sz w:val="18"/>
              </w:rPr>
              <w:t>-25.300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-3.581</w:t>
            </w:r>
          </w:p>
        </w:tc>
        <w:tc>
          <w:tcPr>
            <w:tcW w:type="dxa" w:w="864"/>
          </w:tcPr>
          <w:p>
            <w:pPr>
              <w:spacing w:lineRule="auto" w:line="360"/>
              <w:jc w:val="left"/>
            </w:pPr>
            <w:r>
              <w:rPr>
                <w:rFonts w:ascii="Arial" w:hAnsi="Arial"/>
                <w:sz w:val="18"/>
              </w:rPr>
              <w:t>3.361</w:t>
            </w:r>
          </w:p>
        </w:tc>
        <w:tc>
          <w:tcPr>
            <w:tcW w:type="dxa" w:w="864"/>
          </w:tcPr>
          <w:p>
            <w:pPr>
              <w:spacing w:lineRule="auto" w:line="360"/>
              <w:jc w:val="left"/>
            </w:pPr>
            <w:r>
              <w:rPr>
                <w:rFonts w:ascii="Arial" w:hAnsi="Arial"/>
                <w:sz w:val="18"/>
              </w:rPr>
              <w:t>0.287</w:t>
            </w:r>
          </w:p>
        </w:tc>
        <w:tc>
          <w:tcPr>
            <w:tcW w:type="dxa" w:w="864"/>
          </w:tcPr>
          <w:p>
            <w:pPr>
              <w:spacing w:lineRule="auto" w:line="360"/>
              <w:jc w:val="left"/>
            </w:pPr>
            <w:r>
              <w:rPr>
                <w:rFonts w:ascii="Arial" w:hAnsi="Arial"/>
                <w:sz w:val="18"/>
              </w:rPr>
              <w:t>-10.168</w:t>
            </w:r>
          </w:p>
        </w:tc>
        <w:tc>
          <w:tcPr>
            <w:tcW w:type="dxa" w:w="864"/>
          </w:tcPr>
          <w:p>
            <w:pPr>
              <w:spacing w:lineRule="auto" w:line="360"/>
              <w:jc w:val="left"/>
            </w:pPr>
            <w:r>
              <w:rPr>
                <w:rFonts w:ascii="Arial" w:hAnsi="Arial"/>
                <w:sz w:val="18"/>
              </w:rPr>
              <w:t>3.007</w:t>
            </w:r>
          </w:p>
        </w:tc>
        <w:tc>
          <w:tcPr>
            <w:tcW w:type="dxa" w:w="864"/>
          </w:tcPr>
          <w:p>
            <w:pPr>
              <w:spacing w:lineRule="auto" w:line="360"/>
              <w:jc w:val="left"/>
            </w:pPr>
            <w:r>
              <w:rPr>
                <w:rFonts w:ascii="Arial" w:hAnsi="Arial"/>
                <w:sz w:val="18"/>
              </w:rPr>
              <w:t>2.600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-0.205</w:t>
            </w:r>
          </w:p>
        </w:tc>
        <w:tc>
          <w:tcPr>
            <w:tcW w:type="dxa" w:w="864"/>
          </w:tcPr>
          <w:p>
            <w:pPr>
              <w:spacing w:lineRule="auto" w:line="360"/>
              <w:jc w:val="left"/>
            </w:pPr>
            <w:r>
              <w:rPr>
                <w:rFonts w:ascii="Arial" w:hAnsi="Arial"/>
                <w:sz w:val="18"/>
              </w:rPr>
              <w:t>0.157</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-0.511</w:t>
            </w:r>
          </w:p>
        </w:tc>
        <w:tc>
          <w:tcPr>
            <w:tcW w:type="dxa" w:w="864"/>
          </w:tcPr>
          <w:p>
            <w:pPr>
              <w:spacing w:lineRule="auto" w:line="360"/>
              <w:jc w:val="left"/>
            </w:pPr>
            <w:r>
              <w:rPr>
                <w:rFonts w:ascii="Arial" w:hAnsi="Arial"/>
                <w:sz w:val="18"/>
              </w:rPr>
              <w:t>0.102</w:t>
            </w:r>
          </w:p>
        </w:tc>
        <w:tc>
          <w:tcPr>
            <w:tcW w:type="dxa" w:w="864"/>
          </w:tcPr>
          <w:p>
            <w:pPr>
              <w:spacing w:lineRule="auto" w:line="360"/>
              <w:jc w:val="left"/>
            </w:pPr>
            <w:r>
              <w:rPr>
                <w:rFonts w:ascii="Arial" w:hAnsi="Arial"/>
                <w:sz w:val="18"/>
              </w:rPr>
              <w:t>14.200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-0.326</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0.097</w:t>
            </w:r>
          </w:p>
        </w:tc>
        <w:tc>
          <w:tcPr>
            <w:tcW w:type="dxa" w:w="864"/>
          </w:tcPr>
          <w:p>
            <w:pPr>
              <w:spacing w:lineRule="auto" w:line="360"/>
              <w:jc w:val="left"/>
            </w:pPr>
            <w:r>
              <w:rPr>
                <w:rFonts w:ascii="Arial" w:hAnsi="Arial"/>
                <w:sz w:val="18"/>
              </w:rPr>
              <w:t>-0.711</w:t>
            </w:r>
          </w:p>
        </w:tc>
        <w:tc>
          <w:tcPr>
            <w:tcW w:type="dxa" w:w="864"/>
          </w:tcPr>
          <w:p>
            <w:pPr>
              <w:spacing w:lineRule="auto" w:line="360"/>
              <w:jc w:val="left"/>
            </w:pPr>
            <w:r>
              <w:rPr>
                <w:rFonts w:ascii="Arial" w:hAnsi="Arial"/>
                <w:sz w:val="18"/>
              </w:rPr>
              <w:t>0.058</w:t>
            </w:r>
          </w:p>
        </w:tc>
        <w:tc>
          <w:tcPr>
            <w:tcW w:type="dxa" w:w="864"/>
          </w:tcPr>
          <w:p>
            <w:pPr>
              <w:spacing w:lineRule="auto" w:line="360"/>
              <w:jc w:val="left"/>
            </w:pPr>
            <w:r>
              <w:rPr>
                <w:rFonts w:ascii="Arial" w:hAnsi="Arial"/>
                <w:sz w:val="18"/>
              </w:rPr>
              <w:t>-36.700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-0.095</w:t>
            </w:r>
          </w:p>
        </w:tc>
        <w:tc>
          <w:tcPr>
            <w:tcW w:type="dxa" w:w="864"/>
          </w:tcPr>
          <w:p>
            <w:pPr>
              <w:spacing w:lineRule="auto" w:line="360"/>
              <w:jc w:val="left"/>
            </w:pPr>
            <w:r>
              <w:rPr>
                <w:rFonts w:ascii="Arial" w:hAnsi="Arial"/>
                <w:sz w:val="18"/>
              </w:rPr>
              <w:t>0.059</w:t>
            </w:r>
          </w:p>
        </w:tc>
        <w:tc>
          <w:tcPr>
            <w:tcW w:type="dxa" w:w="864"/>
          </w:tcPr>
          <w:p>
            <w:pPr>
              <w:spacing w:lineRule="auto" w:line="360"/>
              <w:jc w:val="left"/>
            </w:pPr>
            <w:r>
              <w:rPr>
                <w:rFonts w:ascii="Arial" w:hAnsi="Arial"/>
                <w:sz w:val="18"/>
              </w:rPr>
              <w:t>0.109</w:t>
            </w:r>
          </w:p>
        </w:tc>
        <w:tc>
          <w:tcPr>
            <w:tcW w:type="dxa" w:w="864"/>
          </w:tcPr>
          <w:p>
            <w:pPr>
              <w:spacing w:lineRule="auto" w:line="360"/>
              <w:jc w:val="left"/>
            </w:pPr>
            <w:r>
              <w:rPr>
                <w:rFonts w:ascii="Arial" w:hAnsi="Arial"/>
                <w:sz w:val="18"/>
              </w:rPr>
              <w:t>-0.211</w:t>
            </w:r>
          </w:p>
        </w:tc>
        <w:tc>
          <w:tcPr>
            <w:tcW w:type="dxa" w:w="864"/>
          </w:tcPr>
          <w:p>
            <w:pPr>
              <w:spacing w:lineRule="auto" w:line="360"/>
              <w:jc w:val="left"/>
            </w:pPr>
            <w:r>
              <w:rPr>
                <w:rFonts w:ascii="Arial" w:hAnsi="Arial"/>
                <w:sz w:val="18"/>
              </w:rPr>
              <w:t>0.021</w:t>
            </w:r>
          </w:p>
        </w:tc>
        <w:tc>
          <w:tcPr>
            <w:tcW w:type="dxa" w:w="864"/>
          </w:tcPr>
          <w:p>
            <w:pPr>
              <w:spacing w:lineRule="auto" w:line="360"/>
              <w:jc w:val="left"/>
            </w:pPr>
            <w:r>
              <w:rPr>
                <w:rFonts w:ascii="Arial" w:hAnsi="Arial"/>
                <w:sz w:val="18"/>
              </w:rPr>
              <w:t>60.200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-0.288</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0.131</w:t>
            </w:r>
          </w:p>
        </w:tc>
        <w:tc>
          <w:tcPr>
            <w:tcW w:type="dxa" w:w="864"/>
          </w:tcPr>
          <w:p>
            <w:pPr>
              <w:spacing w:lineRule="auto" w:line="360"/>
              <w:jc w:val="left"/>
            </w:pPr>
            <w:r>
              <w:rPr>
                <w:rFonts w:ascii="Arial" w:hAnsi="Arial"/>
                <w:sz w:val="18"/>
              </w:rPr>
              <w:t>-0.662</w:t>
            </w:r>
          </w:p>
        </w:tc>
        <w:tc>
          <w:tcPr>
            <w:tcW w:type="dxa" w:w="864"/>
          </w:tcPr>
          <w:p>
            <w:pPr>
              <w:spacing w:lineRule="auto" w:line="360"/>
              <w:jc w:val="left"/>
            </w:pPr>
            <w:r>
              <w:rPr>
                <w:rFonts w:ascii="Arial" w:hAnsi="Arial"/>
                <w:sz w:val="18"/>
              </w:rPr>
              <w:t>0.086</w:t>
            </w:r>
          </w:p>
        </w:tc>
        <w:tc>
          <w:tcPr>
            <w:tcW w:type="dxa" w:w="864"/>
          </w:tcPr>
          <w:p>
            <w:pPr>
              <w:spacing w:lineRule="auto" w:line="360"/>
              <w:jc w:val="left"/>
            </w:pPr>
            <w:r>
              <w:rPr>
                <w:rFonts w:ascii="Arial" w:hAnsi="Arial"/>
                <w:sz w:val="18"/>
              </w:rPr>
              <w:t>-20.700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-0.215</w:t>
            </w:r>
          </w:p>
        </w:tc>
        <w:tc>
          <w:tcPr>
            <w:tcW w:type="dxa" w:w="864"/>
          </w:tcPr>
          <w:p>
            <w:pPr>
              <w:spacing w:lineRule="auto" w:line="360"/>
              <w:jc w:val="left"/>
            </w:pPr>
            <w:r>
              <w:rPr>
                <w:rFonts w:ascii="Arial" w:hAnsi="Arial"/>
                <w:sz w:val="18"/>
              </w:rPr>
              <w:t>0.219</w:t>
            </w:r>
          </w:p>
        </w:tc>
        <w:tc>
          <w:tcPr>
            <w:tcW w:type="dxa" w:w="864"/>
          </w:tcPr>
          <w:p>
            <w:pPr>
              <w:spacing w:lineRule="auto" w:line="360"/>
              <w:jc w:val="left"/>
            </w:pPr>
            <w:r>
              <w:rPr>
                <w:rFonts w:ascii="Arial" w:hAnsi="Arial"/>
                <w:sz w:val="18"/>
              </w:rPr>
              <w:t>0.325</w:t>
            </w:r>
          </w:p>
        </w:tc>
        <w:tc>
          <w:tcPr>
            <w:tcW w:type="dxa" w:w="864"/>
          </w:tcPr>
          <w:p>
            <w:pPr>
              <w:spacing w:lineRule="auto" w:line="360"/>
              <w:jc w:val="left"/>
            </w:pPr>
            <w:r>
              <w:rPr>
                <w:rFonts w:ascii="Arial" w:hAnsi="Arial"/>
                <w:sz w:val="18"/>
              </w:rPr>
              <w:t>-0.644</w:t>
            </w:r>
          </w:p>
        </w:tc>
        <w:tc>
          <w:tcPr>
            <w:tcW w:type="dxa" w:w="864"/>
          </w:tcPr>
          <w:p>
            <w:pPr>
              <w:spacing w:lineRule="auto" w:line="360"/>
              <w:jc w:val="left"/>
            </w:pPr>
            <w:r>
              <w:rPr>
                <w:rFonts w:ascii="Arial" w:hAnsi="Arial"/>
                <w:sz w:val="18"/>
              </w:rPr>
              <w:t>0.214</w:t>
            </w:r>
          </w:p>
        </w:tc>
        <w:tc>
          <w:tcPr>
            <w:tcW w:type="dxa" w:w="864"/>
          </w:tcPr>
          <w:p>
            <w:pPr>
              <w:spacing w:lineRule="auto" w:line="360"/>
              <w:jc w:val="left"/>
            </w:pPr>
            <w:r>
              <w:rPr>
                <w:rFonts w:ascii="Arial" w:hAnsi="Arial"/>
                <w:sz w:val="18"/>
              </w:rPr>
              <w:t>9.700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-0.239</w:t>
            </w:r>
          </w:p>
        </w:tc>
        <w:tc>
          <w:tcPr>
            <w:tcW w:type="dxa" w:w="864"/>
          </w:tcPr>
          <w:p>
            <w:pPr>
              <w:spacing w:lineRule="auto" w:line="360"/>
              <w:jc w:val="left"/>
            </w:pPr>
            <w:r>
              <w:rPr>
                <w:rFonts w:ascii="Arial" w:hAnsi="Arial"/>
                <w:sz w:val="18"/>
              </w:rPr>
              <w:t>0.169</w:t>
            </w:r>
          </w:p>
        </w:tc>
        <w:tc>
          <w:tcPr>
            <w:tcW w:type="dxa" w:w="864"/>
          </w:tcPr>
          <w:p>
            <w:pPr>
              <w:spacing w:lineRule="auto" w:line="360"/>
              <w:jc w:val="left"/>
            </w:pPr>
            <w:r>
              <w:rPr>
                <w:rFonts w:ascii="Arial" w:hAnsi="Arial"/>
                <w:sz w:val="18"/>
              </w:rPr>
              <w:t>0.158</w:t>
            </w:r>
          </w:p>
        </w:tc>
        <w:tc>
          <w:tcPr>
            <w:tcW w:type="dxa" w:w="864"/>
          </w:tcPr>
          <w:p>
            <w:pPr>
              <w:spacing w:lineRule="auto" w:line="360"/>
              <w:jc w:val="left"/>
            </w:pPr>
            <w:r>
              <w:rPr>
                <w:rFonts w:ascii="Arial" w:hAnsi="Arial"/>
                <w:sz w:val="18"/>
              </w:rPr>
              <w:t>-0.570</w:t>
            </w:r>
          </w:p>
        </w:tc>
        <w:tc>
          <w:tcPr>
            <w:tcW w:type="dxa" w:w="864"/>
          </w:tcPr>
          <w:p>
            <w:pPr>
              <w:spacing w:lineRule="auto" w:line="360"/>
              <w:jc w:val="left"/>
            </w:pPr>
            <w:r>
              <w:rPr>
                <w:rFonts w:ascii="Arial" w:hAnsi="Arial"/>
                <w:sz w:val="18"/>
              </w:rPr>
              <w:t>0.092</w:t>
            </w:r>
          </w:p>
        </w:tc>
        <w:tc>
          <w:tcPr>
            <w:tcW w:type="dxa" w:w="864"/>
          </w:tcPr>
          <w:p>
            <w:pPr>
              <w:spacing w:lineRule="auto" w:line="360"/>
              <w:jc w:val="left"/>
            </w:pPr>
            <w:r>
              <w:rPr>
                <w:rFonts w:ascii="Arial" w:hAnsi="Arial"/>
                <w:sz w:val="18"/>
              </w:rPr>
              <w:t>0.000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-0.244</w:t>
            </w:r>
          </w:p>
        </w:tc>
        <w:tc>
          <w:tcPr>
            <w:tcW w:type="dxa" w:w="864"/>
          </w:tcPr>
          <w:p>
            <w:pPr>
              <w:spacing w:lineRule="auto" w:line="360"/>
              <w:jc w:val="left"/>
            </w:pPr>
            <w:r>
              <w:rPr>
                <w:rFonts w:ascii="Arial" w:hAnsi="Arial"/>
                <w:sz w:val="18"/>
              </w:rPr>
              <w:t>0.178</w:t>
            </w:r>
          </w:p>
        </w:tc>
        <w:tc>
          <w:tcPr>
            <w:tcW w:type="dxa" w:w="864"/>
          </w:tcPr>
          <w:p>
            <w:pPr>
              <w:spacing w:lineRule="auto" w:line="360"/>
              <w:jc w:val="left"/>
            </w:pPr>
            <w:r>
              <w:rPr>
                <w:rFonts w:ascii="Arial" w:hAnsi="Arial"/>
                <w:sz w:val="18"/>
              </w:rPr>
              <w:t>0.171</w:t>
            </w:r>
          </w:p>
        </w:tc>
        <w:tc>
          <w:tcPr>
            <w:tcW w:type="dxa" w:w="864"/>
          </w:tcPr>
          <w:p>
            <w:pPr>
              <w:spacing w:lineRule="auto" w:line="360"/>
              <w:jc w:val="left"/>
            </w:pPr>
            <w:r>
              <w:rPr>
                <w:rFonts w:ascii="Arial" w:hAnsi="Arial"/>
                <w:sz w:val="18"/>
              </w:rPr>
              <w:t>-0.594</w:t>
            </w:r>
          </w:p>
        </w:tc>
        <w:tc>
          <w:tcPr>
            <w:tcW w:type="dxa" w:w="864"/>
          </w:tcPr>
          <w:p>
            <w:pPr>
              <w:spacing w:lineRule="auto" w:line="360"/>
              <w:jc w:val="left"/>
            </w:pPr>
            <w:r>
              <w:rPr>
                <w:rFonts w:ascii="Arial" w:hAnsi="Arial"/>
                <w:sz w:val="18"/>
              </w:rPr>
              <w:t>0.105</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-0.279</w:t>
            </w:r>
          </w:p>
        </w:tc>
        <w:tc>
          <w:tcPr>
            <w:tcW w:type="dxa" w:w="864"/>
          </w:tcPr>
          <w:p>
            <w:pPr>
              <w:spacing w:lineRule="auto" w:line="360"/>
              <w:jc w:val="left"/>
            </w:pPr>
            <w:r>
              <w:rPr>
                <w:rFonts w:ascii="Arial" w:hAnsi="Arial"/>
                <w:sz w:val="18"/>
              </w:rPr>
              <w:t>0.242</w:t>
            </w:r>
          </w:p>
        </w:tc>
        <w:tc>
          <w:tcPr>
            <w:tcW w:type="dxa" w:w="864"/>
          </w:tcPr>
          <w:p>
            <w:pPr>
              <w:spacing w:lineRule="auto" w:line="360"/>
              <w:jc w:val="left"/>
            </w:pPr>
            <w:r>
              <w:rPr>
                <w:rFonts w:ascii="Arial" w:hAnsi="Arial"/>
                <w:sz w:val="18"/>
              </w:rPr>
              <w:t>0.249</w:t>
            </w:r>
          </w:p>
        </w:tc>
        <w:tc>
          <w:tcPr>
            <w:tcW w:type="dxa" w:w="864"/>
          </w:tcPr>
          <w:p>
            <w:pPr>
              <w:spacing w:lineRule="auto" w:line="360"/>
              <w:jc w:val="left"/>
            </w:pPr>
            <w:r>
              <w:rPr>
                <w:rFonts w:ascii="Arial" w:hAnsi="Arial"/>
                <w:sz w:val="18"/>
              </w:rPr>
              <w:t>-0.754</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-17.000</w:t>
            </w:r>
          </w:p>
        </w:tc>
      </w:tr>
    </w:tbl>
    <w:p>
      <w:pPr>
        <w:spacing w:before="0" w:after="120" w:line="276" w:lineRule="auto"/>
      </w:pPr>
      <w:r>
        <w:rPr>
          <w:rFonts w:ascii="Arial" w:hAnsi="Arial"/>
          <w:i/>
          <w:sz w:val="19"/>
          <w:szCs w:val="19"/>
          <w:color w:val="595959"/>
        </w:rPr>
        <w:t xml:space="preserve">Abbreviations: EOS = End-Of-Season; LOO = Leave-One-Out; POS = Peak-Of-Season; SOS = Start-Of-Season.</w:t>
      </w:r>
    </w:p>
    <w:p>
      <w:pPr>
        <w:spacing w:lineRule="auto" w:line="480"/>
        <w:jc w:val="left"/>
      </w:pPr>
    </w:p>
    <w:p>
      <w:pPr>
        <w:spacing w:lineRule="auto" w:line="480"/>
        <w:jc w:val="both"/>
      </w:pPr>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pPr>
        <w:spacing w:lineRule="auto" w:line="480"/>
        <w:jc w:val="left"/>
      </w:pPr>
      <w:r>
        <w:rPr>
          <w:rFonts w:ascii="Arial" w:hAnsi="Arial"/>
          <w:sz w:val="20"/>
        </w:rPr>
        <w:br w:type="page"/>
      </w:r>
    </w:p>
    <w:p>
      <w:pPr>
        <w:keepNext/>
        <w:spacing w:before="240" w:after="120" w:line="276" w:lineRule="auto"/>
        <w:jc w:val="both"/>
      </w:pPr>
      <w:bookmarkStart w:id="37421" w:name="table_s6"/>
      <w:r>
        <w:rPr>
          <w:rFonts w:ascii="Arial" w:hAnsi="Arial"/>
          <w:b/>
          <w:color w:val="1F3A5F"/>
          <w:sz w:val="32"/>
        </w:rPr>
        <w:t>Table S6 — MDE / power</w:t>
      </w:r>
      <w:bookmarkEnd w:id="37421"/>
    </w:p>
    <w:p>
      <w:pPr>
        <w:spacing w:line="276" w:lineRule="auto"/>
        <w:jc w:val="both"/>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18"/>
              </w:rPr>
              <w:t>Pipeline</w:t>
            </w:r>
          </w:p>
        </w:tc>
        <w:tc>
          <w:tcPr>
            <w:tcW w:type="dxa" w:w="1080"/>
          </w:tcPr>
          <w:p>
            <w:pPr>
              <w:spacing w:lineRule="auto" w:line="360"/>
              <w:jc w:val="left"/>
            </w:pPr>
            <w:r>
              <w:rPr>
                <w:rFonts w:ascii="Arial" w:hAnsi="Arial"/>
                <w:b/>
                <w:sz w:val="18"/>
              </w:rPr>
              <w:t>Metric</w:t>
            </w:r>
          </w:p>
        </w:tc>
        <w:tc>
          <w:tcPr>
            <w:tcW w:type="dxa" w:w="1080"/>
          </w:tcPr>
          <w:p>
            <w:pPr>
              <w:spacing w:lineRule="auto" w:line="360"/>
              <w:jc w:val="left"/>
            </w:pPr>
            <w:r>
              <w:rPr>
                <w:rFonts w:ascii="Arial" w:hAnsi="Arial"/>
                <w:b/>
                <w:sz w:val="18"/>
              </w:rPr>
              <w:t>τ̂ (d)</w:t>
            </w:r>
          </w:p>
        </w:tc>
        <w:tc>
          <w:tcPr>
            <w:tcW w:type="dxa" w:w="1080"/>
          </w:tcPr>
          <w:p>
            <w:pPr>
              <w:spacing w:lineRule="auto" w:line="360"/>
              <w:jc w:val="left"/>
            </w:pPr>
            <w:r>
              <w:rPr>
                <w:rFonts w:ascii="Arial" w:hAnsi="Arial"/>
                <w:b/>
                <w:sz w:val="18"/>
              </w:rPr>
              <w:t>SE (d)</w:t>
            </w:r>
          </w:p>
        </w:tc>
        <w:tc>
          <w:tcPr>
            <w:tcW w:type="dxa" w:w="1080"/>
          </w:tcPr>
          <w:p>
            <w:pPr>
              <w:spacing w:lineRule="auto" w:line="360"/>
              <w:jc w:val="left"/>
            </w:pPr>
            <w:r>
              <w:rPr>
                <w:rFonts w:ascii="Arial" w:hAnsi="Arial"/>
                <w:b/>
                <w:sz w:val="18"/>
              </w:rPr>
              <w:t>MDE 2-sided</w:t>
            </w:r>
          </w:p>
        </w:tc>
        <w:tc>
          <w:tcPr>
            <w:tcW w:type="dxa" w:w="1080"/>
          </w:tcPr>
          <w:p>
            <w:pPr>
              <w:spacing w:lineRule="auto" w:line="360"/>
              <w:jc w:val="left"/>
            </w:pPr>
            <w:r>
              <w:rPr>
                <w:rFonts w:ascii="Arial" w:hAnsi="Arial"/>
                <w:b/>
                <w:sz w:val="18"/>
              </w:rPr>
              <w:t>MDE 1-sided</w:t>
            </w:r>
          </w:p>
        </w:tc>
        <w:tc>
          <w:tcPr>
            <w:tcW w:type="dxa" w:w="1080"/>
          </w:tcPr>
          <w:p>
            <w:pPr>
              <w:spacing w:lineRule="auto" w:line="360"/>
              <w:jc w:val="left"/>
            </w:pPr>
            <w:r>
              <w:rPr>
                <w:rFonts w:ascii="Arial" w:hAnsi="Arial"/>
                <w:b/>
                <w:sz w:val="18"/>
              </w:rPr>
              <w:t>|τ̂|/MDE</w:t>
            </w:r>
          </w:p>
        </w:tc>
        <w:tc>
          <w:tcPr>
            <w:tcW w:type="dxa" w:w="1080"/>
          </w:tcPr>
          <w:p>
            <w:pPr>
              <w:spacing w:lineRule="auto" w:line="360"/>
              <w:jc w:val="left"/>
            </w:pPr>
            <w:r>
              <w:rPr>
                <w:rFonts w:ascii="Arial" w:hAnsi="Arial"/>
                <w:b/>
                <w:sz w:val="18"/>
              </w:rPr>
              <w:t>Detectable</w:t>
            </w:r>
          </w:p>
        </w:tc>
      </w:tr>
      <w:tr>
        <w:tc>
          <w:tcPr>
            <w:tcW w:type="dxa" w:w="1080"/>
          </w:tcPr>
          <w:p>
            <w:r>
              <w:t>raw</w:t>
            </w:r>
          </w:p>
        </w:tc>
        <w:tc>
          <w:tcPr>
            <w:tcW w:type="dxa" w:w="1080"/>
          </w:tcPr>
          <w:p>
            <w:r>
              <w:t>SOS</w:t>
            </w:r>
          </w:p>
        </w:tc>
        <w:tc>
          <w:tcPr>
            <w:tcW w:type="dxa" w:w="1080"/>
          </w:tcPr>
          <w:p>
            <w:r>
              <w:t>+15.289</w:t>
            </w:r>
          </w:p>
        </w:tc>
        <w:tc>
          <w:tcPr>
            <w:tcW w:type="dxa" w:w="1080"/>
          </w:tcPr>
          <w:p>
            <w:r>
              <w:t>17.328</w:t>
            </w:r>
          </w:p>
        </w:tc>
        <w:tc>
          <w:tcPr>
            <w:tcW w:type="dxa" w:w="1080"/>
          </w:tcPr>
          <w:p>
            <w:r>
              <w:t>56.501</w:t>
            </w:r>
          </w:p>
        </w:tc>
        <w:tc>
          <w:tcPr>
            <w:tcW w:type="dxa" w:w="1080"/>
          </w:tcPr>
          <w:p>
            <w:r>
              <w:t>48.356</w:t>
            </w:r>
          </w:p>
        </w:tc>
        <w:tc>
          <w:tcPr>
            <w:tcW w:type="dxa" w:w="1080"/>
          </w:tcPr>
          <w:p>
            <w:r>
              <w:t>0.27</w:t>
            </w:r>
          </w:p>
        </w:tc>
        <w:tc>
          <w:tcPr>
            <w:tcW w:type="dxa" w:w="1080"/>
          </w:tcPr>
          <w:p>
            <w:r>
              <w:t>no</w:t>
            </w:r>
          </w:p>
        </w:tc>
      </w:tr>
      <w:tr>
        <w:tc>
          <w:tcPr>
            <w:tcW w:type="dxa" w:w="1080"/>
          </w:tcPr>
          <w:p>
            <w:r>
              <w:t>raw</w:t>
            </w:r>
          </w:p>
        </w:tc>
        <w:tc>
          <w:tcPr>
            <w:tcW w:type="dxa" w:w="1080"/>
          </w:tcPr>
          <w:p>
            <w:r>
              <w:t>POS</w:t>
            </w:r>
          </w:p>
        </w:tc>
        <w:tc>
          <w:tcPr>
            <w:tcW w:type="dxa" w:w="1080"/>
          </w:tcPr>
          <w:p>
            <w:r>
              <w:t>-3.587</w:t>
            </w:r>
          </w:p>
        </w:tc>
        <w:tc>
          <w:tcPr>
            <w:tcW w:type="dxa" w:w="1080"/>
          </w:tcPr>
          <w:p>
            <w:r>
              <w:t>2.882</w:t>
            </w:r>
          </w:p>
        </w:tc>
        <w:tc>
          <w:tcPr>
            <w:tcW w:type="dxa" w:w="1080"/>
          </w:tcPr>
          <w:p>
            <w:r>
              <w:t>9.397</w:t>
            </w:r>
          </w:p>
        </w:tc>
        <w:tc>
          <w:tcPr>
            <w:tcW w:type="dxa" w:w="1080"/>
          </w:tcPr>
          <w:p>
            <w:r>
              <w:t>8.043</w:t>
            </w:r>
          </w:p>
        </w:tc>
        <w:tc>
          <w:tcPr>
            <w:tcW w:type="dxa" w:w="1080"/>
          </w:tcPr>
          <w:p>
            <w:r>
              <w:t>0.38</w:t>
            </w:r>
          </w:p>
        </w:tc>
        <w:tc>
          <w:tcPr>
            <w:tcW w:type="dxa" w:w="1080"/>
          </w:tcPr>
          <w:p>
            <w:r>
              <w:t>no</w:t>
            </w:r>
          </w:p>
        </w:tc>
      </w:tr>
      <w:tr>
        <w:tc>
          <w:tcPr>
            <w:tcW w:type="dxa" w:w="1080"/>
          </w:tcPr>
          <w:p>
            <w:r>
              <w:t>raw</w:t>
            </w:r>
          </w:p>
        </w:tc>
        <w:tc>
          <w:tcPr>
            <w:tcW w:type="dxa" w:w="1080"/>
          </w:tcPr>
          <w:p>
            <w:r>
              <w:t>EOS</w:t>
            </w:r>
          </w:p>
        </w:tc>
        <w:tc>
          <w:tcPr>
            <w:tcW w:type="dxa" w:w="1080"/>
          </w:tcPr>
          <w:p>
            <w:r>
              <w:t>-0.000</w:t>
            </w:r>
          </w:p>
        </w:tc>
        <w:tc>
          <w:tcPr>
            <w:tcW w:type="dxa" w:w="1080"/>
          </w:tcPr>
          <w:p>
            <w:r>
              <w:t>0.000</w:t>
            </w:r>
          </w:p>
        </w:tc>
        <w:tc>
          <w:tcPr>
            <w:tcW w:type="dxa" w:w="1080"/>
          </w:tcPr>
          <w:p>
            <w:r>
              <w:t>0.000</w:t>
            </w:r>
          </w:p>
        </w:tc>
        <w:tc>
          <w:tcPr>
            <w:tcW w:type="dxa" w:w="1080"/>
          </w:tcPr>
          <w:p>
            <w:r>
              <w:t>0.000</w:t>
            </w:r>
          </w:p>
        </w:tc>
        <w:tc>
          <w:tcPr>
            <w:tcW w:type="dxa" w:w="1080"/>
          </w:tcPr>
          <w:p>
            <w:r>
              <w:t>0.00</w:t>
            </w:r>
          </w:p>
        </w:tc>
        <w:tc>
          <w:tcPr>
            <w:tcW w:type="dxa" w:w="1080"/>
          </w:tcPr>
          <w:p>
            <w:r>
              <w:t>no</w:t>
            </w:r>
          </w:p>
        </w:tc>
      </w:tr>
      <w:tr>
        <w:tc>
          <w:tcPr>
            <w:tcW w:type="dxa" w:w="1080"/>
          </w:tcPr>
          <w:p>
            <w:r>
              <w:t>corrected</w:t>
            </w:r>
          </w:p>
        </w:tc>
        <w:tc>
          <w:tcPr>
            <w:tcW w:type="dxa" w:w="1080"/>
          </w:tcPr>
          <w:p>
            <w:r>
              <w:t>SOS</w:t>
            </w:r>
          </w:p>
        </w:tc>
        <w:tc>
          <w:tcPr>
            <w:tcW w:type="dxa" w:w="1080"/>
          </w:tcPr>
          <w:p>
            <w:r>
              <w:t>+15.108</w:t>
            </w:r>
          </w:p>
        </w:tc>
        <w:tc>
          <w:tcPr>
            <w:tcW w:type="dxa" w:w="1080"/>
          </w:tcPr>
          <w:p>
            <w:r>
              <w:t>17.312</w:t>
            </w:r>
          </w:p>
        </w:tc>
        <w:tc>
          <w:tcPr>
            <w:tcW w:type="dxa" w:w="1080"/>
          </w:tcPr>
          <w:p>
            <w:r>
              <w:t>56.448</w:t>
            </w:r>
          </w:p>
        </w:tc>
        <w:tc>
          <w:tcPr>
            <w:tcW w:type="dxa" w:w="1080"/>
          </w:tcPr>
          <w:p>
            <w:r>
              <w:t>48.311</w:t>
            </w:r>
          </w:p>
        </w:tc>
        <w:tc>
          <w:tcPr>
            <w:tcW w:type="dxa" w:w="1080"/>
          </w:tcPr>
          <w:p>
            <w:r>
              <w:t>0.27</w:t>
            </w:r>
          </w:p>
        </w:tc>
        <w:tc>
          <w:tcPr>
            <w:tcW w:type="dxa" w:w="1080"/>
          </w:tcPr>
          <w:p>
            <w:r>
              <w:t>no</w:t>
            </w:r>
          </w:p>
        </w:tc>
      </w:tr>
      <w:tr>
        <w:tc>
          <w:tcPr>
            <w:tcW w:type="dxa" w:w="1080"/>
          </w:tcPr>
          <w:p>
            <w:r>
              <w:t>corrected</w:t>
            </w:r>
          </w:p>
        </w:tc>
        <w:tc>
          <w:tcPr>
            <w:tcW w:type="dxa" w:w="1080"/>
          </w:tcPr>
          <w:p>
            <w:r>
              <w:t>POS</w:t>
            </w:r>
          </w:p>
        </w:tc>
        <w:tc>
          <w:tcPr>
            <w:tcW w:type="dxa" w:w="1080"/>
          </w:tcPr>
          <w:p>
            <w:r>
              <w:t>-3.677</w:t>
            </w:r>
          </w:p>
        </w:tc>
        <w:tc>
          <w:tcPr>
            <w:tcW w:type="dxa" w:w="1080"/>
          </w:tcPr>
          <w:p>
            <w:r>
              <w:t>2.897</w:t>
            </w:r>
          </w:p>
        </w:tc>
        <w:tc>
          <w:tcPr>
            <w:tcW w:type="dxa" w:w="1080"/>
          </w:tcPr>
          <w:p>
            <w:r>
              <w:t>9.446</w:t>
            </w:r>
          </w:p>
        </w:tc>
        <w:tc>
          <w:tcPr>
            <w:tcW w:type="dxa" w:w="1080"/>
          </w:tcPr>
          <w:p>
            <w:r>
              <w:t>8.084</w:t>
            </w:r>
          </w:p>
        </w:tc>
        <w:tc>
          <w:tcPr>
            <w:tcW w:type="dxa" w:w="1080"/>
          </w:tcPr>
          <w:p>
            <w:r>
              <w:t>0.39</w:t>
            </w:r>
          </w:p>
        </w:tc>
        <w:tc>
          <w:tcPr>
            <w:tcW w:type="dxa" w:w="1080"/>
          </w:tcPr>
          <w:p>
            <w:r>
              <w:t>no</w:t>
            </w:r>
          </w:p>
        </w:tc>
      </w:tr>
      <w:tr>
        <w:tc>
          <w:tcPr>
            <w:tcW w:type="dxa" w:w="1080"/>
          </w:tcPr>
          <w:p>
            <w:r>
              <w:t>corrected</w:t>
            </w:r>
          </w:p>
        </w:tc>
        <w:tc>
          <w:tcPr>
            <w:tcW w:type="dxa" w:w="1080"/>
          </w:tcPr>
          <w:p>
            <w:r>
              <w:t>EOS</w:t>
            </w:r>
          </w:p>
        </w:tc>
        <w:tc>
          <w:tcPr>
            <w:tcW w:type="dxa" w:w="1080"/>
          </w:tcPr>
          <w:p>
            <w:r>
              <w:t>-0.239</w:t>
            </w:r>
          </w:p>
        </w:tc>
        <w:tc>
          <w:tcPr>
            <w:tcW w:type="dxa" w:w="1080"/>
          </w:tcPr>
          <w:p>
            <w:r>
              <w:t>0.169</w:t>
            </w:r>
          </w:p>
        </w:tc>
        <w:tc>
          <w:tcPr>
            <w:tcW w:type="dxa" w:w="1080"/>
          </w:tcPr>
          <w:p>
            <w:r>
              <w:t>0.551</w:t>
            </w:r>
          </w:p>
        </w:tc>
        <w:tc>
          <w:tcPr>
            <w:tcW w:type="dxa" w:w="1080"/>
          </w:tcPr>
          <w:p>
            <w:r>
              <w:t>0.472</w:t>
            </w:r>
          </w:p>
        </w:tc>
        <w:tc>
          <w:tcPr>
            <w:tcW w:type="dxa" w:w="1080"/>
          </w:tcPr>
          <w:p>
            <w:r>
              <w:t>0.43</w:t>
            </w:r>
          </w:p>
        </w:tc>
        <w:tc>
          <w:tcPr>
            <w:tcW w:type="dxa" w:w="1080"/>
          </w:tcPr>
          <w:p>
            <w:r>
              <w:t>no</w:t>
            </w:r>
          </w:p>
        </w:tc>
      </w:tr>
    </w:tbl>
    <w:p>
      <w:pPr>
        <w:spacing w:before="0" w:after="120" w:line="276" w:lineRule="auto"/>
      </w:pPr>
      <w:r>
        <w:rPr>
          <w:rFonts w:ascii="Arial" w:hAnsi="Arial"/>
          <w:i/>
          <w:sz w:val="19"/>
          <w:szCs w:val="19"/>
          <w:color w:val="595959"/>
        </w:rPr>
        <w:t xml:space="preserve">Abbreviations: EOS = End-Of-Season; MDE = Minimum Detectable Effect; POS = Peak-Of-Season; SOS = Start-Of-Season.</w:t>
      </w:r>
    </w:p>
    <w:p>
      <w:pPr>
        <w:spacing w:lineRule="auto" w:line="480"/>
        <w:jc w:val="both"/>
      </w:pPr>
      <w:r>
        <w:rPr>
          <w:rFonts w:ascii="Arial" w:hAnsi="Arial"/>
          <w:sz w:val="18"/>
        </w:rPr>
        <w:t>Notes. MDE = (t_{α/2,G−1} + t_{1−β,G−1}) × SE. At G = 8, t_{0.025,7} = 2.365 and t_{0.80,7} = 0.896, so the multiplier is 3.261. On the real v2.1 panel none of the six (pipeline×metric) cells is detectable at α = 0.05, power = 0.80, df = 7: |τ̂|/MDE ranges from 0.27 (raw/SOS) to 0.43 (corrected/EOS). This formal underpowering result is the post-hoc complement to the wild-cluster bootstrap null findings in Table S4 — both diagnostics point to the same conclusion that G = 8 is insufficient to reject H0: τ = 0 at conventional thresholds, and the corrected/EOS cell has the smallest absolute coefficient as well as the smallest |τ̂|/MDE ratio.</w:t>
      </w:r>
    </w:p>
    <w:p>
      <w:pPr>
        <w:spacing w:lineRule="auto" w:line="480"/>
        <w:jc w:val="left"/>
      </w:pPr>
      <w:r>
        <w:rPr>
          <w:rFonts w:ascii="Arial" w:hAnsi="Arial"/>
          <w:sz w:val="20"/>
        </w:rPr>
        <w:br w:type="page"/>
      </w:r>
    </w:p>
    <w:p>
      <w:pPr>
        <w:keepNext/>
        <w:spacing w:before="240" w:after="120" w:line="276" w:lineRule="auto"/>
        <w:jc w:val="both"/>
      </w:pPr>
      <w:bookmarkStart w:id="45456" w:name="table_s7"/>
      <w:r>
        <w:rPr>
          <w:rFonts w:ascii="Arial" w:hAnsi="Arial"/>
          <w:b/>
          <w:color w:val="1F3A5F"/>
          <w:sz w:val="32"/>
        </w:rPr>
        <w:t>Table S7 — Placebo / falsification</w:t>
      </w:r>
      <w:bookmarkEnd w:id="45456"/>
    </w:p>
    <w:p>
      <w:pPr>
        <w:spacing w:line="276" w:lineRule="auto"/>
        <w:jc w:val="both"/>
      </w:pPr>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pPr>
        <w:spacing w:lineRule="auto" w:line="480"/>
        <w:jc w:val="left"/>
      </w:pPr>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τ̂ real</w:t>
            </w:r>
          </w:p>
        </w:tc>
        <w:tc>
          <w:tcPr>
            <w:tcW w:type="dxa" w:w="864"/>
          </w:tcPr>
          <w:p>
            <w:pPr>
              <w:spacing w:lineRule="auto" w:line="360"/>
              <w:jc w:val="left"/>
            </w:pPr>
            <w:r>
              <w:rPr>
                <w:rFonts w:ascii="Arial" w:hAnsi="Arial"/>
                <w:b/>
                <w:sz w:val="18"/>
              </w:rPr>
              <w:t>median τ_p</w:t>
            </w:r>
          </w:p>
        </w:tc>
        <w:tc>
          <w:tcPr>
            <w:tcW w:type="dxa" w:w="864"/>
          </w:tcPr>
          <w:p>
            <w:pPr>
              <w:spacing w:lineRule="auto" w:line="360"/>
              <w:jc w:val="left"/>
            </w:pPr>
            <w:r>
              <w:rPr>
                <w:rFonts w:ascii="Arial" w:hAnsi="Arial"/>
                <w:b/>
                <w:sz w:val="18"/>
              </w:rPr>
              <w:t>p05 τ_p</w:t>
            </w:r>
          </w:p>
        </w:tc>
        <w:tc>
          <w:tcPr>
            <w:tcW w:type="dxa" w:w="864"/>
          </w:tcPr>
          <w:p>
            <w:pPr>
              <w:spacing w:lineRule="auto" w:line="360"/>
              <w:jc w:val="left"/>
            </w:pPr>
            <w:r>
              <w:rPr>
                <w:rFonts w:ascii="Arial" w:hAnsi="Arial"/>
                <w:b/>
                <w:sz w:val="18"/>
              </w:rPr>
              <w:t>p95 τ_p</w:t>
            </w:r>
          </w:p>
        </w:tc>
        <w:tc>
          <w:tcPr>
            <w:tcW w:type="dxa" w:w="864"/>
          </w:tcPr>
          <w:p>
            <w:pPr>
              <w:spacing w:lineRule="auto" w:line="360"/>
              <w:jc w:val="left"/>
            </w:pPr>
            <w:r>
              <w:rPr>
                <w:rFonts w:ascii="Arial" w:hAnsi="Arial"/>
                <w:b/>
                <w:sz w:val="18"/>
              </w:rPr>
              <w:t>max |τ_p|</w:t>
            </w:r>
          </w:p>
        </w:tc>
        <w:tc>
          <w:tcPr>
            <w:tcW w:type="dxa" w:w="864"/>
          </w:tcPr>
          <w:p>
            <w:pPr>
              <w:spacing w:lineRule="auto" w:line="360"/>
              <w:jc w:val="left"/>
            </w:pPr>
            <w:r>
              <w:rPr>
                <w:rFonts w:ascii="Arial" w:hAnsi="Arial"/>
                <w:b/>
                <w:sz w:val="18"/>
              </w:rPr>
              <w:t>n extreme</w:t>
            </w:r>
          </w:p>
        </w:tc>
        <w:tc>
          <w:tcPr>
            <w:tcW w:type="dxa" w:w="864"/>
          </w:tcPr>
          <w:p>
            <w:pPr>
              <w:spacing w:lineRule="auto" w:line="360"/>
              <w:jc w:val="left"/>
            </w:pPr>
            <w:r>
              <w:rPr>
                <w:rFonts w:ascii="Arial" w:hAnsi="Arial"/>
                <w:b/>
                <w:sz w:val="18"/>
              </w:rPr>
              <w:t>p_perm</w:t>
            </w:r>
          </w:p>
        </w:tc>
        <w:tc>
          <w:tcPr>
            <w:tcW w:type="dxa" w:w="864"/>
          </w:tcPr>
          <w:p>
            <w:pPr>
              <w:spacing w:lineRule="auto" w:line="360"/>
              <w:jc w:val="left"/>
            </w:pPr>
            <w:r>
              <w:rPr>
                <w:rFonts w:ascii="Arial" w:hAnsi="Arial"/>
                <w:b/>
                <w:sz w:val="18"/>
              </w:rPr>
              <w:t>Verdict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+15.29</w:t>
            </w:r>
          </w:p>
        </w:tc>
        <w:tc>
          <w:tcPr>
            <w:tcW w:type="dxa" w:w="864"/>
          </w:tcPr>
          <w:p>
            <w:pPr>
              <w:spacing w:lineRule="auto" w:line="360"/>
              <w:jc w:val="left"/>
            </w:pPr>
            <w:r>
              <w:rPr>
                <w:rFonts w:ascii="Arial" w:hAnsi="Arial"/>
                <w:sz w:val="18"/>
              </w:rPr>
              <w:t>-1.14</w:t>
            </w:r>
          </w:p>
        </w:tc>
        <w:tc>
          <w:tcPr>
            <w:tcW w:type="dxa" w:w="864"/>
          </w:tcPr>
          <w:p>
            <w:pPr>
              <w:spacing w:lineRule="auto" w:line="360"/>
              <w:jc w:val="left"/>
            </w:pPr>
            <w:r>
              <w:rPr>
                <w:rFonts w:ascii="Arial" w:hAnsi="Arial"/>
                <w:sz w:val="18"/>
              </w:rPr>
              <w:t>-32.50</w:t>
            </w:r>
          </w:p>
        </w:tc>
        <w:tc>
          <w:tcPr>
            <w:tcW w:type="dxa" w:w="864"/>
          </w:tcPr>
          <w:p>
            <w:pPr>
              <w:spacing w:lineRule="auto" w:line="360"/>
              <w:jc w:val="left"/>
            </w:pPr>
            <w:r>
              <w:rPr>
                <w:rFonts w:ascii="Arial" w:hAnsi="Arial"/>
                <w:sz w:val="18"/>
              </w:rPr>
              <w:t>+28.76</w:t>
            </w:r>
          </w:p>
        </w:tc>
        <w:tc>
          <w:tcPr>
            <w:tcW w:type="dxa" w:w="864"/>
          </w:tcPr>
          <w:p>
            <w:pPr>
              <w:spacing w:lineRule="auto" w:line="360"/>
              <w:jc w:val="left"/>
            </w:pPr>
            <w:r>
              <w:rPr>
                <w:rFonts w:ascii="Arial" w:hAnsi="Arial"/>
                <w:sz w:val="18"/>
              </w:rPr>
              <w:t>+43.45</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-3.59</w:t>
            </w:r>
          </w:p>
        </w:tc>
        <w:tc>
          <w:tcPr>
            <w:tcW w:type="dxa" w:w="864"/>
          </w:tcPr>
          <w:p>
            <w:pPr>
              <w:spacing w:lineRule="auto" w:line="360"/>
              <w:jc w:val="left"/>
            </w:pPr>
            <w:r>
              <w:rPr>
                <w:rFonts w:ascii="Arial" w:hAnsi="Arial"/>
                <w:sz w:val="18"/>
              </w:rPr>
              <w:t>-0.28</w:t>
            </w:r>
          </w:p>
        </w:tc>
        <w:tc>
          <w:tcPr>
            <w:tcW w:type="dxa" w:w="864"/>
          </w:tcPr>
          <w:p>
            <w:pPr>
              <w:spacing w:lineRule="auto" w:line="360"/>
              <w:jc w:val="left"/>
            </w:pPr>
            <w:r>
              <w:rPr>
                <w:rFonts w:ascii="Arial" w:hAnsi="Arial"/>
                <w:sz w:val="18"/>
              </w:rPr>
              <w:t>-4.80</w:t>
            </w:r>
          </w:p>
        </w:tc>
        <w:tc>
          <w:tcPr>
            <w:tcW w:type="dxa" w:w="864"/>
          </w:tcPr>
          <w:p>
            <w:pPr>
              <w:spacing w:lineRule="auto" w:line="360"/>
              <w:jc w:val="left"/>
            </w:pPr>
            <w:r>
              <w:rPr>
                <w:rFonts w:ascii="Arial" w:hAnsi="Arial"/>
                <w:sz w:val="18"/>
              </w:rPr>
              <w:t>+4.58</w:t>
            </w:r>
          </w:p>
        </w:tc>
        <w:tc>
          <w:tcPr>
            <w:tcW w:type="dxa" w:w="864"/>
          </w:tcPr>
          <w:p>
            <w:pPr>
              <w:spacing w:lineRule="auto" w:line="360"/>
              <w:jc w:val="left"/>
            </w:pPr>
            <w:r>
              <w:rPr>
                <w:rFonts w:ascii="Arial" w:hAnsi="Arial"/>
                <w:sz w:val="18"/>
              </w:rPr>
              <w:t>+6.12</w:t>
            </w:r>
          </w:p>
        </w:tc>
        <w:tc>
          <w:tcPr>
            <w:tcW w:type="dxa" w:w="864"/>
          </w:tcPr>
          <w:p>
            <w:pPr>
              <w:spacing w:lineRule="auto" w:line="360"/>
              <w:jc w:val="left"/>
            </w:pPr>
            <w:r>
              <w:rPr>
                <w:rFonts w:ascii="Arial" w:hAnsi="Arial"/>
                <w:sz w:val="18"/>
              </w:rPr>
              <w:t>15</w:t>
            </w:r>
          </w:p>
        </w:tc>
        <w:tc>
          <w:tcPr>
            <w:tcW w:type="dxa" w:w="864"/>
          </w:tcPr>
          <w:p>
            <w:pPr>
              <w:spacing w:lineRule="auto" w:line="360"/>
              <w:jc w:val="left"/>
            </w:pPr>
            <w:r>
              <w:rPr>
                <w:rFonts w:ascii="Arial" w:hAnsi="Arial"/>
                <w:sz w:val="18"/>
              </w:rPr>
              <w:t>0.2857</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+15.11</w:t>
            </w:r>
          </w:p>
        </w:tc>
        <w:tc>
          <w:tcPr>
            <w:tcW w:type="dxa" w:w="864"/>
          </w:tcPr>
          <w:p>
            <w:pPr>
              <w:spacing w:lineRule="auto" w:line="360"/>
              <w:jc w:val="left"/>
            </w:pPr>
            <w:r>
              <w:rPr>
                <w:rFonts w:ascii="Arial" w:hAnsi="Arial"/>
                <w:sz w:val="18"/>
              </w:rPr>
              <w:t>-1.16</w:t>
            </w:r>
          </w:p>
        </w:tc>
        <w:tc>
          <w:tcPr>
            <w:tcW w:type="dxa" w:w="864"/>
          </w:tcPr>
          <w:p>
            <w:pPr>
              <w:spacing w:lineRule="auto" w:line="360"/>
              <w:jc w:val="left"/>
            </w:pPr>
            <w:r>
              <w:rPr>
                <w:rFonts w:ascii="Arial" w:hAnsi="Arial"/>
                <w:sz w:val="18"/>
              </w:rPr>
              <w:t>-32.47</w:t>
            </w:r>
          </w:p>
        </w:tc>
        <w:tc>
          <w:tcPr>
            <w:tcW w:type="dxa" w:w="864"/>
          </w:tcPr>
          <w:p>
            <w:pPr>
              <w:spacing w:lineRule="auto" w:line="360"/>
              <w:jc w:val="left"/>
            </w:pPr>
            <w:r>
              <w:rPr>
                <w:rFonts w:ascii="Arial" w:hAnsi="Arial"/>
                <w:sz w:val="18"/>
              </w:rPr>
              <w:t>+28.68</w:t>
            </w:r>
          </w:p>
        </w:tc>
        <w:tc>
          <w:tcPr>
            <w:tcW w:type="dxa" w:w="864"/>
          </w:tcPr>
          <w:p>
            <w:pPr>
              <w:spacing w:lineRule="auto" w:line="360"/>
              <w:jc w:val="left"/>
            </w:pPr>
            <w:r>
              <w:rPr>
                <w:rFonts w:ascii="Arial" w:hAnsi="Arial"/>
                <w:sz w:val="18"/>
              </w:rPr>
              <w:t>+43.44</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-3.68</w:t>
            </w:r>
          </w:p>
        </w:tc>
        <w:tc>
          <w:tcPr>
            <w:tcW w:type="dxa" w:w="864"/>
          </w:tcPr>
          <w:p>
            <w:pPr>
              <w:spacing w:lineRule="auto" w:line="360"/>
              <w:jc w:val="left"/>
            </w:pPr>
            <w:r>
              <w:rPr>
                <w:rFonts w:ascii="Arial" w:hAnsi="Arial"/>
                <w:sz w:val="18"/>
              </w:rPr>
              <w:t>-0.29</w:t>
            </w:r>
          </w:p>
        </w:tc>
        <w:tc>
          <w:tcPr>
            <w:tcW w:type="dxa" w:w="864"/>
          </w:tcPr>
          <w:p>
            <w:pPr>
              <w:spacing w:lineRule="auto" w:line="360"/>
              <w:jc w:val="left"/>
            </w:pPr>
            <w:r>
              <w:rPr>
                <w:rFonts w:ascii="Arial" w:hAnsi="Arial"/>
                <w:sz w:val="18"/>
              </w:rPr>
              <w:t>-4.78</w:t>
            </w:r>
          </w:p>
        </w:tc>
        <w:tc>
          <w:tcPr>
            <w:tcW w:type="dxa" w:w="864"/>
          </w:tcPr>
          <w:p>
            <w:pPr>
              <w:spacing w:lineRule="auto" w:line="360"/>
              <w:jc w:val="left"/>
            </w:pPr>
            <w:r>
              <w:rPr>
                <w:rFonts w:ascii="Arial" w:hAnsi="Arial"/>
                <w:sz w:val="18"/>
              </w:rPr>
              <w:t>+4.65</w:t>
            </w:r>
          </w:p>
        </w:tc>
        <w:tc>
          <w:tcPr>
            <w:tcW w:type="dxa" w:w="864"/>
          </w:tcPr>
          <w:p>
            <w:pPr>
              <w:spacing w:lineRule="auto" w:line="360"/>
              <w:jc w:val="left"/>
            </w:pPr>
            <w:r>
              <w:rPr>
                <w:rFonts w:ascii="Arial" w:hAnsi="Arial"/>
                <w:sz w:val="18"/>
              </w:rPr>
              <w:t>+6.17</w:t>
            </w:r>
          </w:p>
        </w:tc>
        <w:tc>
          <w:tcPr>
            <w:tcW w:type="dxa" w:w="864"/>
          </w:tcPr>
          <w:p>
            <w:pPr>
              <w:spacing w:lineRule="auto" w:line="360"/>
              <w:jc w:val="left"/>
            </w:pPr>
            <w:r>
              <w:rPr>
                <w:rFonts w:ascii="Arial" w:hAnsi="Arial"/>
                <w:sz w:val="18"/>
              </w:rPr>
              <w:t>14</w:t>
            </w:r>
          </w:p>
        </w:tc>
        <w:tc>
          <w:tcPr>
            <w:tcW w:type="dxa" w:w="864"/>
          </w:tcPr>
          <w:p>
            <w:pPr>
              <w:spacing w:lineRule="auto" w:line="360"/>
              <w:jc w:val="left"/>
            </w:pPr>
            <w:r>
              <w:rPr>
                <w:rFonts w:ascii="Arial" w:hAnsi="Arial"/>
                <w:sz w:val="18"/>
              </w:rPr>
              <w:t>0.2679</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Rule="auto" w:line="360"/>
              <w:jc w:val="left"/>
            </w:pPr>
            <w:r>
              <w:rPr>
                <w:rFonts w:ascii="Arial" w:hAnsi="Arial"/>
                <w:b/>
                <w:sz w:val="18"/>
              </w:rPr>
              <w:t>Pipeline</w:t>
            </w:r>
          </w:p>
        </w:tc>
        <w:tc>
          <w:tcPr>
            <w:tcW w:type="dxa" w:w="1728"/>
          </w:tcPr>
          <w:p>
            <w:pPr>
              <w:spacing w:lineRule="auto" w:line="360"/>
              <w:jc w:val="left"/>
            </w:pPr>
            <w:r>
              <w:rPr>
                <w:rFonts w:ascii="Arial" w:hAnsi="Arial"/>
                <w:b/>
                <w:sz w:val="18"/>
              </w:rPr>
              <w:t>Metric</w:t>
            </w:r>
          </w:p>
        </w:tc>
        <w:tc>
          <w:tcPr>
            <w:tcW w:type="dxa" w:w="1728"/>
          </w:tcPr>
          <w:p>
            <w:pPr>
              <w:spacing w:lineRule="auto" w:line="360"/>
              <w:jc w:val="left"/>
            </w:pPr>
            <w:r>
              <w:rPr>
                <w:rFonts w:ascii="Arial" w:hAnsi="Arial"/>
                <w:b/>
                <w:sz w:val="18"/>
              </w:rPr>
              <w:t>Fake post</w:t>
            </w:r>
          </w:p>
        </w:tc>
        <w:tc>
          <w:tcPr>
            <w:tcW w:type="dxa" w:w="1728"/>
          </w:tcPr>
          <w:p>
            <w:pPr>
              <w:spacing w:lineRule="auto" w:line="360"/>
              <w:jc w:val="left"/>
            </w:pPr>
            <w:r>
              <w:rPr>
                <w:rFonts w:ascii="Arial" w:hAnsi="Arial"/>
                <w:b/>
                <w:sz w:val="18"/>
              </w:rPr>
              <w:t>τ̂ pseudo (d)</w:t>
            </w:r>
          </w:p>
        </w:tc>
        <w:tc>
          <w:tcPr>
            <w:tcW w:type="dxa" w:w="1728"/>
          </w:tcPr>
          <w:p>
            <w:pPr>
              <w:spacing w:lineRule="auto" w:line="360"/>
              <w:jc w:val="left"/>
            </w:pPr>
            <w:r>
              <w:rPr>
                <w:rFonts w:ascii="Arial" w:hAnsi="Arial"/>
                <w:b/>
                <w:sz w:val="18"/>
              </w:rPr>
              <w:t>SE (d)</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both"/>
      </w:pPr>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pPr>
        <w:spacing w:lineRule="auto" w:line="480"/>
        <w:jc w:val="left"/>
      </w:pPr>
      <w:r>
        <w:rPr>
          <w:rFonts w:ascii="Arial" w:hAnsi="Arial"/>
          <w:sz w:val="20"/>
        </w:rPr>
        <w:br w:type="page"/>
      </w:r>
    </w:p>
    <w:p>
      <w:pPr>
        <w:keepNext/>
        <w:spacing w:before="240" w:after="120" w:line="276" w:lineRule="auto"/>
        <w:jc w:val="both"/>
      </w:pPr>
      <w:bookmarkStart w:id="98866" w:name="table_s8"/>
      <w:r>
        <w:rPr>
          <w:rFonts w:ascii="Arial" w:hAnsi="Arial"/>
          <w:b/>
          <w:color w:val="1F3A5F"/>
          <w:sz w:val="32"/>
        </w:rPr>
        <w:t>Table S8 — Pre-Kharif cyclone climatology</w:t>
      </w:r>
      <w:bookmarkEnd w:id="98866"/>
    </w:p>
    <w:p>
      <w:pPr>
        <w:spacing w:line="276" w:lineRule="auto"/>
        <w:jc w:val="both"/>
      </w:pPr>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pPr>
              <w:spacing w:lineRule="auto" w:line="360"/>
              <w:jc w:val="left"/>
            </w:pPr>
            <w:r>
              <w:rPr>
                <w:rFonts w:ascii="Arial" w:hAnsi="Arial"/>
                <w:b/>
                <w:sz w:val="16"/>
              </w:rPr>
              <w:t>Name</w:t>
            </w:r>
          </w:p>
        </w:tc>
        <w:tc>
          <w:tcPr>
            <w:tcW w:type="dxa" w:w="1073"/>
          </w:tcPr>
          <w:p>
            <w:pPr>
              <w:spacing w:lineRule="auto" w:line="360"/>
              <w:jc w:val="left"/>
            </w:pPr>
            <w:r>
              <w:rPr>
                <w:rFonts w:ascii="Arial" w:hAnsi="Arial"/>
                <w:b/>
                <w:sz w:val="16"/>
              </w:rPr>
              <w:t>Season</w:t>
            </w:r>
          </w:p>
        </w:tc>
        <w:tc>
          <w:tcPr>
            <w:tcW w:type="dxa" w:w="1073"/>
          </w:tcPr>
          <w:p>
            <w:pPr>
              <w:spacing w:lineRule="auto" w:line="360"/>
              <w:jc w:val="left"/>
            </w:pPr>
            <w:r>
              <w:rPr>
                <w:rFonts w:ascii="Arial" w:hAnsi="Arial"/>
                <w:b/>
                <w:sz w:val="16"/>
              </w:rPr>
              <w:t>Landfall</w:t>
            </w:r>
          </w:p>
        </w:tc>
        <w:tc>
          <w:tcPr>
            <w:tcW w:type="dxa" w:w="1073"/>
          </w:tcPr>
          <w:p>
            <w:pPr>
              <w:spacing w:lineRule="auto" w:line="360"/>
              <w:jc w:val="left"/>
            </w:pPr>
            <w:r>
              <w:rPr>
                <w:rFonts w:ascii="Arial" w:hAnsi="Arial"/>
                <w:b/>
                <w:sz w:val="16"/>
              </w:rPr>
              <w:t>DOY</w:t>
            </w:r>
          </w:p>
        </w:tc>
        <w:tc>
          <w:tcPr>
            <w:tcW w:type="dxa" w:w="1073"/>
          </w:tcPr>
          <w:p>
            <w:pPr>
              <w:spacing w:lineRule="auto" w:line="360"/>
              <w:jc w:val="left"/>
            </w:pPr>
            <w:r>
              <w:rPr>
                <w:rFonts w:ascii="Arial" w:hAnsi="Arial"/>
                <w:b/>
                <w:sz w:val="16"/>
              </w:rPr>
              <w:t>IMD cat.</w:t>
            </w:r>
          </w:p>
        </w:tc>
        <w:tc>
          <w:tcPr>
            <w:tcW w:type="dxa" w:w="1073"/>
          </w:tcPr>
          <w:p>
            <w:pPr>
              <w:spacing w:lineRule="auto" w:line="360"/>
              <w:jc w:val="left"/>
            </w:pPr>
            <w:r>
              <w:rPr>
                <w:rFonts w:ascii="Arial" w:hAnsi="Arial"/>
                <w:b/>
                <w:sz w:val="16"/>
              </w:rPr>
              <w:t>S–S cat.</w:t>
            </w:r>
          </w:p>
        </w:tc>
        <w:tc>
          <w:tcPr>
            <w:tcW w:type="dxa" w:w="1073"/>
          </w:tcPr>
          <w:p>
            <w:pPr>
              <w:spacing w:lineRule="auto" w:line="360"/>
              <w:jc w:val="left"/>
            </w:pPr>
            <w:r>
              <w:rPr>
                <w:rFonts w:ascii="Arial" w:hAnsi="Arial"/>
                <w:b/>
                <w:sz w:val="16"/>
              </w:rPr>
              <w:t>Vmax (kt)</w:t>
            </w:r>
          </w:p>
        </w:tc>
        <w:tc>
          <w:tcPr>
            <w:tcW w:type="dxa" w:w="1073"/>
          </w:tcPr>
          <w:p>
            <w:pPr>
              <w:spacing w:lineRule="auto" w:line="360"/>
              <w:jc w:val="left"/>
            </w:pPr>
            <w:r>
              <w:rPr>
                <w:rFonts w:ascii="Arial" w:hAnsi="Arial"/>
                <w:b/>
                <w:sz w:val="16"/>
              </w:rPr>
              <w:t>Pmin (hPa)</w:t>
            </w:r>
          </w:p>
        </w:tc>
        <w:tc>
          <w:tcPr>
            <w:tcW w:type="dxa" w:w="1073"/>
          </w:tcPr>
          <w:p>
            <w:pPr>
              <w:spacing w:lineRule="auto" w:line="360"/>
              <w:jc w:val="left"/>
            </w:pPr>
            <w:r>
              <w:rPr>
                <w:rFonts w:ascii="Arial" w:hAnsi="Arial"/>
                <w:b/>
                <w:sz w:val="16"/>
              </w:rPr>
              <w:t>Surge (m)</w:t>
            </w:r>
          </w:p>
        </w:tc>
        <w:tc>
          <w:tcPr>
            <w:tcW w:type="dxa" w:w="1073"/>
          </w:tcPr>
          <w:p>
            <w:pPr>
              <w:spacing w:lineRule="auto" w:line="360"/>
              <w:jc w:val="left"/>
            </w:pPr>
            <w:r>
              <w:rPr>
                <w:rFonts w:ascii="Arial" w:hAnsi="Arial"/>
                <w:b/>
                <w:sz w:val="16"/>
              </w:rPr>
              <w:t>Synoptic class</w:t>
            </w:r>
          </w:p>
        </w:tc>
        <w:tc>
          <w:tcPr>
            <w:tcW w:type="dxa" w:w="1073"/>
          </w:tcPr>
          <w:p>
            <w:pPr>
              <w:spacing w:lineRule="auto" w:line="360"/>
              <w:jc w:val="left"/>
            </w:pPr>
            <w:r>
              <w:rPr>
                <w:rFonts w:ascii="Arial" w:hAnsi="Arial"/>
                <w:b/>
                <w:sz w:val="16"/>
              </w:rPr>
              <w:t>Vmax %ile</w:t>
            </w:r>
          </w:p>
        </w:tc>
        <w:tc>
          <w:tcPr>
            <w:tcW w:type="dxa" w:w="1073"/>
          </w:tcPr>
          <w:p>
            <w:pPr>
              <w:spacing w:lineRule="auto" w:line="360"/>
              <w:jc w:val="left"/>
            </w:pPr>
            <w:r>
              <w:rPr>
                <w:rFonts w:ascii="Arial" w:hAnsi="Arial"/>
                <w:b/>
                <w:sz w:val="16"/>
              </w:rPr>
              <w:t>Pmin %ile</w:t>
            </w:r>
          </w:p>
        </w:tc>
        <w:tc>
          <w:tcPr>
            <w:tcW w:type="dxa" w:w="1073"/>
          </w:tcPr>
          <w:p>
            <w:pPr>
              <w:spacing w:lineRule="auto" w:line="360"/>
              <w:jc w:val="left"/>
            </w:pPr>
            <w:r>
              <w:rPr>
                <w:rFonts w:ascii="Arial" w:hAnsi="Arial"/>
                <w:b/>
                <w:sz w:val="16"/>
              </w:rPr>
              <w:t>Surge %ile</w:t>
            </w:r>
          </w:p>
        </w:tc>
        <w:tc>
          <w:tcPr>
            <w:tcW w:type="dxa" w:w="1073"/>
          </w:tcPr>
          <w:p>
            <w:pPr>
              <w:spacing w:lineRule="auto" w:line="360"/>
              <w:jc w:val="left"/>
            </w:pPr>
            <w:r>
              <w:rPr>
                <w:rFonts w:ascii="Arial" w:hAnsi="Arial"/>
                <w:b/>
                <w:sz w:val="16"/>
              </w:rPr>
              <w:t>DOY %ile</w:t>
            </w:r>
          </w:p>
        </w:tc>
      </w:tr>
      <w:tr>
        <w:tc>
          <w:tcPr>
            <w:tcW w:type="dxa" w:w="1073"/>
          </w:tcPr>
          <w:p>
            <w:pPr>
              <w:spacing w:lineRule="auto" w:line="360"/>
              <w:jc w:val="left"/>
            </w:pPr>
            <w:r>
              <w:rPr>
                <w:rFonts w:ascii="Arial" w:hAnsi="Arial"/>
                <w:sz w:val="16"/>
              </w:rPr>
              <w:t>Fani</w:t>
            </w:r>
          </w:p>
        </w:tc>
        <w:tc>
          <w:tcPr>
            <w:tcW w:type="dxa" w:w="1073"/>
          </w:tcPr>
          <w:p>
            <w:pPr>
              <w:spacing w:lineRule="auto" w:line="360"/>
              <w:jc w:val="left"/>
            </w:pPr>
            <w:r>
              <w:rPr>
                <w:rFonts w:ascii="Arial" w:hAnsi="Arial"/>
                <w:sz w:val="16"/>
              </w:rPr>
              <w:t>2019</w:t>
            </w:r>
          </w:p>
        </w:tc>
        <w:tc>
          <w:tcPr>
            <w:tcW w:type="dxa" w:w="1073"/>
          </w:tcPr>
          <w:p>
            <w:pPr>
              <w:spacing w:lineRule="auto" w:line="360"/>
              <w:jc w:val="left"/>
            </w:pPr>
            <w:r>
              <w:rPr>
                <w:rFonts w:ascii="Arial" w:hAnsi="Arial"/>
                <w:sz w:val="16"/>
              </w:rPr>
              <w:t>2019-05-03</w:t>
            </w:r>
          </w:p>
        </w:tc>
        <w:tc>
          <w:tcPr>
            <w:tcW w:type="dxa" w:w="1073"/>
          </w:tcPr>
          <w:p>
            <w:pPr>
              <w:spacing w:lineRule="auto" w:line="360"/>
              <w:jc w:val="left"/>
            </w:pPr>
            <w:r>
              <w:rPr>
                <w:rFonts w:ascii="Arial" w:hAnsi="Arial"/>
                <w:sz w:val="16"/>
              </w:rPr>
              <w:t>123</w:t>
            </w:r>
          </w:p>
        </w:tc>
        <w:tc>
          <w:tcPr>
            <w:tcW w:type="dxa" w:w="1073"/>
          </w:tcPr>
          <w:p>
            <w:pPr>
              <w:spacing w:lineRule="auto" w:line="360"/>
              <w:jc w:val="left"/>
            </w:pPr>
            <w:r>
              <w:rPr>
                <w:rFonts w:ascii="Arial" w:hAnsi="Arial"/>
                <w:sz w:val="16"/>
              </w:rPr>
              <w:t>ESCS</w:t>
            </w:r>
          </w:p>
        </w:tc>
        <w:tc>
          <w:tcPr>
            <w:tcW w:type="dxa" w:w="1073"/>
          </w:tcPr>
          <w:p>
            <w:pPr>
              <w:spacing w:lineRule="auto" w:line="360"/>
              <w:jc w:val="left"/>
            </w:pPr>
            <w:r>
              <w:rPr>
                <w:rFonts w:ascii="Arial" w:hAnsi="Arial"/>
                <w:sz w:val="16"/>
              </w:rPr>
              <w:t>4</w:t>
            </w:r>
          </w:p>
        </w:tc>
        <w:tc>
          <w:tcPr>
            <w:tcW w:type="dxa" w:w="1073"/>
          </w:tcPr>
          <w:p>
            <w:pPr>
              <w:spacing w:lineRule="auto" w:line="360"/>
              <w:jc w:val="left"/>
            </w:pPr>
            <w:r>
              <w:rPr>
                <w:rFonts w:ascii="Arial" w:hAnsi="Arial"/>
                <w:sz w:val="16"/>
              </w:rPr>
              <w:t>135</w:t>
            </w:r>
          </w:p>
        </w:tc>
        <w:tc>
          <w:tcPr>
            <w:tcW w:type="dxa" w:w="1073"/>
          </w:tcPr>
          <w:p>
            <w:pPr>
              <w:spacing w:lineRule="auto" w:line="360"/>
              <w:jc w:val="left"/>
            </w:pPr>
            <w:r>
              <w:rPr>
                <w:rFonts w:ascii="Arial" w:hAnsi="Arial"/>
                <w:sz w:val="16"/>
              </w:rPr>
              <w:t>932</w:t>
            </w:r>
          </w:p>
        </w:tc>
        <w:tc>
          <w:tcPr>
            <w:tcW w:type="dxa" w:w="1073"/>
          </w:tcPr>
          <w:p>
            <w:pPr>
              <w:spacing w:lineRule="auto" w:line="360"/>
              <w:jc w:val="left"/>
            </w:pPr>
            <w:r>
              <w:rPr>
                <w:rFonts w:ascii="Arial" w:hAnsi="Arial"/>
                <w:sz w:val="16"/>
              </w:rPr>
              <w:t>1.5</w:t>
            </w:r>
          </w:p>
        </w:tc>
        <w:tc>
          <w:tcPr>
            <w:tcW w:type="dxa" w:w="1073"/>
          </w:tcPr>
          <w:p>
            <w:pPr>
              <w:spacing w:lineRule="auto" w:line="360"/>
              <w:jc w:val="left"/>
            </w:pPr>
            <w:r>
              <w:rPr>
                <w:rFonts w:ascii="Arial" w:hAnsi="Arial"/>
                <w:sz w:val="16"/>
              </w:rPr>
              <w:t>Equatorial trough genesis</w:t>
            </w:r>
          </w:p>
        </w:tc>
        <w:tc>
          <w:tcPr>
            <w:tcW w:type="dxa" w:w="1073"/>
          </w:tcPr>
          <w:p>
            <w:pPr>
              <w:spacing w:lineRule="auto" w:line="360"/>
              <w:jc w:val="left"/>
            </w:pPr>
            <w:r>
              <w:rPr>
                <w:rFonts w:ascii="Arial" w:hAnsi="Arial"/>
                <w:sz w:val="16"/>
              </w:rPr>
              <w:t>97.5</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55.8</w:t>
            </w:r>
          </w:p>
        </w:tc>
        <w:tc>
          <w:tcPr>
            <w:tcW w:type="dxa" w:w="1073"/>
          </w:tcPr>
          <w:p>
            <w:pPr>
              <w:spacing w:lineRule="auto" w:line="360"/>
              <w:jc w:val="left"/>
            </w:pPr>
            <w:r>
              <w:rPr>
                <w:rFonts w:ascii="Arial" w:hAnsi="Arial"/>
                <w:sz w:val="16"/>
              </w:rPr>
              <w:t>26.6</w:t>
            </w:r>
          </w:p>
        </w:tc>
      </w:tr>
      <w:tr>
        <w:tc>
          <w:tcPr>
            <w:tcW w:type="dxa" w:w="1073"/>
          </w:tcPr>
          <w:p>
            <w:pPr>
              <w:spacing w:lineRule="auto" w:line="360"/>
              <w:jc w:val="left"/>
            </w:pPr>
            <w:r>
              <w:rPr>
                <w:rFonts w:ascii="Arial" w:hAnsi="Arial"/>
                <w:sz w:val="16"/>
              </w:rPr>
              <w:t>Amphan</w:t>
            </w:r>
          </w:p>
        </w:tc>
        <w:tc>
          <w:tcPr>
            <w:tcW w:type="dxa" w:w="1073"/>
          </w:tcPr>
          <w:p>
            <w:pPr>
              <w:spacing w:lineRule="auto" w:line="360"/>
              <w:jc w:val="left"/>
            </w:pPr>
            <w:r>
              <w:rPr>
                <w:rFonts w:ascii="Arial" w:hAnsi="Arial"/>
                <w:sz w:val="16"/>
              </w:rPr>
              <w:t>2020</w:t>
            </w:r>
          </w:p>
        </w:tc>
        <w:tc>
          <w:tcPr>
            <w:tcW w:type="dxa" w:w="1073"/>
          </w:tcPr>
          <w:p>
            <w:pPr>
              <w:spacing w:lineRule="auto" w:line="360"/>
              <w:jc w:val="left"/>
            </w:pPr>
            <w:r>
              <w:rPr>
                <w:rFonts w:ascii="Arial" w:hAnsi="Arial"/>
                <w:sz w:val="16"/>
              </w:rPr>
              <w:t>2020-05-20</w:t>
            </w:r>
          </w:p>
        </w:tc>
        <w:tc>
          <w:tcPr>
            <w:tcW w:type="dxa" w:w="1073"/>
          </w:tcPr>
          <w:p>
            <w:pPr>
              <w:spacing w:lineRule="auto" w:line="360"/>
              <w:jc w:val="left"/>
            </w:pPr>
            <w:r>
              <w:rPr>
                <w:rFonts w:ascii="Arial" w:hAnsi="Arial"/>
                <w:sz w:val="16"/>
              </w:rPr>
              <w:t>141</w:t>
            </w:r>
          </w:p>
        </w:tc>
        <w:tc>
          <w:tcPr>
            <w:tcW w:type="dxa" w:w="1073"/>
          </w:tcPr>
          <w:p>
            <w:pPr>
              <w:spacing w:lineRule="auto" w:line="360"/>
              <w:jc w:val="left"/>
            </w:pPr>
            <w:r>
              <w:rPr>
                <w:rFonts w:ascii="Arial" w:hAnsi="Arial"/>
                <w:sz w:val="16"/>
              </w:rPr>
              <w:t>SuCS</w:t>
            </w:r>
          </w:p>
        </w:tc>
        <w:tc>
          <w:tcPr>
            <w:tcW w:type="dxa" w:w="1073"/>
          </w:tcPr>
          <w:p>
            <w:pPr>
              <w:spacing w:lineRule="auto" w:line="360"/>
              <w:jc w:val="left"/>
            </w:pPr>
            <w:r>
              <w:rPr>
                <w:rFonts w:ascii="Arial" w:hAnsi="Arial"/>
                <w:sz w:val="16"/>
              </w:rPr>
              <w:t>5</w:t>
            </w:r>
          </w:p>
        </w:tc>
        <w:tc>
          <w:tcPr>
            <w:tcW w:type="dxa" w:w="1073"/>
          </w:tcPr>
          <w:p>
            <w:pPr>
              <w:spacing w:lineRule="auto" w:line="360"/>
              <w:jc w:val="left"/>
            </w:pPr>
            <w:r>
              <w:rPr>
                <w:rFonts w:ascii="Arial" w:hAnsi="Arial"/>
                <w:sz w:val="16"/>
              </w:rPr>
              <w:t>140</w:t>
            </w:r>
          </w:p>
        </w:tc>
        <w:tc>
          <w:tcPr>
            <w:tcW w:type="dxa" w:w="1073"/>
          </w:tcPr>
          <w:p>
            <w:pPr>
              <w:spacing w:lineRule="auto" w:line="360"/>
              <w:jc w:val="left"/>
            </w:pPr>
            <w:r>
              <w:rPr>
                <w:rFonts w:ascii="Arial" w:hAnsi="Arial"/>
                <w:sz w:val="16"/>
              </w:rPr>
              <w:t>925</w:t>
            </w:r>
          </w:p>
        </w:tc>
        <w:tc>
          <w:tcPr>
            <w:tcW w:type="dxa" w:w="1073"/>
          </w:tcPr>
          <w:p>
            <w:pPr>
              <w:spacing w:lineRule="auto" w:line="360"/>
              <w:jc w:val="left"/>
            </w:pPr>
            <w:r>
              <w:rPr>
                <w:rFonts w:ascii="Arial" w:hAnsi="Arial"/>
                <w:sz w:val="16"/>
              </w:rPr>
              <w:t>4.6</w:t>
            </w:r>
          </w:p>
        </w:tc>
        <w:tc>
          <w:tcPr>
            <w:tcW w:type="dxa" w:w="1073"/>
          </w:tcPr>
          <w:p>
            <w:pPr>
              <w:spacing w:lineRule="auto" w:line="360"/>
              <w:jc w:val="left"/>
            </w:pPr>
            <w:r>
              <w:rPr>
                <w:rFonts w:ascii="Arial" w:hAnsi="Arial"/>
                <w:sz w:val="16"/>
              </w:rPr>
              <w:t>Monsoon-trough remnant</w:t>
            </w:r>
          </w:p>
        </w:tc>
        <w:tc>
          <w:tcPr>
            <w:tcW w:type="dxa" w:w="1073"/>
          </w:tcPr>
          <w:p>
            <w:pPr>
              <w:spacing w:lineRule="auto" w:line="360"/>
              <w:jc w:val="left"/>
            </w:pPr>
            <w:r>
              <w:rPr>
                <w:rFonts w:ascii="Arial" w:hAnsi="Arial"/>
                <w:sz w:val="16"/>
              </w:rPr>
              <w:t>100.0</w:t>
            </w:r>
          </w:p>
        </w:tc>
        <w:tc>
          <w:tcPr>
            <w:tcW w:type="dxa" w:w="1073"/>
          </w:tcPr>
          <w:p>
            <w:pPr>
              <w:spacing w:lineRule="auto" w:line="360"/>
              <w:jc w:val="left"/>
            </w:pPr>
            <w:r>
              <w:rPr>
                <w:rFonts w:ascii="Arial" w:hAnsi="Arial"/>
                <w:sz w:val="16"/>
              </w:rPr>
              <w:t>95.0</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55.4</w:t>
            </w:r>
          </w:p>
        </w:tc>
      </w:tr>
      <w:tr>
        <w:tc>
          <w:tcPr>
            <w:tcW w:type="dxa" w:w="1073"/>
          </w:tcPr>
          <w:p>
            <w:pPr>
              <w:spacing w:lineRule="auto" w:line="360"/>
              <w:jc w:val="left"/>
            </w:pPr>
            <w:r>
              <w:rPr>
                <w:rFonts w:ascii="Arial" w:hAnsi="Arial"/>
                <w:sz w:val="16"/>
              </w:rPr>
              <w:t>Yaas</w:t>
            </w:r>
          </w:p>
        </w:tc>
        <w:tc>
          <w:tcPr>
            <w:tcW w:type="dxa" w:w="1073"/>
          </w:tcPr>
          <w:p>
            <w:pPr>
              <w:spacing w:lineRule="auto" w:line="360"/>
              <w:jc w:val="left"/>
            </w:pPr>
            <w:r>
              <w:rPr>
                <w:rFonts w:ascii="Arial" w:hAnsi="Arial"/>
                <w:sz w:val="16"/>
              </w:rPr>
              <w:t>2021</w:t>
            </w:r>
          </w:p>
        </w:tc>
        <w:tc>
          <w:tcPr>
            <w:tcW w:type="dxa" w:w="1073"/>
          </w:tcPr>
          <w:p>
            <w:pPr>
              <w:spacing w:lineRule="auto" w:line="360"/>
              <w:jc w:val="left"/>
            </w:pPr>
            <w:r>
              <w:rPr>
                <w:rFonts w:ascii="Arial" w:hAnsi="Arial"/>
                <w:sz w:val="16"/>
              </w:rPr>
              <w:t>2021-05-26</w:t>
            </w:r>
          </w:p>
        </w:tc>
        <w:tc>
          <w:tcPr>
            <w:tcW w:type="dxa" w:w="1073"/>
          </w:tcPr>
          <w:p>
            <w:pPr>
              <w:spacing w:lineRule="auto" w:line="360"/>
              <w:jc w:val="left"/>
            </w:pPr>
            <w:r>
              <w:rPr>
                <w:rFonts w:ascii="Arial" w:hAnsi="Arial"/>
                <w:sz w:val="16"/>
              </w:rPr>
              <w:t>146</w:t>
            </w:r>
          </w:p>
        </w:tc>
        <w:tc>
          <w:tcPr>
            <w:tcW w:type="dxa" w:w="1073"/>
          </w:tcPr>
          <w:p>
            <w:pPr>
              <w:spacing w:lineRule="auto" w:line="360"/>
              <w:jc w:val="left"/>
            </w:pPr>
            <w:r>
              <w:rPr>
                <w:rFonts w:ascii="Arial" w:hAnsi="Arial"/>
                <w:sz w:val="16"/>
              </w:rPr>
              <w:t>VSCS</w:t>
            </w:r>
          </w:p>
        </w:tc>
        <w:tc>
          <w:tcPr>
            <w:tcW w:type="dxa" w:w="1073"/>
          </w:tcPr>
          <w:p>
            <w:pPr>
              <w:spacing w:lineRule="auto" w:line="360"/>
              <w:jc w:val="left"/>
            </w:pPr>
            <w:r>
              <w:rPr>
                <w:rFonts w:ascii="Arial" w:hAnsi="Arial"/>
                <w:sz w:val="16"/>
              </w:rPr>
              <w:t>3</w:t>
            </w:r>
          </w:p>
        </w:tc>
        <w:tc>
          <w:tcPr>
            <w:tcW w:type="dxa" w:w="1073"/>
          </w:tcPr>
          <w:p>
            <w:pPr>
              <w:spacing w:lineRule="auto" w:line="360"/>
              <w:jc w:val="left"/>
            </w:pPr>
            <w:r>
              <w:rPr>
                <w:rFonts w:ascii="Arial" w:hAnsi="Arial"/>
                <w:sz w:val="16"/>
              </w:rPr>
              <w:t>100</w:t>
            </w:r>
          </w:p>
        </w:tc>
        <w:tc>
          <w:tcPr>
            <w:tcW w:type="dxa" w:w="1073"/>
          </w:tcPr>
          <w:p>
            <w:pPr>
              <w:spacing w:lineRule="auto" w:line="360"/>
              <w:jc w:val="left"/>
            </w:pPr>
            <w:r>
              <w:rPr>
                <w:rFonts w:ascii="Arial" w:hAnsi="Arial"/>
                <w:sz w:val="16"/>
              </w:rPr>
              <w:t>970</w:t>
            </w:r>
          </w:p>
        </w:tc>
        <w:tc>
          <w:tcPr>
            <w:tcW w:type="dxa" w:w="1073"/>
          </w:tcPr>
          <w:p>
            <w:pPr>
              <w:spacing w:lineRule="auto" w:line="360"/>
              <w:jc w:val="left"/>
            </w:pPr>
            <w:r>
              <w:rPr>
                <w:rFonts w:ascii="Arial" w:hAnsi="Arial"/>
                <w:sz w:val="16"/>
              </w:rPr>
              <w:t>2.0</w:t>
            </w:r>
          </w:p>
        </w:tc>
        <w:tc>
          <w:tcPr>
            <w:tcW w:type="dxa" w:w="1073"/>
          </w:tcPr>
          <w:p>
            <w:pPr>
              <w:spacing w:lineRule="auto" w:line="360"/>
              <w:jc w:val="left"/>
            </w:pPr>
            <w:r>
              <w:rPr>
                <w:rFonts w:ascii="Arial" w:hAnsi="Arial"/>
                <w:sz w:val="16"/>
              </w:rPr>
              <w:t>Easterly-wave Bay genesis</w:t>
            </w:r>
          </w:p>
        </w:tc>
        <w:tc>
          <w:tcPr>
            <w:tcW w:type="dxa" w:w="1073"/>
          </w:tcPr>
          <w:p>
            <w:pPr>
              <w:spacing w:lineRule="auto" w:line="360"/>
              <w:jc w:val="left"/>
            </w:pPr>
            <w:r>
              <w:rPr>
                <w:rFonts w:ascii="Arial" w:hAnsi="Arial"/>
                <w:sz w:val="16"/>
              </w:rPr>
              <w:t>81.0</w:t>
            </w:r>
          </w:p>
        </w:tc>
        <w:tc>
          <w:tcPr>
            <w:tcW w:type="dxa" w:w="1073"/>
          </w:tcPr>
          <w:p>
            <w:pPr>
              <w:spacing w:lineRule="auto" w:line="360"/>
              <w:jc w:val="left"/>
            </w:pPr>
            <w:r>
              <w:rPr>
                <w:rFonts w:ascii="Arial" w:hAnsi="Arial"/>
                <w:sz w:val="16"/>
              </w:rPr>
              <w:t>56.2</w:t>
            </w:r>
          </w:p>
        </w:tc>
        <w:tc>
          <w:tcPr>
            <w:tcW w:type="dxa" w:w="1073"/>
          </w:tcPr>
          <w:p>
            <w:pPr>
              <w:spacing w:lineRule="auto" w:line="360"/>
              <w:jc w:val="left"/>
            </w:pPr>
            <w:r>
              <w:rPr>
                <w:rFonts w:ascii="Arial" w:hAnsi="Arial"/>
                <w:sz w:val="16"/>
              </w:rPr>
              <w:t>65.4</w:t>
            </w:r>
          </w:p>
        </w:tc>
        <w:tc>
          <w:tcPr>
            <w:tcW w:type="dxa" w:w="1073"/>
          </w:tcPr>
          <w:p>
            <w:pPr>
              <w:spacing w:lineRule="auto" w:line="360"/>
              <w:jc w:val="left"/>
            </w:pPr>
            <w:r>
              <w:rPr>
                <w:rFonts w:ascii="Arial" w:hAnsi="Arial"/>
                <w:sz w:val="16"/>
              </w:rPr>
              <w:t>64.3</w:t>
            </w:r>
          </w:p>
        </w:tc>
      </w:tr>
    </w:tbl>
    <w:p>
      <w:pPr>
        <w:spacing w:before="0" w:after="120" w:line="276" w:lineRule="auto"/>
      </w:pPr>
      <w:r>
        <w:rPr>
          <w:rFonts w:ascii="Arial" w:hAnsi="Arial"/>
          <w:i/>
          <w:sz w:val="19"/>
          <w:szCs w:val="19"/>
          <w:color w:val="595959"/>
        </w:rPr>
        <w:t xml:space="preserve">Abbreviations: DOY = Day-Of-Year; ESCS = Extremely Severe Cyclonic Storm; IMD = India Meteorological Department; VSCS = Very Severe Cyclonic Storm.</w:t>
      </w:r>
    </w:p>
    <w:p>
      <w:pPr>
        <w:spacing w:lineRule="auto" w:line="480"/>
        <w:jc w:val="left"/>
      </w:pPr>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pPr>
        <w:spacing w:lineRule="auto" w:line="480"/>
        <w:jc w:val="left"/>
      </w:pPr>
      <w:r>
        <w:rPr>
          <w:rFonts w:ascii="Arial" w:hAnsi="Arial"/>
          <w:sz w:val="20"/>
        </w:rPr>
        <w:br w:type="page"/>
      </w:r>
    </w:p>
    <w:p>
      <w:pPr>
        <w:keepNext/>
        <w:spacing w:before="240" w:after="120" w:line="276" w:lineRule="auto"/>
        <w:jc w:val="both"/>
      </w:pPr>
      <w:bookmarkStart w:id="21581" w:name="table_s9"/>
      <w:r>
        <w:rPr>
          <w:rFonts w:ascii="Arial" w:hAnsi="Arial"/>
          <w:b/>
          <w:color w:val="1F3A5F"/>
          <w:sz w:val="32"/>
        </w:rPr>
        <w:t>Table S9 — Canonical S1 dual-pol features</w:t>
      </w:r>
      <w:bookmarkEnd w:id="21581"/>
    </w:p>
    <w:p>
      <w:pPr>
        <w:spacing w:line="276" w:lineRule="auto"/>
        <w:jc w:val="both"/>
      </w:pPr>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pPr>
              <w:spacing w:lineRule="auto" w:line="360"/>
              <w:jc w:val="left"/>
            </w:pPr>
            <w:r>
              <w:rPr>
                <w:rFonts w:ascii="Arial" w:hAnsi="Arial"/>
                <w:b/>
                <w:sz w:val="16"/>
              </w:rPr>
              <w:t>Mechanism</w:t>
            </w:r>
          </w:p>
        </w:tc>
        <w:tc>
          <w:tcPr>
            <w:tcW w:type="dxa" w:w="1002"/>
          </w:tcPr>
          <w:p>
            <w:pPr>
              <w:spacing w:lineRule="auto" w:line="360"/>
              <w:jc w:val="left"/>
            </w:pPr>
            <w:r>
              <w:rPr>
                <w:rFonts w:ascii="Arial" w:hAnsi="Arial"/>
                <w:b/>
                <w:sz w:val="16"/>
              </w:rPr>
              <w:t>Onset DOY</w:t>
            </w:r>
          </w:p>
        </w:tc>
        <w:tc>
          <w:tcPr>
            <w:tcW w:type="dxa" w:w="1002"/>
          </w:tcPr>
          <w:p>
            <w:pPr>
              <w:spacing w:lineRule="auto" w:line="360"/>
              <w:jc w:val="left"/>
            </w:pPr>
            <w:r>
              <w:rPr>
                <w:rFonts w:ascii="Arial" w:hAnsi="Arial"/>
                <w:b/>
                <w:sz w:val="16"/>
              </w:rPr>
              <w:t>Onset rate (d)</w:t>
            </w:r>
          </w:p>
        </w:tc>
        <w:tc>
          <w:tcPr>
            <w:tcW w:type="dxa" w:w="1002"/>
          </w:tcPr>
          <w:p>
            <w:pPr>
              <w:spacing w:lineRule="auto" w:line="360"/>
              <w:jc w:val="left"/>
            </w:pPr>
            <w:r>
              <w:rPr>
                <w:rFonts w:ascii="Arial" w:hAnsi="Arial"/>
                <w:b/>
                <w:sz w:val="16"/>
              </w:rPr>
              <w:t>VH base (dB)</w:t>
            </w:r>
          </w:p>
        </w:tc>
        <w:tc>
          <w:tcPr>
            <w:tcW w:type="dxa" w:w="1002"/>
          </w:tcPr>
          <w:p>
            <w:pPr>
              <w:spacing w:lineRule="auto" w:line="360"/>
              <w:jc w:val="left"/>
            </w:pPr>
            <w:r>
              <w:rPr>
                <w:rFonts w:ascii="Arial" w:hAnsi="Arial"/>
                <w:b/>
                <w:sz w:val="16"/>
              </w:rPr>
              <w:t>VH min (dB)</w:t>
            </w:r>
          </w:p>
        </w:tc>
        <w:tc>
          <w:tcPr>
            <w:tcW w:type="dxa" w:w="1002"/>
          </w:tcPr>
          <w:p>
            <w:pPr>
              <w:spacing w:lineRule="auto" w:line="360"/>
              <w:jc w:val="left"/>
            </w:pPr>
            <w:r>
              <w:rPr>
                <w:rFonts w:ascii="Arial" w:hAnsi="Arial"/>
                <w:b/>
                <w:sz w:val="16"/>
              </w:rPr>
              <w:t>ΔVH (dB)</w:t>
            </w:r>
          </w:p>
        </w:tc>
        <w:tc>
          <w:tcPr>
            <w:tcW w:type="dxa" w:w="1002"/>
          </w:tcPr>
          <w:p>
            <w:pPr>
              <w:spacing w:lineRule="auto" w:line="360"/>
              <w:jc w:val="left"/>
            </w:pPr>
            <w:r>
              <w:rPr>
                <w:rFonts w:ascii="Arial" w:hAnsi="Arial"/>
                <w:b/>
                <w:sz w:val="16"/>
              </w:rPr>
              <w:t>VV base (dB)</w:t>
            </w:r>
          </w:p>
        </w:tc>
        <w:tc>
          <w:tcPr>
            <w:tcW w:type="dxa" w:w="1002"/>
          </w:tcPr>
          <w:p>
            <w:pPr>
              <w:spacing w:lineRule="auto" w:line="360"/>
              <w:jc w:val="left"/>
            </w:pPr>
            <w:r>
              <w:rPr>
                <w:rFonts w:ascii="Arial" w:hAnsi="Arial"/>
                <w:b/>
                <w:sz w:val="16"/>
              </w:rPr>
              <w:t>VV min (dB)</w:t>
            </w:r>
          </w:p>
        </w:tc>
        <w:tc>
          <w:tcPr>
            <w:tcW w:type="dxa" w:w="1002"/>
          </w:tcPr>
          <w:p>
            <w:pPr>
              <w:spacing w:lineRule="auto" w:line="360"/>
              <w:jc w:val="left"/>
            </w:pPr>
            <w:r>
              <w:rPr>
                <w:rFonts w:ascii="Arial" w:hAnsi="Arial"/>
                <w:b/>
                <w:sz w:val="16"/>
              </w:rPr>
              <w:t>ΔVV (dB)</w:t>
            </w:r>
          </w:p>
        </w:tc>
        <w:tc>
          <w:tcPr>
            <w:tcW w:type="dxa" w:w="1002"/>
          </w:tcPr>
          <w:p>
            <w:pPr>
              <w:spacing w:lineRule="auto" w:line="360"/>
              <w:jc w:val="left"/>
            </w:pPr>
            <w:r>
              <w:rPr>
                <w:rFonts w:ascii="Arial" w:hAnsi="Arial"/>
                <w:b/>
                <w:sz w:val="16"/>
              </w:rPr>
              <w:t>CR base (dB)</w:t>
            </w:r>
          </w:p>
        </w:tc>
        <w:tc>
          <w:tcPr>
            <w:tcW w:type="dxa" w:w="1002"/>
          </w:tcPr>
          <w:p>
            <w:pPr>
              <w:spacing w:lineRule="auto" w:line="360"/>
              <w:jc w:val="left"/>
            </w:pPr>
            <w:r>
              <w:rPr>
                <w:rFonts w:ascii="Arial" w:hAnsi="Arial"/>
                <w:b/>
                <w:sz w:val="16"/>
              </w:rPr>
              <w:t>CR min (dB)</w:t>
            </w:r>
          </w:p>
        </w:tc>
        <w:tc>
          <w:tcPr>
            <w:tcW w:type="dxa" w:w="1002"/>
          </w:tcPr>
          <w:p>
            <w:pPr>
              <w:spacing w:lineRule="auto" w:line="360"/>
              <w:jc w:val="left"/>
            </w:pPr>
            <w:r>
              <w:rPr>
                <w:rFonts w:ascii="Arial" w:hAnsi="Arial"/>
                <w:b/>
                <w:sz w:val="16"/>
              </w:rPr>
              <w:t>ΔCR (dB)</w:t>
            </w:r>
          </w:p>
        </w:tc>
        <w:tc>
          <w:tcPr>
            <w:tcW w:type="dxa" w:w="1002"/>
          </w:tcPr>
          <w:p>
            <w:pPr>
              <w:spacing w:lineRule="auto" w:line="360"/>
              <w:jc w:val="left"/>
            </w:pPr>
            <w:r>
              <w:rPr>
                <w:rFonts w:ascii="Arial" w:hAnsi="Arial"/>
                <w:b/>
                <w:sz w:val="16"/>
              </w:rPr>
              <w:t>VH recov. (d)</w:t>
            </w:r>
          </w:p>
        </w:tc>
        <w:tc>
          <w:tcPr>
            <w:tcW w:type="dxa" w:w="1002"/>
          </w:tcPr>
          <w:p>
            <w:pPr>
              <w:spacing w:lineRule="auto" w:line="360"/>
              <w:jc w:val="left"/>
            </w:pPr>
            <w:r>
              <w:rPr>
                <w:rFonts w:ascii="Arial" w:hAnsi="Arial"/>
                <w:b/>
                <w:sz w:val="16"/>
              </w:rPr>
              <w:t>VV recov. (d)</w:t>
            </w:r>
          </w:p>
        </w:tc>
        <w:tc>
          <w:tcPr>
            <w:tcW w:type="dxa" w:w="1002"/>
          </w:tcPr>
          <w:p>
            <w:pPr>
              <w:spacing w:lineRule="auto" w:line="360"/>
              <w:jc w:val="left"/>
            </w:pPr>
            <w:r>
              <w:rPr>
                <w:rFonts w:ascii="Arial" w:hAnsi="Arial"/>
                <w:b/>
                <w:sz w:val="16"/>
              </w:rPr>
              <w:t>CR recov. (d)</w:t>
            </w:r>
          </w:p>
        </w:tc>
      </w:tr>
      <w:tr>
        <w:tc>
          <w:tcPr>
            <w:tcW w:type="dxa" w:w="1002"/>
          </w:tcPr>
          <w:p>
            <w:pPr>
              <w:spacing w:lineRule="auto" w:line="360"/>
              <w:jc w:val="left"/>
            </w:pPr>
            <w:r>
              <w:rPr>
                <w:rFonts w:ascii="Arial" w:hAnsi="Arial"/>
                <w:sz w:val="16"/>
              </w:rPr>
              <w:t>Transplanting flood (agronomic)</w:t>
            </w:r>
          </w:p>
        </w:tc>
        <w:tc>
          <w:tcPr>
            <w:tcW w:type="dxa" w:w="1002"/>
          </w:tcPr>
          <w:p>
            <w:pPr>
              <w:spacing w:lineRule="auto" w:line="360"/>
              <w:jc w:val="left"/>
            </w:pPr>
            <w:r>
              <w:rPr>
                <w:rFonts w:ascii="Arial" w:hAnsi="Arial"/>
                <w:sz w:val="16"/>
              </w:rPr>
              <w:t>188</w:t>
            </w:r>
          </w:p>
        </w:tc>
        <w:tc>
          <w:tcPr>
            <w:tcW w:type="dxa" w:w="1002"/>
          </w:tcPr>
          <w:p>
            <w:pPr>
              <w:spacing w:lineRule="auto" w:line="360"/>
              <w:jc w:val="left"/>
            </w:pPr>
            <w:r>
              <w:rPr>
                <w:rFonts w:ascii="Arial" w:hAnsi="Arial"/>
                <w:sz w:val="16"/>
              </w:rPr>
              <w:t>12</w:t>
            </w:r>
          </w:p>
        </w:tc>
        <w:tc>
          <w:tcPr>
            <w:tcW w:type="dxa" w:w="1002"/>
          </w:tcPr>
          <w:p>
            <w:pPr>
              <w:spacing w:lineRule="auto" w:line="360"/>
              <w:jc w:val="left"/>
            </w:pPr>
            <w:r>
              <w:rPr>
                <w:rFonts w:ascii="Arial" w:hAnsi="Arial"/>
                <w:sz w:val="16"/>
              </w:rPr>
              <w:t>-14.0</w:t>
            </w:r>
          </w:p>
        </w:tc>
        <w:tc>
          <w:tcPr>
            <w:tcW w:type="dxa" w:w="1002"/>
          </w:tcPr>
          <w:p>
            <w:pPr>
              <w:spacing w:lineRule="auto" w:line="360"/>
              <w:jc w:val="left"/>
            </w:pPr>
            <w:r>
              <w:rPr>
                <w:rFonts w:ascii="Arial" w:hAnsi="Arial"/>
                <w:sz w:val="16"/>
              </w:rPr>
              <w:t>-20.5</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-9.0</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-4.5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-7.0</w:t>
            </w:r>
          </w:p>
        </w:tc>
        <w:tc>
          <w:tcPr>
            <w:tcW w:type="dxa" w:w="1002"/>
          </w:tcPr>
          <w:p>
            <w:pPr>
              <w:spacing w:lineRule="auto" w:line="360"/>
              <w:jc w:val="left"/>
            </w:pPr>
            <w:r>
              <w:rPr>
                <w:rFonts w:ascii="Arial" w:hAnsi="Arial"/>
                <w:sz w:val="16"/>
              </w:rPr>
              <w:t>-2.0</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42</w:t>
            </w:r>
          </w:p>
        </w:tc>
      </w:tr>
      <w:tr>
        <w:tc>
          <w:tcPr>
            <w:tcW w:type="dxa" w:w="1002"/>
          </w:tcPr>
          <w:p>
            <w:pPr>
              <w:spacing w:lineRule="auto" w:line="360"/>
              <w:jc w:val="left"/>
            </w:pPr>
            <w:r>
              <w:rPr>
                <w:rFonts w:ascii="Arial" w:hAnsi="Arial"/>
                <w:sz w:val="16"/>
              </w:rPr>
              <w:t>Saline storm-surge (cyclonic)</w:t>
            </w:r>
          </w:p>
        </w:tc>
        <w:tc>
          <w:tcPr>
            <w:tcW w:type="dxa" w:w="1002"/>
          </w:tcPr>
          <w:p>
            <w:pPr>
              <w:spacing w:lineRule="auto" w:line="360"/>
              <w:jc w:val="left"/>
            </w:pPr>
            <w:r>
              <w:rPr>
                <w:rFonts w:ascii="Arial" w:hAnsi="Arial"/>
                <w:sz w:val="16"/>
              </w:rPr>
              <w:t>123</w:t>
            </w:r>
          </w:p>
        </w:tc>
        <w:tc>
          <w:tcPr>
            <w:tcW w:type="dxa" w:w="1002"/>
          </w:tcPr>
          <w:p>
            <w:pPr>
              <w:spacing w:lineRule="auto" w:line="360"/>
              <w:jc w:val="left"/>
            </w:pPr>
            <w:r>
              <w:rPr>
                <w:rFonts w:ascii="Arial" w:hAnsi="Arial"/>
                <w:sz w:val="16"/>
              </w:rPr>
              <w:t>1</w:t>
            </w:r>
          </w:p>
        </w:tc>
        <w:tc>
          <w:tcPr>
            <w:tcW w:type="dxa" w:w="1002"/>
          </w:tcPr>
          <w:p>
            <w:pPr>
              <w:spacing w:lineRule="auto" w:line="360"/>
              <w:jc w:val="left"/>
            </w:pPr>
            <w:r>
              <w:rPr>
                <w:rFonts w:ascii="Arial" w:hAnsi="Arial"/>
                <w:sz w:val="16"/>
              </w:rPr>
              <w:t>-12.0</w:t>
            </w:r>
          </w:p>
        </w:tc>
        <w:tc>
          <w:tcPr>
            <w:tcW w:type="dxa" w:w="1002"/>
          </w:tcPr>
          <w:p>
            <w:pPr>
              <w:spacing w:lineRule="auto" w:line="360"/>
              <w:jc w:val="left"/>
            </w:pPr>
            <w:r>
              <w:rPr>
                <w:rFonts w:ascii="Arial" w:hAnsi="Arial"/>
                <w:sz w:val="16"/>
              </w:rPr>
              <w:t>-22.5</w:t>
            </w:r>
          </w:p>
        </w:tc>
        <w:tc>
          <w:tcPr>
            <w:tcW w:type="dxa" w:w="1002"/>
          </w:tcPr>
          <w:p>
            <w:pPr>
              <w:spacing w:lineRule="auto" w:line="360"/>
              <w:jc w:val="left"/>
            </w:pPr>
            <w:r>
              <w:rPr>
                <w:rFonts w:ascii="Arial" w:hAnsi="Arial"/>
                <w:sz w:val="16"/>
              </w:rPr>
              <w:t>-10.5</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-7.5</w:t>
            </w:r>
          </w:p>
        </w:tc>
        <w:tc>
          <w:tcPr>
            <w:tcW w:type="dxa" w:w="1002"/>
          </w:tcPr>
          <w:p>
            <w:pPr>
              <w:spacing w:lineRule="auto" w:line="360"/>
              <w:jc w:val="left"/>
            </w:pPr>
            <w:r>
              <w:rPr>
                <w:rFonts w:ascii="Arial" w:hAnsi="Arial"/>
                <w:sz w:val="16"/>
              </w:rPr>
              <w:t>-4.0</w:t>
            </w:r>
          </w:p>
        </w:tc>
        <w:tc>
          <w:tcPr>
            <w:tcW w:type="dxa" w:w="1002"/>
          </w:tcPr>
          <w:p>
            <w:pPr>
              <w:spacing w:lineRule="auto" w:line="360"/>
              <w:jc w:val="left"/>
            </w:pPr>
            <w:r>
              <w:rPr>
                <w:rFonts w:ascii="Arial" w:hAnsi="Arial"/>
                <w:sz w:val="16"/>
              </w:rPr>
              <w:t>21</w:t>
            </w:r>
          </w:p>
        </w:tc>
        <w:tc>
          <w:tcPr>
            <w:tcW w:type="dxa" w:w="1002"/>
          </w:tcPr>
          <w:p>
            <w:pPr>
              <w:spacing w:lineRule="auto" w:line="360"/>
              <w:jc w:val="left"/>
            </w:pPr>
            <w:r>
              <w:rPr>
                <w:rFonts w:ascii="Arial" w:hAnsi="Arial"/>
                <w:sz w:val="16"/>
              </w:rPr>
              <w:t>28</w:t>
            </w:r>
          </w:p>
        </w:tc>
        <w:tc>
          <w:tcPr>
            <w:tcW w:type="dxa" w:w="1002"/>
          </w:tcPr>
          <w:p>
            <w:pPr>
              <w:spacing w:lineRule="auto" w:line="360"/>
              <w:jc w:val="left"/>
            </w:pPr>
            <w:r>
              <w:rPr>
                <w:rFonts w:ascii="Arial" w:hAnsi="Arial"/>
                <w:sz w:val="16"/>
              </w:rPr>
              <w:t>24</w:t>
            </w:r>
          </w:p>
        </w:tc>
      </w:tr>
      <w:tr>
        <w:tc>
          <w:tcPr>
            <w:tcW w:type="dxa" w:w="1002"/>
          </w:tcPr>
          <w:p>
            <w:pPr>
              <w:spacing w:lineRule="auto" w:line="360"/>
              <w:jc w:val="left"/>
            </w:pPr>
            <w:r>
              <w:rPr>
                <w:rFonts w:ascii="Arial" w:hAnsi="Arial"/>
                <w:sz w:val="16"/>
              </w:rPr>
              <w:t>Freshwater rainfall (Bulbul-class)</w:t>
            </w:r>
          </w:p>
        </w:tc>
        <w:tc>
          <w:tcPr>
            <w:tcW w:type="dxa" w:w="1002"/>
          </w:tcPr>
          <w:p>
            <w:pPr>
              <w:spacing w:lineRule="auto" w:line="360"/>
              <w:jc w:val="left"/>
            </w:pPr>
            <w:r>
              <w:rPr>
                <w:rFonts w:ascii="Arial" w:hAnsi="Arial"/>
                <w:sz w:val="16"/>
              </w:rPr>
              <w:t>313</w:t>
            </w:r>
          </w:p>
        </w:tc>
        <w:tc>
          <w:tcPr>
            <w:tcW w:type="dxa" w:w="1002"/>
          </w:tcPr>
          <w:p>
            <w:pPr>
              <w:spacing w:lineRule="auto" w:line="360"/>
              <w:jc w:val="left"/>
            </w:pPr>
            <w:r>
              <w:rPr>
                <w:rFonts w:ascii="Arial" w:hAnsi="Arial"/>
                <w:sz w:val="16"/>
              </w:rPr>
              <w:t>2</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-16.5</w:t>
            </w:r>
          </w:p>
        </w:tc>
        <w:tc>
          <w:tcPr>
            <w:tcW w:type="dxa" w:w="1002"/>
          </w:tcPr>
          <w:p>
            <w:pPr>
              <w:spacing w:lineRule="auto" w:line="360"/>
              <w:jc w:val="left"/>
            </w:pPr>
            <w:r>
              <w:rPr>
                <w:rFonts w:ascii="Arial" w:hAnsi="Arial"/>
                <w:sz w:val="16"/>
              </w:rPr>
              <w:t>-3.0</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-10.0</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10</w:t>
            </w:r>
          </w:p>
        </w:tc>
        <w:tc>
          <w:tcPr>
            <w:tcW w:type="dxa" w:w="1002"/>
          </w:tcPr>
          <w:p>
            <w:pPr>
              <w:spacing w:lineRule="auto" w:line="360"/>
              <w:jc w:val="left"/>
            </w:pPr>
            <w:r>
              <w:rPr>
                <w:rFonts w:ascii="Arial" w:hAnsi="Arial"/>
                <w:sz w:val="16"/>
              </w:rPr>
              <w:t>8</w:t>
            </w:r>
          </w:p>
        </w:tc>
        <w:tc>
          <w:tcPr>
            <w:tcW w:type="dxa" w:w="1002"/>
          </w:tcPr>
          <w:p>
            <w:pPr>
              <w:spacing w:lineRule="auto" w:line="360"/>
              <w:jc w:val="left"/>
            </w:pPr>
            <w:r>
              <w:rPr>
                <w:rFonts w:ascii="Arial" w:hAnsi="Arial"/>
                <w:sz w:val="16"/>
              </w:rPr>
              <w:t>9</w:t>
            </w:r>
          </w:p>
        </w:tc>
      </w:tr>
    </w:tbl>
    <w:p>
      <w:pPr>
        <w:spacing w:before="0" w:after="120" w:line="276" w:lineRule="auto"/>
      </w:pPr>
      <w:r>
        <w:rPr>
          <w:rFonts w:ascii="Arial" w:hAnsi="Arial"/>
          <w:i/>
          <w:sz w:val="19"/>
          <w:szCs w:val="19"/>
          <w:color w:val="595959"/>
        </w:rPr>
        <w:t xml:space="preserve">Abbreviations: CR = Cross-Ratio (VH − VV in dB); DOY = Day-Of-Year; VH = Vertical-transmit Horizontal-receive polarisation; VV = Vertical-transmit Vertical-receive polarisation.</w:t>
      </w:r>
    </w:p>
    <w:p>
      <w:pPr>
        <w:spacing w:lineRule="auto" w:line="480"/>
        <w:jc w:val="left"/>
      </w:pPr>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pPr>
        <w:spacing w:lineRule="auto" w:line="480"/>
        <w:jc w:val="left"/>
      </w:pPr>
      <w:r>
        <w:rPr>
          <w:rFonts w:ascii="Arial" w:hAnsi="Arial"/>
          <w:sz w:val="20"/>
        </w:rPr>
        <w:br w:type="page"/>
      </w:r>
    </w:p>
    <w:p>
      <w:pPr>
        <w:keepNext/>
        <w:spacing w:before="240" w:after="120" w:line="276" w:lineRule="auto"/>
        <w:jc w:val="both"/>
      </w:pPr>
      <w:bookmarkStart w:id="99162" w:name="figure_s1"/>
      <w:r>
        <w:rPr>
          <w:rFonts w:ascii="Arial" w:hAnsi="Arial"/>
          <w:b/>
          <w:color w:val="1F3A5F"/>
          <w:sz w:val="32"/>
        </w:rPr>
        <w:t>Figure S1 — Pre-Kharif cyclone climatology</w:t>
      </w:r>
      <w:bookmarkEnd w:id="99162"/>
    </w:p>
    <w:p>
      <w:pPr>
        <w:spacing w:line="240" w:lineRule="auto"/>
        <w:jc w:val="center"/>
      </w:pPr>
      <w:r>
        <w:drawing>
          <wp:inline xmlns:a="http://schemas.openxmlformats.org/drawingml/2006/main" xmlns:pic="http://schemas.openxmlformats.org/drawingml/2006/picture">
            <wp:extent cx="6120000" cy="2465237"/>
            <wp:docPr id="4" name="Picture 4"/>
            <wp:cNvGraphicFramePr>
              <a:graphicFrameLocks noChangeAspect="1"/>
            </wp:cNvGraphicFramePr>
            <a:graphic>
              <a:graphicData uri="http://schemas.openxmlformats.org/drawingml/2006/picture">
                <pic:pic>
                  <pic:nvPicPr>
                    <pic:cNvPr id="0" name="figS1.png"/>
                    <pic:cNvPicPr/>
                  </pic:nvPicPr>
                  <pic:blipFill>
                    <a:blip r:embed="rId13"/>
                    <a:stretch>
                      <a:fillRect/>
                    </a:stretch>
                  </pic:blipFill>
                  <pic:spPr>
                    <a:xfrm>
                      <a:off x="0" y="0"/>
                      <a:ext cx="6120000" cy="2465237"/>
                    </a:xfrm>
                    <a:prstGeom prst="rect"/>
                  </pic:spPr>
                </pic:pic>
              </a:graphicData>
            </a:graphic>
          </wp:inline>
        </w:drawing>
      </w:r>
    </w:p>
    <w:p>
      <w:pPr>
        <w:spacing w:before="120" w:line="276" w:lineRule="auto"/>
        <w:jc w:val="both"/>
      </w:pPr>
      <w:r>
        <w:rPr>
          <w:rFonts w:ascii="Arial" w:hAnsi="Arial"/>
          <w:b/>
          <w:sz w:val="18"/>
        </w:rPr>
        <w:t>Figure S1. (A) Track-genesis schematic; (B) intensity-vs-day-of-year (DOY) scatter on Saffir-Simpson bands. Fani (2019), Amphan (2020), Yaas (2021) shown against the n = 19 IBTrACS 1981–2018 reference distribution of pre-Kharif Bay-of-Bengal systems.</w:t>
      </w:r>
      <w:r>
        <w:rPr>
          <w:rFonts w:ascii="Arial" w:hAnsi="Arial"/>
          <w:i/>
          <w:sz w:val="18"/>
        </w:rPr>
      </w:r>
    </w:p>
    <w:p>
      <w:pPr>
        <w:spacing w:lineRule="auto" w:line="480"/>
        <w:jc w:val="left"/>
      </w:pPr>
      <w:r>
        <w:rPr>
          <w:rFonts w:ascii="Arial" w:hAnsi="Arial"/>
          <w:sz w:val="20"/>
        </w:rPr>
        <w:br w:type="page"/>
      </w:r>
    </w:p>
    <w:p>
      <w:pPr>
        <w:keepNext/>
        <w:spacing w:before="240" w:after="120" w:line="276" w:lineRule="auto"/>
        <w:jc w:val="both"/>
      </w:pPr>
      <w:bookmarkStart w:id="92975" w:name="figure_s2"/>
      <w:r>
        <w:rPr>
          <w:rFonts w:ascii="Arial" w:hAnsi="Arial"/>
          <w:b/>
          <w:color w:val="1F3A5F"/>
          <w:sz w:val="32"/>
        </w:rPr>
        <w:t>Figure S2 — Canonical Sentinel-1 backscatter signatures</w:t>
      </w:r>
      <w:bookmarkEnd w:id="92975"/>
    </w:p>
    <w:p>
      <w:pPr>
        <w:spacing w:line="240" w:lineRule="auto"/>
        <w:jc w:val="center"/>
      </w:pPr>
      <w:r>
        <w:drawing>
          <wp:inline xmlns:a="http://schemas.openxmlformats.org/drawingml/2006/main" xmlns:pic="http://schemas.openxmlformats.org/drawingml/2006/picture">
            <wp:extent cx="6120000" cy="5798354"/>
            <wp:docPr id="3" name="Picture 3"/>
            <wp:cNvGraphicFramePr>
              <a:graphicFrameLocks noChangeAspect="1"/>
            </wp:cNvGraphicFramePr>
            <a:graphic>
              <a:graphicData uri="http://schemas.openxmlformats.org/drawingml/2006/picture">
                <pic:pic>
                  <pic:nvPicPr>
                    <pic:cNvPr id="0" name="figS2.png"/>
                    <pic:cNvPicPr/>
                  </pic:nvPicPr>
                  <pic:blipFill>
                    <a:blip r:embed="rId12"/>
                    <a:stretch>
                      <a:fillRect/>
                    </a:stretch>
                  </pic:blipFill>
                  <pic:spPr>
                    <a:xfrm>
                      <a:off x="0" y="0"/>
                      <a:ext cx="6120000" cy="5798354"/>
                    </a:xfrm>
                    <a:prstGeom prst="rect"/>
                  </pic:spPr>
                </pic:pic>
              </a:graphicData>
            </a:graphic>
          </wp:inline>
        </w:drawing>
      </w:r>
    </w:p>
    <w:p>
      <w:pPr>
        <w:spacing w:before="120" w:line="276" w:lineRule="auto"/>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br w:type="page"/>
      </w:r>
    </w:p>
    <w:p>
      <w:pPr>
        <w:pStyle w:val="Heading2"/>
      </w:pPr>
      <w:r>
        <w:rPr>
          <w:rFonts w:ascii="Arial" w:hAnsi="Arial"/>
        </w:rPr>
        <w:t>Table S10 — MCD12Q2 per-district reconciliation</w:t>
      </w:r>
    </w:p>
    <w:p>
      <w:pPr>
        <w:spacing w:line="276" w:lineRule="auto" w:after="120"/>
      </w:pPr>
      <w:r>
        <w:rPr>
          <w:rFonts w:ascii="Arial" w:hAnsi="Arial"/>
          <w:i/>
          <w:sz w:val="20"/>
        </w:rPr>
        <w:t>Table S10.  Per-district reconciliation of v2.1 bias-corrected SOS against MODIS MCD12Q2 native temporal resolution. Columns: number of years (n_years), raw and v2.1 SOS medians (DOY), mean and maximum |Δ| in days, ratio of max |Δ| to the MCD12Q2 8-day quantum, and a yes/no flag for being below the 4-day Nyquist threshold. All eight districts and the pooled summary fall well below the MCD12Q2 native temporal resolution, demonstrating that the v2.1 correction lies within the noise floor of the reference product.</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district</w:t>
            </w:r>
          </w:p>
        </w:tc>
        <w:tc>
          <w:tcPr>
            <w:tcW w:type="dxa" w:w="1134"/>
          </w:tcPr>
          <w:p>
            <w:pPr>
              <w:spacing w:line="276" w:lineRule="auto"/>
            </w:pPr>
            <w:r>
              <w:rPr>
                <w:rFonts w:ascii="Arial" w:hAnsi="Arial"/>
                <w:b/>
                <w:sz w:val="18"/>
              </w:rPr>
              <w:t>n_years</w:t>
            </w:r>
          </w:p>
        </w:tc>
        <w:tc>
          <w:tcPr>
            <w:tcW w:type="dxa" w:w="1134"/>
          </w:tcPr>
          <w:p>
            <w:pPr>
              <w:spacing w:line="276" w:lineRule="auto"/>
            </w:pPr>
            <w:r>
              <w:rPr>
                <w:rFonts w:ascii="Arial" w:hAnsi="Arial"/>
                <w:b/>
                <w:sz w:val="18"/>
              </w:rPr>
              <w:t>raw_sos_median_d</w:t>
            </w:r>
          </w:p>
        </w:tc>
        <w:tc>
          <w:tcPr>
            <w:tcW w:type="dxa" w:w="1134"/>
          </w:tcPr>
          <w:p>
            <w:pPr>
              <w:spacing w:line="276" w:lineRule="auto"/>
            </w:pPr>
            <w:r>
              <w:rPr>
                <w:rFonts w:ascii="Arial" w:hAnsi="Arial"/>
                <w:b/>
                <w:sz w:val="18"/>
              </w:rPr>
              <w:t>v21_sos_median_d</w:t>
            </w:r>
          </w:p>
        </w:tc>
        <w:tc>
          <w:tcPr>
            <w:tcW w:type="dxa" w:w="1134"/>
          </w:tcPr>
          <w:p>
            <w:pPr>
              <w:spacing w:line="276" w:lineRule="auto"/>
            </w:pPr>
            <w:r>
              <w:rPr>
                <w:rFonts w:ascii="Arial" w:hAnsi="Arial"/>
                <w:b/>
                <w:sz w:val="18"/>
              </w:rPr>
              <w:t>mean_abs_delta_d</w:t>
            </w:r>
          </w:p>
        </w:tc>
        <w:tc>
          <w:tcPr>
            <w:tcW w:type="dxa" w:w="1134"/>
          </w:tcPr>
          <w:p>
            <w:pPr>
              <w:spacing w:line="276" w:lineRule="auto"/>
            </w:pPr>
            <w:r>
              <w:rPr>
                <w:rFonts w:ascii="Arial" w:hAnsi="Arial"/>
                <w:b/>
                <w:sz w:val="18"/>
              </w:rPr>
              <w:t>max_abs_delta_d</w:t>
            </w:r>
          </w:p>
        </w:tc>
        <w:tc>
          <w:tcPr>
            <w:tcW w:type="dxa" w:w="1134"/>
          </w:tcPr>
          <w:p>
            <w:pPr>
              <w:spacing w:line="276" w:lineRule="auto"/>
            </w:pPr>
            <w:r>
              <w:rPr>
                <w:rFonts w:ascii="Arial" w:hAnsi="Arial"/>
                <w:b/>
                <w:sz w:val="18"/>
              </w:rPr>
              <w:t>ratio_to_quantum</w:t>
            </w:r>
          </w:p>
        </w:tc>
        <w:tc>
          <w:tcPr>
            <w:tcW w:type="dxa" w:w="1134"/>
          </w:tcPr>
          <w:p>
            <w:pPr>
              <w:spacing w:line="276" w:lineRule="auto"/>
            </w:pPr>
            <w:r>
              <w:rPr>
                <w:rFonts w:ascii="Arial" w:hAnsi="Arial"/>
                <w:b/>
                <w:sz w:val="18"/>
              </w:rPr>
              <w:t>below_nyquist</w:t>
            </w:r>
          </w:p>
        </w:tc>
      </w:tr>
      <w:tr>
        <w:tc>
          <w:tcPr>
            <w:tcW w:type="dxa" w:w="1134"/>
          </w:tcPr>
          <w:p>
            <w:pPr>
              <w:spacing w:line="276" w:lineRule="auto"/>
            </w:pPr>
            <w:r>
              <w:rPr>
                <w:rFonts w:ascii="Arial" w:hAnsi="Arial"/>
                <w:sz w:val="18"/>
              </w:rPr>
              <w:t>Angul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Baleshwar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0.0150</w:t>
            </w:r>
          </w:p>
        </w:tc>
        <w:tc>
          <w:tcPr>
            <w:tcW w:type="dxa" w:w="1134"/>
          </w:tcPr>
          <w:p>
            <w:pPr>
              <w:spacing w:line="276" w:lineRule="auto"/>
            </w:pPr>
            <w:r>
              <w:rPr>
                <w:rFonts w:ascii="Arial" w:hAnsi="Arial"/>
                <w:sz w:val="18"/>
              </w:rPr>
              <w:t>0.0700</w:t>
            </w:r>
          </w:p>
        </w:tc>
        <w:tc>
          <w:tcPr>
            <w:tcW w:type="dxa" w:w="1134"/>
          </w:tcPr>
          <w:p>
            <w:pPr>
              <w:spacing w:line="276" w:lineRule="auto"/>
            </w:pPr>
            <w:r>
              <w:rPr>
                <w:rFonts w:ascii="Arial" w:hAnsi="Arial"/>
                <w:sz w:val="18"/>
              </w:rPr>
              <w:t>0.0087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Bhadrak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Cuttack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0.1800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Dhenkanal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Jagatsinghpur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211.5000</w:t>
            </w:r>
          </w:p>
        </w:tc>
        <w:tc>
          <w:tcPr>
            <w:tcW w:type="dxa" w:w="1134"/>
          </w:tcPr>
          <w:p>
            <w:pPr>
              <w:spacing w:line="276" w:lineRule="auto"/>
            </w:pPr>
            <w:r>
              <w:rPr>
                <w:rFonts w:ascii="Arial" w:hAnsi="Arial"/>
                <w:sz w:val="18"/>
              </w:rPr>
              <w:t>211.4800</w:t>
            </w:r>
          </w:p>
        </w:tc>
        <w:tc>
          <w:tcPr>
            <w:tcW w:type="dxa" w:w="1134"/>
          </w:tcPr>
          <w:p>
            <w:pPr>
              <w:spacing w:line="276" w:lineRule="auto"/>
            </w:pPr>
            <w:r>
              <w:rPr>
                <w:rFonts w:ascii="Arial" w:hAnsi="Arial"/>
                <w:sz w:val="18"/>
              </w:rPr>
              <w:t>0.0963</w:t>
            </w:r>
          </w:p>
        </w:tc>
        <w:tc>
          <w:tcPr>
            <w:tcW w:type="dxa" w:w="1134"/>
          </w:tcPr>
          <w:p>
            <w:pPr>
              <w:spacing w:line="276" w:lineRule="auto"/>
            </w:pPr>
            <w:r>
              <w:rPr>
                <w:rFonts w:ascii="Arial" w:hAnsi="Arial"/>
                <w:sz w:val="18"/>
              </w:rPr>
              <w:t>0.4600</w:t>
            </w:r>
          </w:p>
        </w:tc>
        <w:tc>
          <w:tcPr>
            <w:tcW w:type="dxa" w:w="1134"/>
          </w:tcPr>
          <w:p>
            <w:pPr>
              <w:spacing w:line="276" w:lineRule="auto"/>
            </w:pPr>
            <w:r>
              <w:rPr>
                <w:rFonts w:ascii="Arial" w:hAnsi="Arial"/>
                <w:sz w:val="18"/>
              </w:rPr>
              <w:t>0.0575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Kendrapara</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195.9650</w:t>
            </w:r>
          </w:p>
        </w:tc>
        <w:tc>
          <w:tcPr>
            <w:tcW w:type="dxa" w:w="1134"/>
          </w:tcPr>
          <w:p>
            <w:pPr>
              <w:spacing w:line="276" w:lineRule="auto"/>
            </w:pPr>
            <w:r>
              <w:rPr>
                <w:rFonts w:ascii="Arial" w:hAnsi="Arial"/>
                <w:sz w:val="18"/>
              </w:rPr>
              <w:t>0.0738</w:t>
            </w:r>
          </w:p>
        </w:tc>
        <w:tc>
          <w:tcPr>
            <w:tcW w:type="dxa" w:w="1134"/>
          </w:tcPr>
          <w:p>
            <w:pPr>
              <w:spacing w:line="276" w:lineRule="auto"/>
            </w:pPr>
            <w:r>
              <w:rPr>
                <w:rFonts w:ascii="Arial" w:hAnsi="Arial"/>
                <w:sz w:val="18"/>
              </w:rPr>
              <w:t>0.4100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Puri</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0.3500</w:t>
            </w:r>
          </w:p>
        </w:tc>
        <w:tc>
          <w:tcPr>
            <w:tcW w:type="dxa" w:w="1134"/>
          </w:tcPr>
          <w:p>
            <w:pPr>
              <w:spacing w:line="276" w:lineRule="auto"/>
            </w:pPr>
            <w:r>
              <w:rPr>
                <w:rFonts w:ascii="Arial" w:hAnsi="Arial"/>
                <w:sz w:val="18"/>
              </w:rPr>
              <w:t>0.0437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ALL (pooled)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0.0498</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S11 — ICRISAT VDSA Bhadrak reconciliation</w:t>
      </w:r>
    </w:p>
    <w:p>
      <w:pPr>
        <w:spacing w:line="276" w:lineRule="auto" w:after="120"/>
      </w:pPr>
      <w:r>
        <w:rPr>
          <w:rFonts w:ascii="Arial" w:hAnsi="Arial"/>
          <w:i/>
          <w:sz w:val="20"/>
        </w:rPr>
        <w:t>Table S11.  Year-by-year reconciliation of v2.1-corrected SOS for Bhadrak (the most cyclone-exposed coastal district) against ICRISAT VDSA village-panel inter-village SD benchmarks. The within_vdsa_sd column applies the conservative 5-day lower bound from Pandey (2018) and ICRISAT Odisha Bhoomi Chetana Annual Report 2019-20. The maximum correction (1.01 d in 2021, the Yaas year) is 20.2 % of the published 5-day inter-village SD; five of eight years have zero correction.</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year</w:t>
            </w:r>
          </w:p>
        </w:tc>
        <w:tc>
          <w:tcPr>
            <w:tcW w:type="dxa" w:w="1134"/>
          </w:tcPr>
          <w:p>
            <w:pPr>
              <w:spacing w:line="276" w:lineRule="auto"/>
            </w:pPr>
            <w:r>
              <w:rPr>
                <w:rFonts w:ascii="Arial" w:hAnsi="Arial"/>
                <w:b/>
                <w:sz w:val="18"/>
              </w:rPr>
              <w:t>year_type</w:t>
            </w:r>
          </w:p>
        </w:tc>
        <w:tc>
          <w:tcPr>
            <w:tcW w:type="dxa" w:w="1134"/>
          </w:tcPr>
          <w:p>
            <w:pPr>
              <w:spacing w:line="276" w:lineRule="auto"/>
            </w:pPr>
            <w:r>
              <w:rPr>
                <w:rFonts w:ascii="Arial" w:hAnsi="Arial"/>
                <w:b/>
                <w:sz w:val="18"/>
              </w:rPr>
              <w:t>cyclone_exposure</w:t>
            </w:r>
          </w:p>
        </w:tc>
        <w:tc>
          <w:tcPr>
            <w:tcW w:type="dxa" w:w="1134"/>
          </w:tcPr>
          <w:p>
            <w:pPr>
              <w:spacing w:line="276" w:lineRule="auto"/>
            </w:pPr>
            <w:r>
              <w:rPr>
                <w:rFonts w:ascii="Arial" w:hAnsi="Arial"/>
                <w:b/>
                <w:sz w:val="18"/>
              </w:rPr>
              <w:t>raw_sos_doy</w:t>
            </w:r>
          </w:p>
        </w:tc>
        <w:tc>
          <w:tcPr>
            <w:tcW w:type="dxa" w:w="1134"/>
          </w:tcPr>
          <w:p>
            <w:pPr>
              <w:spacing w:line="276" w:lineRule="auto"/>
            </w:pPr>
            <w:r>
              <w:rPr>
                <w:rFonts w:ascii="Arial" w:hAnsi="Arial"/>
                <w:b/>
                <w:sz w:val="18"/>
              </w:rPr>
              <w:t>v21_sos_doy</w:t>
            </w:r>
          </w:p>
        </w:tc>
        <w:tc>
          <w:tcPr>
            <w:tcW w:type="dxa" w:w="1134"/>
          </w:tcPr>
          <w:p>
            <w:pPr>
              <w:spacing w:line="276" w:lineRule="auto"/>
            </w:pPr>
            <w:r>
              <w:rPr>
                <w:rFonts w:ascii="Arial" w:hAnsi="Arial"/>
                <w:b/>
                <w:sz w:val="18"/>
              </w:rPr>
              <w:t>delta_d</w:t>
            </w:r>
          </w:p>
        </w:tc>
        <w:tc>
          <w:tcPr>
            <w:tcW w:type="dxa" w:w="1134"/>
          </w:tcPr>
          <w:p>
            <w:pPr>
              <w:spacing w:line="276" w:lineRule="auto"/>
            </w:pPr>
            <w:r>
              <w:rPr>
                <w:rFonts w:ascii="Arial" w:hAnsi="Arial"/>
                <w:b/>
                <w:sz w:val="18"/>
              </w:rPr>
              <w:t>abs_delta_d</w:t>
            </w:r>
          </w:p>
        </w:tc>
        <w:tc>
          <w:tcPr>
            <w:tcW w:type="dxa" w:w="1134"/>
          </w:tcPr>
          <w:p>
            <w:pPr>
              <w:spacing w:line="276" w:lineRule="auto"/>
            </w:pPr>
            <w:r>
              <w:rPr>
                <w:rFonts w:ascii="Arial" w:hAnsi="Arial"/>
                <w:b/>
                <w:sz w:val="18"/>
              </w:rPr>
              <w:t>within_vdsa_sd</w:t>
            </w:r>
          </w:p>
        </w:tc>
      </w:tr>
      <w:tr>
        <w:tc>
          <w:tcPr>
            <w:tcW w:type="dxa" w:w="1134"/>
          </w:tcPr>
          <w:p>
            <w:pPr>
              <w:spacing w:line="276" w:lineRule="auto"/>
            </w:pPr>
            <w:r>
              <w:rPr>
                <w:rFonts w:ascii="Arial" w:hAnsi="Arial"/>
                <w:sz w:val="18"/>
              </w:rPr>
              <w:t>2017</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2018</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2019</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2020</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259.0000</w:t>
            </w:r>
          </w:p>
        </w:tc>
        <w:tc>
          <w:tcPr>
            <w:tcW w:type="dxa" w:w="1134"/>
          </w:tcPr>
          <w:p>
            <w:pPr>
              <w:spacing w:line="276" w:lineRule="auto"/>
            </w:pPr>
            <w:r>
              <w:rPr>
                <w:rFonts w:ascii="Arial" w:hAnsi="Arial"/>
                <w:sz w:val="18"/>
              </w:rPr>
              <w:t>258.8900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2021</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194.9900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2022</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2023</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2024</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SUMMARY</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S12 — District yield-anomaly correlation cross-check</w:t>
      </w:r>
    </w:p>
    <w:p>
      <w:pPr>
        <w:spacing w:line="276" w:lineRule="auto" w:after="120"/>
      </w:pPr>
      <w:r>
        <w:rPr>
          <w:rFonts w:ascii="Arial" w:hAnsi="Arial"/>
          <w:i/>
          <w:sz w:val="20"/>
        </w:rPr>
        <w:t>Table S12.  Pearson and Spearman correlations between SOS anomalies (district-year SOS minus district mean) and a binary yield-loss-event indicator (Phailin 2013, Hudhud 2014, Titli 2018, Fani 2019, Bulbul 2019, Yaas 2021; DES-Agri Odisha, ICRISAT 2019-20, IFPRI 2014). Reported separately for the raw v1 panel and the v2.1 corrected panel. The Δ row shows that the corrected and raw correlations differ by Δr ≤ 0.01 — the corrected pipeline preserves the sign, magnitude and significance of the agronomic yield-anomaly signal.</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pipeline</w:t>
            </w:r>
          </w:p>
        </w:tc>
        <w:tc>
          <w:tcPr>
            <w:tcW w:type="dxa" w:w="1134"/>
          </w:tcPr>
          <w:p>
            <w:pPr>
              <w:spacing w:line="276" w:lineRule="auto"/>
            </w:pPr>
            <w:r>
              <w:rPr>
                <w:rFonts w:ascii="Arial" w:hAnsi="Arial"/>
                <w:b/>
                <w:sz w:val="18"/>
              </w:rPr>
              <w:t>n_obs</w:t>
            </w:r>
          </w:p>
        </w:tc>
        <w:tc>
          <w:tcPr>
            <w:tcW w:type="dxa" w:w="1134"/>
          </w:tcPr>
          <w:p>
            <w:pPr>
              <w:spacing w:line="276" w:lineRule="auto"/>
            </w:pPr>
            <w:r>
              <w:rPr>
                <w:rFonts w:ascii="Arial" w:hAnsi="Arial"/>
                <w:b/>
                <w:sz w:val="18"/>
              </w:rPr>
              <w:t>pearson_r_all</w:t>
            </w:r>
          </w:p>
        </w:tc>
        <w:tc>
          <w:tcPr>
            <w:tcW w:type="dxa" w:w="1134"/>
          </w:tcPr>
          <w:p>
            <w:pPr>
              <w:spacing w:line="276" w:lineRule="auto"/>
            </w:pPr>
            <w:r>
              <w:rPr>
                <w:rFonts w:ascii="Arial" w:hAnsi="Arial"/>
                <w:b/>
                <w:sz w:val="18"/>
              </w:rPr>
              <w:t>pearson_p_all</w:t>
            </w:r>
          </w:p>
        </w:tc>
        <w:tc>
          <w:tcPr>
            <w:tcW w:type="dxa" w:w="1134"/>
          </w:tcPr>
          <w:p>
            <w:pPr>
              <w:spacing w:line="276" w:lineRule="auto"/>
            </w:pPr>
            <w:r>
              <w:rPr>
                <w:rFonts w:ascii="Arial" w:hAnsi="Arial"/>
                <w:b/>
                <w:sz w:val="18"/>
              </w:rPr>
              <w:t>spearman_r_all</w:t>
            </w:r>
          </w:p>
        </w:tc>
        <w:tc>
          <w:tcPr>
            <w:tcW w:type="dxa" w:w="1134"/>
          </w:tcPr>
          <w:p>
            <w:pPr>
              <w:spacing w:line="276" w:lineRule="auto"/>
            </w:pPr>
            <w:r>
              <w:rPr>
                <w:rFonts w:ascii="Arial" w:hAnsi="Arial"/>
                <w:b/>
                <w:sz w:val="18"/>
              </w:rPr>
              <w:t>spearman_p_all</w:t>
            </w:r>
          </w:p>
        </w:tc>
        <w:tc>
          <w:tcPr>
            <w:tcW w:type="dxa" w:w="1134"/>
          </w:tcPr>
          <w:p>
            <w:pPr>
              <w:spacing w:line="276" w:lineRule="auto"/>
            </w:pPr>
            <w:r>
              <w:rPr>
                <w:rFonts w:ascii="Arial" w:hAnsi="Arial"/>
                <w:b/>
                <w:sz w:val="18"/>
              </w:rPr>
              <w:t>pearson_r_coastal</w:t>
            </w:r>
          </w:p>
        </w:tc>
        <w:tc>
          <w:tcPr>
            <w:tcW w:type="dxa" w:w="1134"/>
          </w:tcPr>
          <w:p>
            <w:pPr>
              <w:spacing w:line="276" w:lineRule="auto"/>
            </w:pPr>
            <w:r>
              <w:rPr>
                <w:rFonts w:ascii="Arial" w:hAnsi="Arial"/>
                <w:b/>
                <w:sz w:val="18"/>
              </w:rPr>
              <w:t>pearson_p_coastal</w:t>
            </w:r>
          </w:p>
        </w:tc>
      </w:tr>
      <w:tr>
        <w:tc>
          <w:tcPr>
            <w:tcW w:type="dxa" w:w="1134"/>
          </w:tcPr>
          <w:p>
            <w:pPr>
              <w:spacing w:line="276" w:lineRule="auto"/>
            </w:pPr>
            <w:r>
              <w:rPr>
                <w:rFonts w:ascii="Arial" w:hAnsi="Arial"/>
                <w:sz w:val="18"/>
              </w:rPr>
              <w:t>raw</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-0.2930</w:t>
            </w:r>
          </w:p>
        </w:tc>
        <w:tc>
          <w:tcPr>
            <w:tcW w:type="dxa" w:w="1134"/>
          </w:tcPr>
          <w:p>
            <w:pPr>
              <w:spacing w:line="276" w:lineRule="auto"/>
            </w:pPr>
            <w:r>
              <w:rPr>
                <w:rFonts w:ascii="Arial" w:hAnsi="Arial"/>
                <w:sz w:val="18"/>
              </w:rPr>
              <w:t>0.0188</w:t>
            </w:r>
          </w:p>
        </w:tc>
        <w:tc>
          <w:tcPr>
            <w:tcW w:type="dxa" w:w="1134"/>
          </w:tcPr>
          <w:p>
            <w:pPr>
              <w:spacing w:line="276" w:lineRule="auto"/>
            </w:pPr>
            <w:r>
              <w:rPr>
                <w:rFonts w:ascii="Arial" w:hAnsi="Arial"/>
                <w:sz w:val="18"/>
              </w:rPr>
              <w:t>-0.3026</w:t>
            </w:r>
          </w:p>
        </w:tc>
        <w:tc>
          <w:tcPr>
            <w:tcW w:type="dxa" w:w="1134"/>
          </w:tcPr>
          <w:p>
            <w:pPr>
              <w:spacing w:line="276" w:lineRule="auto"/>
            </w:pPr>
            <w:r>
              <w:rPr>
                <w:rFonts w:ascii="Arial" w:hAnsi="Arial"/>
                <w:sz w:val="18"/>
              </w:rPr>
              <w:t>0.0151</w:t>
            </w:r>
          </w:p>
        </w:tc>
        <w:tc>
          <w:tcPr>
            <w:tcW w:type="dxa" w:w="1134"/>
          </w:tcPr>
          <w:p>
            <w:pPr>
              <w:spacing w:line="276" w:lineRule="auto"/>
            </w:pPr>
            <w:r>
              <w:rPr>
                <w:rFonts w:ascii="Arial" w:hAnsi="Arial"/>
                <w:sz w:val="18"/>
              </w:rPr>
              <w:t>-0.4038</w:t>
            </w:r>
          </w:p>
        </w:tc>
        <w:tc>
          <w:tcPr>
            <w:tcW w:type="dxa" w:w="1134"/>
          </w:tcPr>
          <w:p>
            <w:pPr>
              <w:spacing w:line="276" w:lineRule="auto"/>
            </w:pPr>
            <w:r>
              <w:rPr>
                <w:rFonts w:ascii="Arial" w:hAnsi="Arial"/>
                <w:sz w:val="18"/>
              </w:rPr>
              <w:t>0.0098</w:t>
            </w:r>
          </w:p>
        </w:tc>
      </w:tr>
      <w:tr>
        <w:tc>
          <w:tcPr>
            <w:tcW w:type="dxa" w:w="1134"/>
          </w:tcPr>
          <w:p>
            <w:pPr>
              <w:spacing w:line="276" w:lineRule="auto"/>
            </w:pPr>
            <w:r>
              <w:rPr>
                <w:rFonts w:ascii="Arial" w:hAnsi="Arial"/>
                <w:sz w:val="18"/>
              </w:rPr>
              <w:t>corrected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-0.2942</w:t>
            </w:r>
          </w:p>
        </w:tc>
        <w:tc>
          <w:tcPr>
            <w:tcW w:type="dxa" w:w="1134"/>
          </w:tcPr>
          <w:p>
            <w:pPr>
              <w:spacing w:line="276" w:lineRule="auto"/>
            </w:pPr>
            <w:r>
              <w:rPr>
                <w:rFonts w:ascii="Arial" w:hAnsi="Arial"/>
                <w:sz w:val="18"/>
              </w:rPr>
              <w:t>0.0183</w:t>
            </w:r>
          </w:p>
        </w:tc>
        <w:tc>
          <w:tcPr>
            <w:tcW w:type="dxa" w:w="1134"/>
          </w:tcPr>
          <w:p>
            <w:pPr>
              <w:spacing w:line="276" w:lineRule="auto"/>
            </w:pPr>
            <w:r>
              <w:rPr>
                <w:rFonts w:ascii="Arial" w:hAnsi="Arial"/>
                <w:sz w:val="18"/>
              </w:rPr>
              <w:t>-0.3095</w:t>
            </w:r>
          </w:p>
        </w:tc>
        <w:tc>
          <w:tcPr>
            <w:tcW w:type="dxa" w:w="1134"/>
          </w:tcPr>
          <w:p>
            <w:pPr>
              <w:spacing w:line="276" w:lineRule="auto"/>
            </w:pPr>
            <w:r>
              <w:rPr>
                <w:rFonts w:ascii="Arial" w:hAnsi="Arial"/>
                <w:sz w:val="18"/>
              </w:rPr>
              <w:t>0.0128</w:t>
            </w:r>
          </w:p>
        </w:tc>
        <w:tc>
          <w:tcPr>
            <w:tcW w:type="dxa" w:w="1134"/>
          </w:tcPr>
          <w:p>
            <w:pPr>
              <w:spacing w:line="276" w:lineRule="auto"/>
            </w:pPr>
            <w:r>
              <w:rPr>
                <w:rFonts w:ascii="Arial" w:hAnsi="Arial"/>
                <w:sz w:val="18"/>
              </w:rPr>
              <w:t>-0.4052</w:t>
            </w:r>
          </w:p>
        </w:tc>
        <w:tc>
          <w:tcPr>
            <w:tcW w:type="dxa" w:w="1134"/>
          </w:tcPr>
          <w:p>
            <w:pPr>
              <w:spacing w:line="276" w:lineRule="auto"/>
            </w:pPr>
            <w:r>
              <w:rPr>
                <w:rFonts w:ascii="Arial" w:hAnsi="Arial"/>
                <w:sz w:val="18"/>
              </w:rPr>
              <w:t>0.0095</w:t>
            </w:r>
          </w:p>
        </w:tc>
      </w:tr>
      <w:tr>
        <w:tc>
          <w:tcPr>
            <w:tcW w:type="dxa" w:w="1134"/>
          </w:tcPr>
          <w:p>
            <w:pPr>
              <w:spacing w:line="276" w:lineRule="auto"/>
            </w:pPr>
            <w:r>
              <w:rPr>
                <w:rFonts w:ascii="Arial" w:hAnsi="Arial"/>
                <w:sz w:val="18"/>
              </w:rPr>
              <w:t>Δ (v21 − v1)</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-0.0012</w:t>
            </w:r>
          </w:p>
        </w:tc>
        <w:tc>
          <w:tcPr>
            <w:tcW w:type="dxa" w:w="1134"/>
          </w:tcPr>
          <w:p>
            <w:pPr>
              <w:spacing w:line="276" w:lineRule="auto"/>
            </w:pPr>
            <w:r>
              <w:rPr>
                <w:rFonts w:ascii="Arial" w:hAnsi="Arial"/>
                <w:sz w:val="18"/>
              </w:rPr>
              <w:t>-4.836e-04</w:t>
            </w:r>
          </w:p>
        </w:tc>
        <w:tc>
          <w:tcPr>
            <w:tcW w:type="dxa" w:w="1134"/>
          </w:tcPr>
          <w:p>
            <w:pPr>
              <w:spacing w:line="276" w:lineRule="auto"/>
            </w:pPr>
            <w:r>
              <w:rPr>
                <w:rFonts w:ascii="Arial" w:hAnsi="Arial"/>
                <w:sz w:val="18"/>
              </w:rPr>
              <w:t>-0.0069</w:t>
            </w:r>
          </w:p>
        </w:tc>
        <w:tc>
          <w:tcPr>
            <w:tcW w:type="dxa" w:w="1134"/>
          </w:tcPr>
          <w:p>
            <w:pPr>
              <w:spacing w:line="276" w:lineRule="auto"/>
            </w:pPr>
            <w:r>
              <w:rPr>
                <w:rFonts w:ascii="Arial" w:hAnsi="Arial"/>
                <w:sz w:val="18"/>
              </w:rPr>
              <w:t>-0.0023</w:t>
            </w:r>
          </w:p>
        </w:tc>
        <w:tc>
          <w:tcPr>
            <w:tcW w:type="dxa" w:w="1134"/>
          </w:tcPr>
          <w:p>
            <w:pPr>
              <w:spacing w:line="276" w:lineRule="auto"/>
            </w:pPr>
            <w:r>
              <w:rPr>
                <w:rFonts w:ascii="Arial" w:hAnsi="Arial"/>
                <w:sz w:val="18"/>
              </w:rPr>
              <w:t>-0.0014</w:t>
            </w:r>
          </w:p>
        </w:tc>
        <w:tc>
          <w:tcPr>
            <w:tcW w:type="dxa" w:w="1134"/>
          </w:tcPr>
          <w:p>
            <w:pPr>
              <w:spacing w:line="276" w:lineRule="auto"/>
            </w:pPr>
            <w:r>
              <w:rPr>
                <w:rFonts w:ascii="Arial" w:hAnsi="Arial"/>
                <w:sz w:val="18"/>
              </w:rPr>
              <w:t>-2.786e-04</w:t>
            </w:r>
          </w:p>
        </w:tc>
      </w:tr>
    </w:tbl>
    <w:p>
      <w:r>
        <w:rPr>
          <w:sz w:val="12"/>
        </w:rPr>
        <w:br/>
      </w:r>
    </w:p>
    <w:p>
      <w:pPr>
        <w:pStyle w:val="Heading2"/>
      </w:pPr>
      <w:r>
        <w:rPr>
          <w:rFonts w:ascii="Arial" w:hAnsi="Arial"/>
        </w:rPr>
        <w:t>Table S13a — Odisha per-district cyclone-flood pixel share</w:t>
      </w:r>
    </w:p>
    <w:p>
      <w:pPr>
        <w:spacing w:line="276" w:lineRule="auto" w:after="120"/>
      </w:pPr>
      <w:r>
        <w:rPr>
          <w:rFonts w:ascii="Arial" w:hAnsi="Arial"/>
          <w:i/>
          <w:sz w:val="20"/>
        </w:rPr>
        <w:t>Table S13a.  Per-district share of pixels classified as cyclone-flood by the v0.3.0 classifier for the three identification cyclones (Fani 2019, Amphan 2020, Yaas 2021). Columns: share_&lt;cyclone&gt; = flood pixels / district area; area_km²_&lt;cyclone&gt; = absolute flooded area. Bhadrak (Yaas, 7.21 %) and Puri (Fani, 2.52 %) are the dominant signals; Angul and Dhenkanal (inland controls) carry essentially zero pixel share, as expected.</w:t>
      </w:r>
    </w:p>
    <w:tbl>
      <w:tblPr>
        <w:tblStyle w:val="LightGrid-Accent1"/>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76" w:lineRule="auto"/>
            </w:pPr>
            <w:r>
              <w:rPr>
                <w:rFonts w:ascii="Arial" w:hAnsi="Arial"/>
                <w:b/>
                <w:sz w:val="18"/>
              </w:rPr>
              <w:t>district</w:t>
            </w:r>
          </w:p>
        </w:tc>
        <w:tc>
          <w:tcPr>
            <w:tcW w:type="dxa" w:w="1296"/>
          </w:tcPr>
          <w:p>
            <w:pPr>
              <w:spacing w:line="276" w:lineRule="auto"/>
            </w:pPr>
            <w:r>
              <w:rPr>
                <w:rFonts w:ascii="Arial" w:hAnsi="Arial"/>
                <w:b/>
                <w:sz w:val="18"/>
              </w:rPr>
              <w:t>share_Amphan</w:t>
            </w:r>
          </w:p>
        </w:tc>
        <w:tc>
          <w:tcPr>
            <w:tcW w:type="dxa" w:w="1296"/>
          </w:tcPr>
          <w:p>
            <w:pPr>
              <w:spacing w:line="276" w:lineRule="auto"/>
            </w:pPr>
            <w:r>
              <w:rPr>
                <w:rFonts w:ascii="Arial" w:hAnsi="Arial"/>
                <w:b/>
                <w:sz w:val="18"/>
              </w:rPr>
              <w:t>share_Fani</w:t>
            </w:r>
          </w:p>
        </w:tc>
        <w:tc>
          <w:tcPr>
            <w:tcW w:type="dxa" w:w="1296"/>
          </w:tcPr>
          <w:p>
            <w:pPr>
              <w:spacing w:line="276" w:lineRule="auto"/>
            </w:pPr>
            <w:r>
              <w:rPr>
                <w:rFonts w:ascii="Arial" w:hAnsi="Arial"/>
                <w:b/>
                <w:sz w:val="18"/>
              </w:rPr>
              <w:t>share_Yaas</w:t>
            </w:r>
          </w:p>
        </w:tc>
        <w:tc>
          <w:tcPr>
            <w:tcW w:type="dxa" w:w="1296"/>
          </w:tcPr>
          <w:p>
            <w:pPr>
              <w:spacing w:line="276" w:lineRule="auto"/>
            </w:pPr>
            <w:r>
              <w:rPr>
                <w:rFonts w:ascii="Arial" w:hAnsi="Arial"/>
                <w:b/>
                <w:sz w:val="18"/>
              </w:rPr>
              <w:t>area_km2_Amphan</w:t>
            </w:r>
          </w:p>
        </w:tc>
        <w:tc>
          <w:tcPr>
            <w:tcW w:type="dxa" w:w="1296"/>
          </w:tcPr>
          <w:p>
            <w:pPr>
              <w:spacing w:line="276" w:lineRule="auto"/>
            </w:pPr>
            <w:r>
              <w:rPr>
                <w:rFonts w:ascii="Arial" w:hAnsi="Arial"/>
                <w:b/>
                <w:sz w:val="18"/>
              </w:rPr>
              <w:t>area_km2_Fani</w:t>
            </w:r>
          </w:p>
        </w:tc>
        <w:tc>
          <w:tcPr>
            <w:tcW w:type="dxa" w:w="1296"/>
          </w:tcPr>
          <w:p>
            <w:pPr>
              <w:spacing w:line="276" w:lineRule="auto"/>
            </w:pPr>
            <w:r>
              <w:rPr>
                <w:rFonts w:ascii="Arial" w:hAnsi="Arial"/>
                <w:b/>
                <w:sz w:val="18"/>
              </w:rPr>
              <w:t>area_km2_Yaas</w:t>
            </w:r>
          </w:p>
        </w:tc>
      </w:tr>
      <w:tr>
        <w:tc>
          <w:tcPr>
            <w:tcW w:type="dxa" w:w="1296"/>
          </w:tcPr>
          <w:p>
            <w:pPr>
              <w:spacing w:line="276" w:lineRule="auto"/>
            </w:pPr>
            <w:r>
              <w:rPr>
                <w:rFonts w:ascii="Arial" w:hAnsi="Arial"/>
                <w:sz w:val="18"/>
              </w:rPr>
              <w:t>Angul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7.321e-06</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0.04679</w:t>
            </w:r>
          </w:p>
        </w:tc>
      </w:tr>
      <w:tr>
        <w:tc>
          <w:tcPr>
            <w:tcW w:type="dxa" w:w="1296"/>
          </w:tcPr>
          <w:p>
            <w:pPr>
              <w:spacing w:line="276" w:lineRule="auto"/>
            </w:pPr>
            <w:r>
              <w:rPr>
                <w:rFonts w:ascii="Arial" w:hAnsi="Arial"/>
                <w:sz w:val="18"/>
              </w:rPr>
              <w:t>Baleshwar</w:t>
            </w:r>
          </w:p>
        </w:tc>
        <w:tc>
          <w:tcPr>
            <w:tcW w:type="dxa" w:w="1296"/>
          </w:tcPr>
          <w:p>
            <w:pPr>
              <w:spacing w:line="276" w:lineRule="auto"/>
            </w:pPr>
            <w:r>
              <w:rPr>
                <w:rFonts w:ascii="Arial" w:hAnsi="Arial"/>
                <w:sz w:val="18"/>
              </w:rPr>
              <w:t>0.00334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0.00529</w:t>
            </w:r>
          </w:p>
        </w:tc>
        <w:tc>
          <w:tcPr>
            <w:tcW w:type="dxa" w:w="1296"/>
          </w:tcPr>
          <w:p>
            <w:pPr>
              <w:spacing w:line="276" w:lineRule="auto"/>
            </w:pPr>
            <w:r>
              <w:rPr>
                <w:rFonts w:ascii="Arial" w:hAnsi="Arial"/>
                <w:sz w:val="18"/>
              </w:rPr>
              <w:t>12.35114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19.56558</w:t>
            </w:r>
          </w:p>
        </w:tc>
      </w:tr>
      <w:tr>
        <w:tc>
          <w:tcPr>
            <w:tcW w:type="dxa" w:w="1296"/>
          </w:tcPr>
          <w:p>
            <w:pPr>
              <w:spacing w:line="276" w:lineRule="auto"/>
            </w:pPr>
            <w:r>
              <w:rPr>
                <w:rFonts w:ascii="Arial" w:hAnsi="Arial"/>
                <w:sz w:val="18"/>
              </w:rPr>
              <w:t>Bhadrak</w:t>
            </w:r>
          </w:p>
        </w:tc>
        <w:tc>
          <w:tcPr>
            <w:tcW w:type="dxa" w:w="1296"/>
          </w:tcPr>
          <w:p>
            <w:pPr>
              <w:spacing w:line="276" w:lineRule="auto"/>
            </w:pPr>
            <w:r>
              <w:rPr>
                <w:rFonts w:ascii="Arial" w:hAnsi="Arial"/>
                <w:sz w:val="18"/>
              </w:rPr>
              <w:t>0.00785</w:t>
            </w:r>
          </w:p>
        </w:tc>
        <w:tc>
          <w:tcPr>
            <w:tcW w:type="dxa" w:w="1296"/>
          </w:tcPr>
          <w:p>
            <w:pPr>
              <w:spacing w:line="276" w:lineRule="auto"/>
            </w:pPr>
            <w:r>
              <w:rPr>
                <w:rFonts w:ascii="Arial" w:hAnsi="Arial"/>
                <w:sz w:val="18"/>
              </w:rPr>
              <w:t>9.910e-04</w:t>
            </w:r>
          </w:p>
        </w:tc>
        <w:tc>
          <w:tcPr>
            <w:tcW w:type="dxa" w:w="1296"/>
          </w:tcPr>
          <w:p>
            <w:pPr>
              <w:spacing w:line="276" w:lineRule="auto"/>
            </w:pPr>
            <w:r>
              <w:rPr>
                <w:rFonts w:ascii="Arial" w:hAnsi="Arial"/>
                <w:sz w:val="18"/>
              </w:rPr>
              <w:t>0.07212</w:t>
            </w:r>
          </w:p>
        </w:tc>
        <w:tc>
          <w:tcPr>
            <w:tcW w:type="dxa" w:w="1296"/>
          </w:tcPr>
          <w:p>
            <w:pPr>
              <w:spacing w:line="276" w:lineRule="auto"/>
            </w:pPr>
            <w:r>
              <w:rPr>
                <w:rFonts w:ascii="Arial" w:hAnsi="Arial"/>
                <w:sz w:val="18"/>
              </w:rPr>
              <w:t>19.26695</w:t>
            </w:r>
          </w:p>
        </w:tc>
        <w:tc>
          <w:tcPr>
            <w:tcW w:type="dxa" w:w="1296"/>
          </w:tcPr>
          <w:p>
            <w:pPr>
              <w:spacing w:line="276" w:lineRule="auto"/>
            </w:pPr>
            <w:r>
              <w:rPr>
                <w:rFonts w:ascii="Arial" w:hAnsi="Arial"/>
                <w:sz w:val="18"/>
              </w:rPr>
              <w:t>2.42980</w:t>
            </w:r>
          </w:p>
        </w:tc>
        <w:tc>
          <w:tcPr>
            <w:tcW w:type="dxa" w:w="1296"/>
          </w:tcPr>
          <w:p>
            <w:pPr>
              <w:spacing w:line="276" w:lineRule="auto"/>
            </w:pPr>
            <w:r>
              <w:rPr>
                <w:rFonts w:ascii="Arial" w:hAnsi="Arial"/>
                <w:sz w:val="18"/>
              </w:rPr>
              <w:t>177.01010</w:t>
            </w:r>
          </w:p>
        </w:tc>
      </w:tr>
      <w:tr>
        <w:tc>
          <w:tcPr>
            <w:tcW w:type="dxa" w:w="1296"/>
          </w:tcPr>
          <w:p>
            <w:pPr>
              <w:spacing w:line="276" w:lineRule="auto"/>
            </w:pPr>
            <w:r>
              <w:rPr>
                <w:rFonts w:ascii="Arial" w:hAnsi="Arial"/>
                <w:sz w:val="18"/>
              </w:rPr>
              <w:t>Cuttack</w:t>
            </w:r>
          </w:p>
        </w:tc>
        <w:tc>
          <w:tcPr>
            <w:tcW w:type="dxa" w:w="1296"/>
          </w:tcPr>
          <w:p>
            <w:pPr>
              <w:spacing w:line="276" w:lineRule="auto"/>
            </w:pPr>
            <w:r>
              <w:rPr>
                <w:rFonts w:ascii="Arial" w:hAnsi="Arial"/>
                <w:sz w:val="18"/>
              </w:rPr>
              <w:t>4.616e-05</w:t>
            </w:r>
          </w:p>
        </w:tc>
        <w:tc>
          <w:tcPr>
            <w:tcW w:type="dxa" w:w="1296"/>
          </w:tcPr>
          <w:p>
            <w:pPr>
              <w:spacing w:line="276" w:lineRule="auto"/>
            </w:pPr>
            <w:r>
              <w:rPr>
                <w:rFonts w:ascii="Arial" w:hAnsi="Arial"/>
                <w:sz w:val="18"/>
              </w:rPr>
              <w:t>0.01311</w:t>
            </w:r>
          </w:p>
        </w:tc>
        <w:tc>
          <w:tcPr>
            <w:tcW w:type="dxa" w:w="1296"/>
          </w:tcPr>
          <w:p>
            <w:pPr>
              <w:spacing w:line="276" w:lineRule="auto"/>
            </w:pPr>
            <w:r>
              <w:rPr>
                <w:rFonts w:ascii="Arial" w:hAnsi="Arial"/>
                <w:sz w:val="18"/>
              </w:rPr>
              <w:t>1.771e-04</w:t>
            </w:r>
          </w:p>
        </w:tc>
        <w:tc>
          <w:tcPr>
            <w:tcW w:type="dxa" w:w="1296"/>
          </w:tcPr>
          <w:p>
            <w:pPr>
              <w:spacing w:line="276" w:lineRule="auto"/>
            </w:pPr>
            <w:r>
              <w:rPr>
                <w:rFonts w:ascii="Arial" w:hAnsi="Arial"/>
                <w:sz w:val="18"/>
              </w:rPr>
              <w:t>0.18261</w:t>
            </w:r>
          </w:p>
        </w:tc>
        <w:tc>
          <w:tcPr>
            <w:tcW w:type="dxa" w:w="1296"/>
          </w:tcPr>
          <w:p>
            <w:pPr>
              <w:spacing w:line="276" w:lineRule="auto"/>
            </w:pPr>
            <w:r>
              <w:rPr>
                <w:rFonts w:ascii="Arial" w:hAnsi="Arial"/>
                <w:sz w:val="18"/>
              </w:rPr>
              <w:t>51.70720</w:t>
            </w:r>
          </w:p>
        </w:tc>
        <w:tc>
          <w:tcPr>
            <w:tcW w:type="dxa" w:w="1296"/>
          </w:tcPr>
          <w:p>
            <w:pPr>
              <w:spacing w:line="276" w:lineRule="auto"/>
            </w:pPr>
            <w:r>
              <w:rPr>
                <w:rFonts w:ascii="Arial" w:hAnsi="Arial"/>
                <w:sz w:val="18"/>
              </w:rPr>
              <w:t>0.70065</w:t>
            </w:r>
          </w:p>
        </w:tc>
      </w:tr>
      <w:tr>
        <w:tc>
          <w:tcPr>
            <w:tcW w:type="dxa" w:w="1296"/>
          </w:tcPr>
          <w:p>
            <w:pPr>
              <w:spacing w:line="276" w:lineRule="auto"/>
            </w:pPr>
            <w:r>
              <w:rPr>
                <w:rFonts w:ascii="Arial" w:hAnsi="Arial"/>
                <w:sz w:val="18"/>
              </w:rPr>
              <w:t>Dhenkanal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1.082e-05</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0.04864</w:t>
            </w:r>
          </w:p>
        </w:tc>
      </w:tr>
      <w:tr>
        <w:tc>
          <w:tcPr>
            <w:tcW w:type="dxa" w:w="1296"/>
          </w:tcPr>
          <w:p>
            <w:pPr>
              <w:spacing w:line="276" w:lineRule="auto"/>
            </w:pPr>
            <w:r>
              <w:rPr>
                <w:rFonts w:ascii="Arial" w:hAnsi="Arial"/>
                <w:sz w:val="18"/>
              </w:rPr>
              <w:t>Jagatsinghpur</w:t>
            </w:r>
          </w:p>
        </w:tc>
        <w:tc>
          <w:tcPr>
            <w:tcW w:type="dxa" w:w="1296"/>
          </w:tcPr>
          <w:p>
            <w:pPr>
              <w:spacing w:line="276" w:lineRule="auto"/>
            </w:pPr>
            <w:r>
              <w:rPr>
                <w:rFonts w:ascii="Arial" w:hAnsi="Arial"/>
                <w:sz w:val="18"/>
              </w:rPr>
              <w:t>0.01921</w:t>
            </w:r>
          </w:p>
        </w:tc>
        <w:tc>
          <w:tcPr>
            <w:tcW w:type="dxa" w:w="1296"/>
          </w:tcPr>
          <w:p>
            <w:pPr>
              <w:spacing w:line="276" w:lineRule="auto"/>
            </w:pPr>
            <w:r>
              <w:rPr>
                <w:rFonts w:ascii="Arial" w:hAnsi="Arial"/>
                <w:sz w:val="18"/>
              </w:rPr>
              <w:t>0.00291</w:t>
            </w:r>
          </w:p>
        </w:tc>
        <w:tc>
          <w:tcPr>
            <w:tcW w:type="dxa" w:w="1296"/>
          </w:tcPr>
          <w:p>
            <w:pPr>
              <w:spacing w:line="276" w:lineRule="auto"/>
            </w:pPr>
            <w:r>
              <w:rPr>
                <w:rFonts w:ascii="Arial" w:hAnsi="Arial"/>
                <w:sz w:val="18"/>
              </w:rPr>
              <w:t>0.03256</w:t>
            </w:r>
          </w:p>
        </w:tc>
        <w:tc>
          <w:tcPr>
            <w:tcW w:type="dxa" w:w="1296"/>
          </w:tcPr>
          <w:p>
            <w:pPr>
              <w:spacing w:line="276" w:lineRule="auto"/>
            </w:pPr>
            <w:r>
              <w:rPr>
                <w:rFonts w:ascii="Arial" w:hAnsi="Arial"/>
                <w:sz w:val="18"/>
              </w:rPr>
              <w:t>32.49060</w:t>
            </w:r>
          </w:p>
        </w:tc>
        <w:tc>
          <w:tcPr>
            <w:tcW w:type="dxa" w:w="1296"/>
          </w:tcPr>
          <w:p>
            <w:pPr>
              <w:spacing w:line="276" w:lineRule="auto"/>
            </w:pPr>
            <w:r>
              <w:rPr>
                <w:rFonts w:ascii="Arial" w:hAnsi="Arial"/>
                <w:sz w:val="18"/>
              </w:rPr>
              <w:t>4.86000</w:t>
            </w:r>
          </w:p>
        </w:tc>
        <w:tc>
          <w:tcPr>
            <w:tcW w:type="dxa" w:w="1296"/>
          </w:tcPr>
          <w:p>
            <w:pPr>
              <w:spacing w:line="276" w:lineRule="auto"/>
            </w:pPr>
            <w:r>
              <w:rPr>
                <w:rFonts w:ascii="Arial" w:hAnsi="Arial"/>
                <w:sz w:val="18"/>
              </w:rPr>
              <w:t>55.06754</w:t>
            </w:r>
          </w:p>
        </w:tc>
      </w:tr>
      <w:tr>
        <w:tc>
          <w:tcPr>
            <w:tcW w:type="dxa" w:w="1296"/>
          </w:tcPr>
          <w:p>
            <w:pPr>
              <w:spacing w:line="276" w:lineRule="auto"/>
            </w:pPr>
            <w:r>
              <w:rPr>
                <w:rFonts w:ascii="Arial" w:hAnsi="Arial"/>
                <w:sz w:val="18"/>
              </w:rPr>
              <w:t>Kendrapara</w:t>
            </w:r>
          </w:p>
        </w:tc>
        <w:tc>
          <w:tcPr>
            <w:tcW w:type="dxa" w:w="1296"/>
          </w:tcPr>
          <w:p>
            <w:pPr>
              <w:spacing w:line="276" w:lineRule="auto"/>
            </w:pPr>
            <w:r>
              <w:rPr>
                <w:rFonts w:ascii="Arial" w:hAnsi="Arial"/>
                <w:sz w:val="18"/>
              </w:rPr>
              <w:t>0.00790</w:t>
            </w:r>
          </w:p>
        </w:tc>
        <w:tc>
          <w:tcPr>
            <w:tcW w:type="dxa" w:w="1296"/>
          </w:tcPr>
          <w:p>
            <w:pPr>
              <w:spacing w:line="276" w:lineRule="auto"/>
            </w:pPr>
            <w:r>
              <w:rPr>
                <w:rFonts w:ascii="Arial" w:hAnsi="Arial"/>
                <w:sz w:val="18"/>
              </w:rPr>
              <w:t>0.00535</w:t>
            </w:r>
          </w:p>
        </w:tc>
        <w:tc>
          <w:tcPr>
            <w:tcW w:type="dxa" w:w="1296"/>
          </w:tcPr>
          <w:p>
            <w:pPr>
              <w:spacing w:line="276" w:lineRule="auto"/>
            </w:pPr>
            <w:r>
              <w:rPr>
                <w:rFonts w:ascii="Arial" w:hAnsi="Arial"/>
                <w:sz w:val="18"/>
              </w:rPr>
              <w:t>0.02903</w:t>
            </w:r>
          </w:p>
        </w:tc>
        <w:tc>
          <w:tcPr>
            <w:tcW w:type="dxa" w:w="1296"/>
          </w:tcPr>
          <w:p>
            <w:pPr>
              <w:spacing w:line="276" w:lineRule="auto"/>
            </w:pPr>
            <w:r>
              <w:rPr>
                <w:rFonts w:ascii="Arial" w:hAnsi="Arial"/>
                <w:sz w:val="18"/>
              </w:rPr>
              <w:t>19.61493</w:t>
            </w:r>
          </w:p>
        </w:tc>
        <w:tc>
          <w:tcPr>
            <w:tcW w:type="dxa" w:w="1296"/>
          </w:tcPr>
          <w:p>
            <w:pPr>
              <w:spacing w:line="276" w:lineRule="auto"/>
            </w:pPr>
            <w:r>
              <w:rPr>
                <w:rFonts w:ascii="Arial" w:hAnsi="Arial"/>
                <w:sz w:val="18"/>
              </w:rPr>
              <w:t>13.27270</w:t>
            </w:r>
          </w:p>
        </w:tc>
        <w:tc>
          <w:tcPr>
            <w:tcW w:type="dxa" w:w="1296"/>
          </w:tcPr>
          <w:p>
            <w:pPr>
              <w:spacing w:line="276" w:lineRule="auto"/>
            </w:pPr>
            <w:r>
              <w:rPr>
                <w:rFonts w:ascii="Arial" w:hAnsi="Arial"/>
                <w:sz w:val="18"/>
              </w:rPr>
              <w:t>72.05006</w:t>
            </w:r>
          </w:p>
        </w:tc>
      </w:tr>
      <w:tr>
        <w:tc>
          <w:tcPr>
            <w:tcW w:type="dxa" w:w="1296"/>
          </w:tcPr>
          <w:p>
            <w:pPr>
              <w:spacing w:line="276" w:lineRule="auto"/>
            </w:pPr>
            <w:r>
              <w:rPr>
                <w:rFonts w:ascii="Arial" w:hAnsi="Arial"/>
                <w:sz w:val="18"/>
              </w:rPr>
              <w:t>Puri</w:t>
            </w:r>
          </w:p>
        </w:tc>
        <w:tc>
          <w:tcPr>
            <w:tcW w:type="dxa" w:w="1296"/>
          </w:tcPr>
          <w:p>
            <w:pPr>
              <w:spacing w:line="276" w:lineRule="auto"/>
            </w:pPr>
            <w:r>
              <w:rPr>
                <w:rFonts w:ascii="Arial" w:hAnsi="Arial"/>
                <w:sz w:val="18"/>
              </w:rPr>
              <w:t>3.970e-04</w:t>
            </w:r>
          </w:p>
        </w:tc>
        <w:tc>
          <w:tcPr>
            <w:tcW w:type="dxa" w:w="1296"/>
          </w:tcPr>
          <w:p>
            <w:pPr>
              <w:spacing w:line="276" w:lineRule="auto"/>
            </w:pPr>
            <w:r>
              <w:rPr>
                <w:rFonts w:ascii="Arial" w:hAnsi="Arial"/>
                <w:sz w:val="18"/>
              </w:rPr>
              <w:t>0.02519</w:t>
            </w:r>
          </w:p>
        </w:tc>
        <w:tc>
          <w:tcPr>
            <w:tcW w:type="dxa" w:w="1296"/>
          </w:tcPr>
          <w:p>
            <w:pPr>
              <w:spacing w:line="276" w:lineRule="auto"/>
            </w:pPr>
            <w:r>
              <w:rPr>
                <w:rFonts w:ascii="Arial" w:hAnsi="Arial"/>
                <w:sz w:val="18"/>
              </w:rPr>
              <w:t>0.00418</w:t>
            </w:r>
          </w:p>
        </w:tc>
        <w:tc>
          <w:tcPr>
            <w:tcW w:type="dxa" w:w="1296"/>
          </w:tcPr>
          <w:p>
            <w:pPr>
              <w:spacing w:line="276" w:lineRule="auto"/>
            </w:pPr>
            <w:r>
              <w:rPr>
                <w:rFonts w:ascii="Arial" w:hAnsi="Arial"/>
                <w:sz w:val="18"/>
              </w:rPr>
              <w:t>1.39422</w:t>
            </w:r>
          </w:p>
        </w:tc>
        <w:tc>
          <w:tcPr>
            <w:tcW w:type="dxa" w:w="1296"/>
          </w:tcPr>
          <w:p>
            <w:pPr>
              <w:spacing w:line="276" w:lineRule="auto"/>
            </w:pPr>
            <w:r>
              <w:rPr>
                <w:rFonts w:ascii="Arial" w:hAnsi="Arial"/>
                <w:sz w:val="18"/>
              </w:rPr>
              <w:t>88.18240</w:t>
            </w:r>
          </w:p>
        </w:tc>
        <w:tc>
          <w:tcPr>
            <w:tcW w:type="dxa" w:w="1296"/>
          </w:tcPr>
          <w:p>
            <w:pPr>
              <w:spacing w:line="276" w:lineRule="auto"/>
            </w:pPr>
            <w:r>
              <w:rPr>
                <w:rFonts w:ascii="Arial" w:hAnsi="Arial"/>
                <w:sz w:val="18"/>
              </w:rPr>
              <w:t>14.68012</w:t>
            </w:r>
          </w:p>
        </w:tc>
      </w:tr>
    </w:tbl>
    <w:p>
      <w:r>
        <w:rPr>
          <w:sz w:val="12"/>
        </w:rPr>
        <w:br/>
      </w:r>
    </w:p>
    <w:p>
      <w:pPr>
        <w:pStyle w:val="Heading2"/>
      </w:pPr>
      <w:r>
        <w:rPr>
          <w:rFonts w:ascii="Arial" w:hAnsi="Arial"/>
        </w:rPr>
        <w:t>Table S13b — Hudhud (Andhra Pradesh) transferability</w:t>
      </w:r>
    </w:p>
    <w:p>
      <w:pPr>
        <w:spacing w:line="276" w:lineRule="auto" w:after="120"/>
      </w:pPr>
      <w:r>
        <w:rPr>
          <w:rFonts w:ascii="Arial" w:hAnsi="Arial"/>
          <w:i/>
          <w:sz w:val="20"/>
        </w:rPr>
        <w:t>Table S13b.  Structural transferability assessment for Cyclone Hudhud (Andhra Pradesh, 12 October 2014). The v0.3.0 classifier was trained on the Odisha cohort only; this table documents the published damage benchmarks, Copernicus EMS EMSR104 activation, and the recommended Stage-2 retraining protocol. Hudhud transferability is reported as a methodological extension and a §5.4 limitation, not as an in-distribution evaluation.</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spacing w:line="276" w:lineRule="auto"/>
            </w:pPr>
            <w:r>
              <w:rPr>
                <w:rFonts w:ascii="Arial" w:hAnsi="Arial"/>
                <w:b/>
                <w:sz w:val="18"/>
              </w:rPr>
              <w:t>metric</w:t>
            </w:r>
          </w:p>
        </w:tc>
        <w:tc>
          <w:tcPr>
            <w:tcW w:type="dxa" w:w="3024"/>
          </w:tcPr>
          <w:p>
            <w:pPr>
              <w:spacing w:line="276" w:lineRule="auto"/>
            </w:pPr>
            <w:r>
              <w:rPr>
                <w:rFonts w:ascii="Arial" w:hAnsi="Arial"/>
                <w:b/>
                <w:sz w:val="18"/>
              </w:rPr>
              <w:t>value</w:t>
            </w:r>
          </w:p>
        </w:tc>
        <w:tc>
          <w:tcPr>
            <w:tcW w:type="dxa" w:w="3024"/>
          </w:tcPr>
          <w:p>
            <w:pPr>
              <w:spacing w:line="276" w:lineRule="auto"/>
            </w:pPr>
            <w:r>
              <w:rPr>
                <w:rFonts w:ascii="Arial" w:hAnsi="Arial"/>
                <w:b/>
                <w:sz w:val="18"/>
              </w:rPr>
              <w:t>source</w:t>
            </w:r>
          </w:p>
        </w:tc>
      </w:tr>
      <w:tr>
        <w:tc>
          <w:tcPr>
            <w:tcW w:type="dxa" w:w="3024"/>
          </w:tcPr>
          <w:p>
            <w:pPr>
              <w:spacing w:line="276" w:lineRule="auto"/>
            </w:pPr>
            <w:r>
              <w:rPr>
                <w:rFonts w:ascii="Arial" w:hAnsi="Arial"/>
                <w:sz w:val="18"/>
              </w:rPr>
              <w:t>Training cohort (n cyclones)</w:t>
            </w:r>
          </w:p>
        </w:tc>
        <w:tc>
          <w:tcPr>
            <w:tcW w:type="dxa" w:w="3024"/>
          </w:tcPr>
          <w:p>
            <w:pPr>
              <w:spacing w:line="276" w:lineRule="auto"/>
            </w:pPr>
            <w:r>
              <w:rPr>
                <w:rFonts w:ascii="Arial" w:hAnsi="Arial"/>
                <w:sz w:val="18"/>
              </w:rPr>
              <w:t>3 (Fani 2019, Amphan 2020, Yaas 2021)</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Training labels (n)</w:t>
            </w:r>
          </w:p>
        </w:tc>
        <w:tc>
          <w:tcPr>
            <w:tcW w:type="dxa" w:w="3024"/>
          </w:tcPr>
          <w:p>
            <w:pPr>
              <w:spacing w:line="276" w:lineRule="auto"/>
            </w:pPr>
            <w:r>
              <w:rPr>
                <w:rFonts w:ascii="Arial" w:hAnsi="Arial"/>
                <w:sz w:val="18"/>
              </w:rPr>
              <w:t>480</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Hold-out OA (in-distribution, Odisha)</w:t>
            </w:r>
          </w:p>
        </w:tc>
        <w:tc>
          <w:tcPr>
            <w:tcW w:type="dxa" w:w="3024"/>
          </w:tcPr>
          <w:p>
            <w:pPr>
              <w:spacing w:line="276" w:lineRule="auto"/>
            </w:pPr>
            <w:r>
              <w:rPr>
                <w:rFonts w:ascii="Arial" w:hAnsi="Arial"/>
                <w:sz w:val="18"/>
              </w:rPr>
              <w:t>0.9896</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5-fold CV OA (in-distribution, Odisha)</w:t>
            </w:r>
          </w:p>
        </w:tc>
        <w:tc>
          <w:tcPr>
            <w:tcW w:type="dxa" w:w="3024"/>
          </w:tcPr>
          <w:p>
            <w:pPr>
              <w:spacing w:line="276" w:lineRule="auto"/>
            </w:pPr>
            <w:r>
              <w:rPr>
                <w:rFonts w:ascii="Arial" w:hAnsi="Arial"/>
                <w:sz w:val="18"/>
              </w:rPr>
              <w:t>0.9958</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Cyclone Hudhud (Oct 2014) landfall</w:t>
            </w:r>
          </w:p>
        </w:tc>
        <w:tc>
          <w:tcPr>
            <w:tcW w:type="dxa" w:w="3024"/>
          </w:tcPr>
          <w:p>
            <w:pPr>
              <w:spacing w:line="276" w:lineRule="auto"/>
            </w:pPr>
            <w:r>
              <w:rPr>
                <w:rFonts w:ascii="Arial" w:hAnsi="Arial"/>
                <w:sz w:val="18"/>
              </w:rPr>
              <w:t>Pudimadaka, ~50 km from Visakhapatnam</w:t>
            </w:r>
          </w:p>
        </w:tc>
        <w:tc>
          <w:tcPr>
            <w:tcW w:type="dxa" w:w="3024"/>
          </w:tcPr>
          <w:p>
            <w:pPr>
              <w:spacing w:line="276" w:lineRule="auto"/>
            </w:pPr>
            <w:r>
              <w:rPr>
                <w:rFonts w:ascii="Arial" w:hAnsi="Arial"/>
                <w:sz w:val="18"/>
              </w:rPr>
              <w:t>NDMA 2014; Red Cross AAR 2015</w:t>
            </w:r>
          </w:p>
        </w:tc>
      </w:tr>
      <w:tr>
        <w:tc>
          <w:tcPr>
            <w:tcW w:type="dxa" w:w="3024"/>
          </w:tcPr>
          <w:p>
            <w:pPr>
              <w:spacing w:line="276" w:lineRule="auto"/>
            </w:pPr>
            <w:r>
              <w:rPr>
                <w:rFonts w:ascii="Arial" w:hAnsi="Arial"/>
                <w:sz w:val="18"/>
              </w:rPr>
              <w:t>Hudhud worst-hit districts</w:t>
            </w:r>
          </w:p>
        </w:tc>
        <w:tc>
          <w:tcPr>
            <w:tcW w:type="dxa" w:w="3024"/>
          </w:tcPr>
          <w:p>
            <w:pPr>
              <w:spacing w:line="276" w:lineRule="auto"/>
            </w:pPr>
            <w:r>
              <w:rPr>
                <w:rFonts w:ascii="Arial" w:hAnsi="Arial"/>
                <w:sz w:val="18"/>
              </w:rPr>
              <w:t>Visakhapatnam, Vizianagaram, Srikakulam, East Godavari</w:t>
            </w:r>
          </w:p>
        </w:tc>
        <w:tc>
          <w:tcPr>
            <w:tcW w:type="dxa" w:w="3024"/>
          </w:tcPr>
          <w:p>
            <w:pPr>
              <w:spacing w:line="276" w:lineRule="auto"/>
            </w:pPr>
            <w:r>
              <w:rPr>
                <w:rFonts w:ascii="Arial" w:hAnsi="Arial"/>
                <w:sz w:val="18"/>
              </w:rPr>
              <w:t>NDMA 2014; IFRC Oct 2014</w:t>
            </w:r>
          </w:p>
        </w:tc>
      </w:tr>
      <w:tr>
        <w:tc>
          <w:tcPr>
            <w:tcW w:type="dxa" w:w="3024"/>
          </w:tcPr>
          <w:p>
            <w:pPr>
              <w:spacing w:line="276" w:lineRule="auto"/>
            </w:pPr>
            <w:r>
              <w:rPr>
                <w:rFonts w:ascii="Arial" w:hAnsi="Arial"/>
                <w:sz w:val="18"/>
              </w:rPr>
              <w:t>Copernicus EMS Hudhud activation</w:t>
            </w:r>
          </w:p>
        </w:tc>
        <w:tc>
          <w:tcPr>
            <w:tcW w:type="dxa" w:w="3024"/>
          </w:tcPr>
          <w:p>
            <w:pPr>
              <w:spacing w:line="276" w:lineRule="auto"/>
            </w:pPr>
            <w:r>
              <w:rPr>
                <w:rFonts w:ascii="Arial" w:hAnsi="Arial"/>
                <w:sz w:val="18"/>
              </w:rPr>
              <w:t>EMSR104 (14 Oct 2014); 9 reference + 9 delineation maps</w:t>
            </w:r>
          </w:p>
        </w:tc>
        <w:tc>
          <w:tcPr>
            <w:tcW w:type="dxa" w:w="3024"/>
          </w:tcPr>
          <w:p>
            <w:pPr>
              <w:spacing w:line="276" w:lineRule="auto"/>
            </w:pPr>
            <w:r>
              <w:rPr>
                <w:rFonts w:ascii="Arial" w:hAnsi="Arial"/>
                <w:sz w:val="18"/>
              </w:rPr>
              <w:t>Copernicus EMS; gisresources.com 2014</w:t>
            </w:r>
          </w:p>
        </w:tc>
      </w:tr>
      <w:tr>
        <w:tc>
          <w:tcPr>
            <w:tcW w:type="dxa" w:w="3024"/>
          </w:tcPr>
          <w:p>
            <w:pPr>
              <w:spacing w:line="276" w:lineRule="auto"/>
            </w:pPr>
            <w:r>
              <w:rPr>
                <w:rFonts w:ascii="Arial" w:hAnsi="Arial"/>
                <w:sz w:val="18"/>
              </w:rPr>
              <w:t>Visakhapatnam pre-Hudhud water (4 Oct 2014)</w:t>
            </w:r>
          </w:p>
        </w:tc>
        <w:tc>
          <w:tcPr>
            <w:tcW w:type="dxa" w:w="3024"/>
          </w:tcPr>
          <w:p>
            <w:pPr>
              <w:spacing w:line="276" w:lineRule="auto"/>
            </w:pPr>
            <w:r>
              <w:rPr>
                <w:rFonts w:ascii="Arial" w:hAnsi="Arial"/>
                <w:sz w:val="18"/>
              </w:rPr>
              <w:t>176.27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Visakhapatnam pre-Hudhud cropland+sparse veg</w:t>
            </w:r>
          </w:p>
        </w:tc>
        <w:tc>
          <w:tcPr>
            <w:tcW w:type="dxa" w:w="3024"/>
          </w:tcPr>
          <w:p>
            <w:pPr>
              <w:spacing w:line="276" w:lineRule="auto"/>
            </w:pPr>
            <w:r>
              <w:rPr>
                <w:rFonts w:ascii="Arial" w:hAnsi="Arial"/>
                <w:sz w:val="18"/>
              </w:rPr>
              <w:t>275.01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Damage assessment (Andhra Pradesh)</w:t>
            </w:r>
          </w:p>
        </w:tc>
        <w:tc>
          <w:tcPr>
            <w:tcW w:type="dxa" w:w="3024"/>
          </w:tcPr>
          <w:p>
            <w:pPr>
              <w:spacing w:line="276" w:lineRule="auto"/>
            </w:pPr>
            <w:r>
              <w:rPr>
                <w:rFonts w:ascii="Arial" w:hAnsi="Arial"/>
                <w:sz w:val="18"/>
              </w:rPr>
              <w:t>₹13,263 crore (~USD 2.16 B); 7,52,540 ag households</w:t>
            </w:r>
          </w:p>
        </w:tc>
        <w:tc>
          <w:tcPr>
            <w:tcW w:type="dxa" w:w="3024"/>
          </w:tcPr>
          <w:p>
            <w:pPr>
              <w:spacing w:line="276" w:lineRule="auto"/>
            </w:pPr>
            <w:r>
              <w:rPr>
                <w:rFonts w:ascii="Arial" w:hAnsi="Arial"/>
                <w:sz w:val="18"/>
              </w:rPr>
              <w:t>World Bank rapid assessment; NDMA 2014</w:t>
            </w:r>
          </w:p>
        </w:tc>
      </w:tr>
      <w:tr>
        <w:tc>
          <w:tcPr>
            <w:tcW w:type="dxa" w:w="3024"/>
          </w:tcPr>
          <w:p>
            <w:pPr>
              <w:spacing w:line="276" w:lineRule="auto"/>
            </w:pPr>
            <w:r>
              <w:rPr>
                <w:rFonts w:ascii="Arial" w:hAnsi="Arial"/>
                <w:sz w:val="18"/>
              </w:rPr>
              <w:t>Andhra-Odisha cropping calendar offset</w:t>
            </w:r>
          </w:p>
        </w:tc>
        <w:tc>
          <w:tcPr>
            <w:tcW w:type="dxa" w:w="3024"/>
          </w:tcPr>
          <w:p>
            <w:pPr>
              <w:spacing w:line="276" w:lineRule="auto"/>
            </w:pPr>
            <w:r>
              <w:rPr>
                <w:rFonts w:ascii="Arial" w:hAnsi="Arial"/>
                <w:sz w:val="18"/>
              </w:rPr>
              <w:t>~10–15 d lag (Andhra coastal kharif onset)</w:t>
            </w:r>
          </w:p>
        </w:tc>
        <w:tc>
          <w:tcPr>
            <w:tcW w:type="dxa" w:w="3024"/>
          </w:tcPr>
          <w:p>
            <w:pPr>
              <w:spacing w:line="276" w:lineRule="auto"/>
            </w:pPr>
            <w:r>
              <w:rPr>
                <w:rFonts w:ascii="Arial" w:hAnsi="Arial"/>
                <w:sz w:val="18"/>
              </w:rPr>
              <w:t>IMD agromet bulletins; ICAR-CRIDA</w:t>
            </w:r>
          </w:p>
        </w:tc>
      </w:tr>
      <w:tr>
        <w:tc>
          <w:tcPr>
            <w:tcW w:type="dxa" w:w="3024"/>
          </w:tcPr>
          <w:p>
            <w:pPr>
              <w:spacing w:line="276" w:lineRule="auto"/>
            </w:pPr>
            <w:r>
              <w:rPr>
                <w:rFonts w:ascii="Arial" w:hAnsi="Arial"/>
                <w:sz w:val="18"/>
              </w:rPr>
              <w:t>Expected OA penalty under domain shift</w:t>
            </w:r>
          </w:p>
        </w:tc>
        <w:tc>
          <w:tcPr>
            <w:tcW w:type="dxa" w:w="3024"/>
          </w:tcPr>
          <w:p>
            <w:pPr>
              <w:spacing w:line="276" w:lineRule="auto"/>
            </w:pPr>
            <w:r>
              <w:rPr>
                <w:rFonts w:ascii="Arial" w:hAnsi="Arial"/>
                <w:sz w:val="18"/>
              </w:rPr>
              <w:t>≤6 pp (label-source variance, training cohort size)</w:t>
            </w:r>
          </w:p>
        </w:tc>
        <w:tc>
          <w:tcPr>
            <w:tcW w:type="dxa" w:w="3024"/>
          </w:tcPr>
          <w:p>
            <w:pPr>
              <w:spacing w:line="276" w:lineRule="auto"/>
            </w:pPr>
            <w:r>
              <w:rPr>
                <w:rFonts w:ascii="Arial" w:hAnsi="Arial"/>
                <w:sz w:val="18"/>
              </w:rPr>
              <w:t>v0.3.0 model card limitations §; this study</w:t>
            </w:r>
          </w:p>
        </w:tc>
      </w:tr>
      <w:tr>
        <w:tc>
          <w:tcPr>
            <w:tcW w:type="dxa" w:w="3024"/>
          </w:tcPr>
          <w:p>
            <w:pPr>
              <w:spacing w:line="276" w:lineRule="auto"/>
            </w:pPr>
            <w:r>
              <w:rPr>
                <w:rFonts w:ascii="Arial" w:hAnsi="Arial"/>
                <w:sz w:val="18"/>
              </w:rPr>
              <w:t>Recommended transferability protocol</w:t>
            </w:r>
          </w:p>
        </w:tc>
        <w:tc>
          <w:tcPr>
            <w:tcW w:type="dxa" w:w="3024"/>
          </w:tcPr>
          <w:p>
            <w:pPr>
              <w:spacing w:line="276" w:lineRule="auto"/>
            </w:pPr>
            <w:r>
              <w:rPr>
                <w:rFonts w:ascii="Arial" w:hAnsi="Arial"/>
                <w:sz w:val="18"/>
              </w:rPr>
              <w:t>5 % stratified Hudhud labels from EMSR104 + retrain v0.4 in Stage 2</w:t>
            </w:r>
          </w:p>
        </w:tc>
        <w:tc>
          <w:tcPr>
            <w:tcW w:type="dxa" w:w="3024"/>
          </w:tcPr>
          <w:p>
            <w:pPr>
              <w:spacing w:line="276" w:lineRule="auto"/>
            </w:pPr>
            <w:r>
              <w:rPr>
                <w:rFonts w:ascii="Arial" w:hAnsi="Arial"/>
                <w:sz w:val="18"/>
              </w:rPr>
              <w:t>this study, §4.6 limitations</w:t>
            </w:r>
          </w:p>
        </w:tc>
      </w:tr>
    </w:tbl>
    <w:p>
      <w:pPr>
        <w:spacing w:before="0" w:after="120" w:line="276" w:lineRule="auto"/>
      </w:pPr>
      <w:r>
        <w:rPr>
          <w:rFonts w:ascii="Arial" w:hAnsi="Arial"/>
          <w:i/>
          <w:sz w:val="19"/>
          <w:szCs w:val="19"/>
          <w:color w:val="595959"/>
        </w:rPr>
        <w:t xml:space="preserve">Abbreviations: AAR = Agricultural Activities Restoration; CRIDA = Central Research Institute for Dryland Agriculture; CV = Cross-Validation; EMS = Emergency Management Service (Copernicus); ICAR = Indian Council of Agricultural Research; IFRC = International Federation of Red Cross and Red Crescent Societies; IMD = India Meteorological Department; ISPRS = International Society for Photogrammetry and Remote Sensing; NDMA = National Disaster Management Authority (India); OA = Overall Accuracy; USD = United States Dollar.</w:t>
      </w:r>
    </w:p>
    <w:p>
      <w:r>
        <w:rPr>
          <w:sz w:val="12"/>
        </w:rPr>
        <w:br/>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20" Type="http://schemas.openxmlformats.org/officeDocument/2006/relationships/hyperlink" Target="https://osf.io/c4mp8/" TargetMode="External"/><Relationship Id="rId27" Type="http://schemas.openxmlformats.org/officeDocument/2006/relationships/hyperlink" Target="https://doi.org/10.1257/jep.31.2.3" TargetMode="External"/><Relationship Id="rId28" Type="http://schemas.openxmlformats.org/officeDocument/2006/relationships/hyperlink" Target="https://rsmcnewdelhi.imd.gov.in" TargetMode="External"/><Relationship Id="rId29" Type="http://schemas.openxmlformats.org/officeDocument/2006/relationships/hyperlink" Target="https://doi.org/10.1175/2009BAMS2755.1" TargetMode="External"/><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