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rFonts w:ascii="Arial" w:hAnsi="Arial"/>
          <w:b/>
          <w:sz w:val="20"/>
        </w:rPr>
        <w:t>Table S4.  Wild-cluster bootstrap inference (Cameron, Gelbach &amp; Miller 2008) for the DiD coefficient. Rademacher weights, residuals imposed under the null. CIs by inversion on a 41-point grid.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rPr>
                <w:rFonts w:ascii="Arial" w:hAnsi="Arial"/>
                <w:b/>
                <w:sz w:val="20"/>
              </w:rPr>
              <w:t>Pipeline</w:t>
            </w:r>
          </w:p>
        </w:tc>
        <w:tc>
          <w:tcPr>
            <w:tcW w:type="dxa" w:w="1080"/>
          </w:tcPr>
          <w:p>
            <w:r>
              <w:rPr>
                <w:rFonts w:ascii="Arial" w:hAnsi="Arial"/>
                <w:b/>
                <w:sz w:val="20"/>
              </w:rPr>
              <w:t>Metric</w:t>
            </w:r>
          </w:p>
        </w:tc>
        <w:tc>
          <w:tcPr>
            <w:tcW w:type="dxa" w:w="1080"/>
          </w:tcPr>
          <w:p>
            <w:r>
              <w:rPr>
                <w:rFonts w:ascii="Arial" w:hAnsi="Arial"/>
                <w:b/>
                <w:sz w:val="20"/>
              </w:rPr>
              <w:t>τ (d)</w:t>
            </w:r>
          </w:p>
        </w:tc>
        <w:tc>
          <w:tcPr>
            <w:tcW w:type="dxa" w:w="1080"/>
          </w:tcPr>
          <w:p>
            <w:r>
              <w:rPr>
                <w:rFonts w:ascii="Arial" w:hAnsi="Arial"/>
                <w:b/>
                <w:sz w:val="20"/>
              </w:rPr>
              <w:t>t (CR1)</w:t>
            </w:r>
          </w:p>
        </w:tc>
        <w:tc>
          <w:tcPr>
            <w:tcW w:type="dxa" w:w="1080"/>
          </w:tcPr>
          <w:p>
            <w:r>
              <w:rPr>
                <w:rFonts w:ascii="Arial" w:hAnsi="Arial"/>
                <w:b/>
                <w:sz w:val="20"/>
              </w:rPr>
              <w:t>B</w:t>
            </w:r>
          </w:p>
        </w:tc>
        <w:tc>
          <w:tcPr>
            <w:tcW w:type="dxa" w:w="1080"/>
          </w:tcPr>
          <w:p>
            <w:r>
              <w:rPr>
                <w:rFonts w:ascii="Arial" w:hAnsi="Arial"/>
                <w:b/>
                <w:sz w:val="20"/>
              </w:rPr>
              <w:t>p (WCR)</w:t>
            </w:r>
          </w:p>
        </w:tc>
        <w:tc>
          <w:tcPr>
            <w:tcW w:type="dxa" w:w="1080"/>
          </w:tcPr>
          <w:p>
            <w:r>
              <w:rPr>
                <w:rFonts w:ascii="Arial" w:hAnsi="Arial"/>
                <w:b/>
                <w:sz w:val="20"/>
              </w:rPr>
              <w:t>CI₂.₅ (WCR)</w:t>
            </w:r>
          </w:p>
        </w:tc>
        <w:tc>
          <w:tcPr>
            <w:tcW w:type="dxa" w:w="1080"/>
          </w:tcPr>
          <w:p>
            <w:r>
              <w:rPr>
                <w:rFonts w:ascii="Arial" w:hAnsi="Arial"/>
                <w:b/>
                <w:sz w:val="20"/>
              </w:rPr>
              <w:t>CI₉₇.₅ (WCR)</w:t>
            </w:r>
          </w:p>
        </w:tc>
      </w:tr>
      <w:tr>
        <w:tc>
          <w:tcPr>
            <w:tcW w:type="dxa" w:w="1080"/>
          </w:tcPr>
          <w:p>
            <w:r>
              <w:rPr>
                <w:rFonts w:ascii="Arial" w:hAnsi="Arial"/>
                <w:sz w:val="20"/>
              </w:rPr>
              <w:t>raw</w:t>
            </w:r>
          </w:p>
        </w:tc>
        <w:tc>
          <w:tcPr>
            <w:tcW w:type="dxa" w:w="1080"/>
          </w:tcPr>
          <w:p>
            <w:r>
              <w:rPr>
                <w:rFonts w:ascii="Arial" w:hAnsi="Arial"/>
                <w:sz w:val="20"/>
              </w:rPr>
              <w:t>SOS</w:t>
            </w:r>
          </w:p>
        </w:tc>
        <w:tc>
          <w:tcPr>
            <w:tcW w:type="dxa" w:w="1080"/>
          </w:tcPr>
          <w:p>
            <w:r>
              <w:rPr>
                <w:rFonts w:ascii="Arial" w:hAnsi="Arial"/>
                <w:sz w:val="20"/>
              </w:rPr>
              <w:t>+15.289</w:t>
            </w:r>
          </w:p>
        </w:tc>
        <w:tc>
          <w:tcPr>
            <w:tcW w:type="dxa" w:w="1080"/>
          </w:tcPr>
          <w:p>
            <w:r>
              <w:rPr>
                <w:rFonts w:ascii="Arial" w:hAnsi="Arial"/>
                <w:sz w:val="20"/>
              </w:rPr>
              <w:t>0.882</w:t>
            </w:r>
          </w:p>
        </w:tc>
        <w:tc>
          <w:tcPr>
            <w:tcW w:type="dxa" w:w="1080"/>
          </w:tcPr>
          <w:p>
            <w:r>
              <w:rPr>
                <w:rFonts w:ascii="Arial" w:hAnsi="Arial"/>
                <w:sz w:val="20"/>
              </w:rPr>
              <w:t>999</w:t>
            </w:r>
          </w:p>
        </w:tc>
        <w:tc>
          <w:tcPr>
            <w:tcW w:type="dxa" w:w="1080"/>
          </w:tcPr>
          <w:p>
            <w:r>
              <w:rPr>
                <w:rFonts w:ascii="Arial" w:hAnsi="Arial"/>
                <w:sz w:val="20"/>
              </w:rPr>
              <w:t>0.3710</w:t>
            </w:r>
          </w:p>
        </w:tc>
        <w:tc>
          <w:tcPr>
            <w:tcW w:type="dxa" w:w="1080"/>
          </w:tcPr>
          <w:p>
            <w:r>
              <w:rPr>
                <w:rFonts w:ascii="Arial" w:hAnsi="Arial"/>
                <w:sz w:val="20"/>
              </w:rPr>
              <w:t>-54.021</w:t>
            </w:r>
          </w:p>
        </w:tc>
        <w:tc>
          <w:tcPr>
            <w:tcW w:type="dxa" w:w="1080"/>
          </w:tcPr>
          <w:p>
            <w:r>
              <w:rPr>
                <w:rFonts w:ascii="Arial" w:hAnsi="Arial"/>
                <w:sz w:val="20"/>
              </w:rPr>
              <w:t>84.599</w:t>
            </w:r>
          </w:p>
        </w:tc>
      </w:tr>
      <w:tr>
        <w:tc>
          <w:tcPr>
            <w:tcW w:type="dxa" w:w="1080"/>
          </w:tcPr>
          <w:p>
            <w:r>
              <w:rPr>
                <w:rFonts w:ascii="Arial" w:hAnsi="Arial"/>
                <w:sz w:val="20"/>
              </w:rPr>
              <w:t>raw</w:t>
            </w:r>
          </w:p>
        </w:tc>
        <w:tc>
          <w:tcPr>
            <w:tcW w:type="dxa" w:w="1080"/>
          </w:tcPr>
          <w:p>
            <w:r>
              <w:rPr>
                <w:rFonts w:ascii="Arial" w:hAnsi="Arial"/>
                <w:sz w:val="20"/>
              </w:rPr>
              <w:t>POS</w:t>
            </w:r>
          </w:p>
        </w:tc>
        <w:tc>
          <w:tcPr>
            <w:tcW w:type="dxa" w:w="1080"/>
          </w:tcPr>
          <w:p>
            <w:r>
              <w:rPr>
                <w:rFonts w:ascii="Arial" w:hAnsi="Arial"/>
                <w:sz w:val="20"/>
              </w:rPr>
              <w:t>-3.587</w:t>
            </w:r>
          </w:p>
        </w:tc>
        <w:tc>
          <w:tcPr>
            <w:tcW w:type="dxa" w:w="1080"/>
          </w:tcPr>
          <w:p>
            <w:r>
              <w:rPr>
                <w:rFonts w:ascii="Arial" w:hAnsi="Arial"/>
                <w:sz w:val="20"/>
              </w:rPr>
              <w:t>-1.245</w:t>
            </w:r>
          </w:p>
        </w:tc>
        <w:tc>
          <w:tcPr>
            <w:tcW w:type="dxa" w:w="1080"/>
          </w:tcPr>
          <w:p>
            <w:r>
              <w:rPr>
                <w:rFonts w:ascii="Arial" w:hAnsi="Arial"/>
                <w:sz w:val="20"/>
              </w:rPr>
              <w:t>999</w:t>
            </w:r>
          </w:p>
        </w:tc>
        <w:tc>
          <w:tcPr>
            <w:tcW w:type="dxa" w:w="1080"/>
          </w:tcPr>
          <w:p>
            <w:r>
              <w:rPr>
                <w:rFonts w:ascii="Arial" w:hAnsi="Arial"/>
                <w:sz w:val="20"/>
              </w:rPr>
              <w:t>0.2390</w:t>
            </w:r>
          </w:p>
        </w:tc>
        <w:tc>
          <w:tcPr>
            <w:tcW w:type="dxa" w:w="1080"/>
          </w:tcPr>
          <w:p>
            <w:r>
              <w:rPr>
                <w:rFonts w:ascii="Arial" w:hAnsi="Arial"/>
                <w:sz w:val="20"/>
              </w:rPr>
              <w:t>-15.114</w:t>
            </w:r>
          </w:p>
        </w:tc>
        <w:tc>
          <w:tcPr>
            <w:tcW w:type="dxa" w:w="1080"/>
          </w:tcPr>
          <w:p>
            <w:r>
              <w:rPr>
                <w:rFonts w:ascii="Arial" w:hAnsi="Arial"/>
                <w:sz w:val="20"/>
              </w:rPr>
              <w:t>7.941</w:t>
            </w:r>
          </w:p>
        </w:tc>
      </w:tr>
      <w:tr>
        <w:tc>
          <w:tcPr>
            <w:tcW w:type="dxa" w:w="1080"/>
          </w:tcPr>
          <w:p>
            <w:r>
              <w:rPr>
                <w:rFonts w:ascii="Arial" w:hAnsi="Arial"/>
                <w:sz w:val="20"/>
              </w:rPr>
              <w:t>raw</w:t>
            </w:r>
          </w:p>
        </w:tc>
        <w:tc>
          <w:tcPr>
            <w:tcW w:type="dxa" w:w="1080"/>
          </w:tcPr>
          <w:p>
            <w:r>
              <w:rPr>
                <w:rFonts w:ascii="Arial" w:hAnsi="Arial"/>
                <w:sz w:val="20"/>
              </w:rPr>
              <w:t>EOS</w:t>
            </w:r>
          </w:p>
        </w:tc>
        <w:tc>
          <w:tcPr>
            <w:tcW w:type="dxa" w:w="1080"/>
          </w:tcPr>
          <w:p>
            <w:r>
              <w:rPr>
                <w:rFonts w:ascii="Arial" w:hAnsi="Arial"/>
                <w:sz w:val="20"/>
              </w:rPr>
              <w:t>+0.000</w:t>
            </w:r>
          </w:p>
        </w:tc>
        <w:tc>
          <w:tcPr>
            <w:tcW w:type="dxa" w:w="1080"/>
          </w:tcPr>
          <w:p>
            <w:r>
              <w:rPr>
                <w:rFonts w:ascii="Arial" w:hAnsi="Arial"/>
                <w:sz w:val="20"/>
              </w:rPr>
              <w:t>1.029</w:t>
            </w:r>
          </w:p>
        </w:tc>
        <w:tc>
          <w:tcPr>
            <w:tcW w:type="dxa" w:w="1080"/>
          </w:tcPr>
          <w:p>
            <w:r>
              <w:rPr>
                <w:rFonts w:ascii="Arial" w:hAnsi="Arial"/>
                <w:sz w:val="20"/>
              </w:rPr>
              <w:t>999</w:t>
            </w:r>
          </w:p>
        </w:tc>
        <w:tc>
          <w:tcPr>
            <w:tcW w:type="dxa" w:w="1080"/>
          </w:tcPr>
          <w:p>
            <w:r>
              <w:rPr>
                <w:rFonts w:ascii="Arial" w:hAnsi="Arial"/>
                <w:sz w:val="20"/>
              </w:rPr>
              <w:t>0.2050</w:t>
            </w:r>
          </w:p>
        </w:tc>
        <w:tc>
          <w:tcPr>
            <w:tcW w:type="dxa" w:w="1080"/>
          </w:tcPr>
          <w:p>
            <w:r>
              <w:rPr>
                <w:rFonts w:ascii="Arial" w:hAnsi="Arial"/>
                <w:sz w:val="20"/>
              </w:rPr>
              <w:t>-0.000</w:t>
            </w:r>
          </w:p>
        </w:tc>
        <w:tc>
          <w:tcPr>
            <w:tcW w:type="dxa" w:w="1080"/>
          </w:tcPr>
          <w:p>
            <w:r>
              <w:rPr>
                <w:rFonts w:ascii="Arial" w:hAnsi="Arial"/>
                <w:sz w:val="20"/>
              </w:rPr>
              <w:t>0.000</w:t>
            </w:r>
          </w:p>
        </w:tc>
      </w:tr>
      <w:tr>
        <w:tc>
          <w:tcPr>
            <w:tcW w:type="dxa" w:w="1080"/>
          </w:tcPr>
          <w:p>
            <w:r>
              <w:rPr>
                <w:rFonts w:ascii="Arial" w:hAnsi="Arial"/>
                <w:sz w:val="20"/>
              </w:rPr>
              <w:t>corrected</w:t>
            </w:r>
          </w:p>
        </w:tc>
        <w:tc>
          <w:tcPr>
            <w:tcW w:type="dxa" w:w="1080"/>
          </w:tcPr>
          <w:p>
            <w:r>
              <w:rPr>
                <w:rFonts w:ascii="Arial" w:hAnsi="Arial"/>
                <w:sz w:val="20"/>
              </w:rPr>
              <w:t>SOS</w:t>
            </w:r>
          </w:p>
        </w:tc>
        <w:tc>
          <w:tcPr>
            <w:tcW w:type="dxa" w:w="1080"/>
          </w:tcPr>
          <w:p>
            <w:r>
              <w:rPr>
                <w:rFonts w:ascii="Arial" w:hAnsi="Arial"/>
                <w:sz w:val="20"/>
              </w:rPr>
              <w:t>+15.289</w:t>
            </w:r>
          </w:p>
        </w:tc>
        <w:tc>
          <w:tcPr>
            <w:tcW w:type="dxa" w:w="1080"/>
          </w:tcPr>
          <w:p>
            <w:r>
              <w:rPr>
                <w:rFonts w:ascii="Arial" w:hAnsi="Arial"/>
                <w:sz w:val="20"/>
              </w:rPr>
              <w:t>0.882</w:t>
            </w:r>
          </w:p>
        </w:tc>
        <w:tc>
          <w:tcPr>
            <w:tcW w:type="dxa" w:w="1080"/>
          </w:tcPr>
          <w:p>
            <w:r>
              <w:rPr>
                <w:rFonts w:ascii="Arial" w:hAnsi="Arial"/>
                <w:sz w:val="20"/>
              </w:rPr>
              <w:t>999</w:t>
            </w:r>
          </w:p>
        </w:tc>
        <w:tc>
          <w:tcPr>
            <w:tcW w:type="dxa" w:w="1080"/>
          </w:tcPr>
          <w:p>
            <w:r>
              <w:rPr>
                <w:rFonts w:ascii="Arial" w:hAnsi="Arial"/>
                <w:sz w:val="20"/>
              </w:rPr>
              <w:t>0.3710</w:t>
            </w:r>
          </w:p>
        </w:tc>
        <w:tc>
          <w:tcPr>
            <w:tcW w:type="dxa" w:w="1080"/>
          </w:tcPr>
          <w:p>
            <w:r>
              <w:rPr>
                <w:rFonts w:ascii="Arial" w:hAnsi="Arial"/>
                <w:sz w:val="20"/>
              </w:rPr>
              <w:t>-54.021</w:t>
            </w:r>
          </w:p>
        </w:tc>
        <w:tc>
          <w:tcPr>
            <w:tcW w:type="dxa" w:w="1080"/>
          </w:tcPr>
          <w:p>
            <w:r>
              <w:rPr>
                <w:rFonts w:ascii="Arial" w:hAnsi="Arial"/>
                <w:sz w:val="20"/>
              </w:rPr>
              <w:t>84.599</w:t>
            </w:r>
          </w:p>
        </w:tc>
      </w:tr>
      <w:tr>
        <w:tc>
          <w:tcPr>
            <w:tcW w:type="dxa" w:w="1080"/>
          </w:tcPr>
          <w:p>
            <w:r>
              <w:rPr>
                <w:rFonts w:ascii="Arial" w:hAnsi="Arial"/>
                <w:sz w:val="20"/>
              </w:rPr>
              <w:t>corrected</w:t>
            </w:r>
          </w:p>
        </w:tc>
        <w:tc>
          <w:tcPr>
            <w:tcW w:type="dxa" w:w="1080"/>
          </w:tcPr>
          <w:p>
            <w:r>
              <w:rPr>
                <w:rFonts w:ascii="Arial" w:hAnsi="Arial"/>
                <w:sz w:val="20"/>
              </w:rPr>
              <w:t>POS</w:t>
            </w:r>
          </w:p>
        </w:tc>
        <w:tc>
          <w:tcPr>
            <w:tcW w:type="dxa" w:w="1080"/>
          </w:tcPr>
          <w:p>
            <w:r>
              <w:rPr>
                <w:rFonts w:ascii="Arial" w:hAnsi="Arial"/>
                <w:sz w:val="20"/>
              </w:rPr>
              <w:t>-3.587</w:t>
            </w:r>
          </w:p>
        </w:tc>
        <w:tc>
          <w:tcPr>
            <w:tcW w:type="dxa" w:w="1080"/>
          </w:tcPr>
          <w:p>
            <w:r>
              <w:rPr>
                <w:rFonts w:ascii="Arial" w:hAnsi="Arial"/>
                <w:sz w:val="20"/>
              </w:rPr>
              <w:t>-1.245</w:t>
            </w:r>
          </w:p>
        </w:tc>
        <w:tc>
          <w:tcPr>
            <w:tcW w:type="dxa" w:w="1080"/>
          </w:tcPr>
          <w:p>
            <w:r>
              <w:rPr>
                <w:rFonts w:ascii="Arial" w:hAnsi="Arial"/>
                <w:sz w:val="20"/>
              </w:rPr>
              <w:t>999</w:t>
            </w:r>
          </w:p>
        </w:tc>
        <w:tc>
          <w:tcPr>
            <w:tcW w:type="dxa" w:w="1080"/>
          </w:tcPr>
          <w:p>
            <w:r>
              <w:rPr>
                <w:rFonts w:ascii="Arial" w:hAnsi="Arial"/>
                <w:sz w:val="20"/>
              </w:rPr>
              <w:t>0.2390</w:t>
            </w:r>
          </w:p>
        </w:tc>
        <w:tc>
          <w:tcPr>
            <w:tcW w:type="dxa" w:w="1080"/>
          </w:tcPr>
          <w:p>
            <w:r>
              <w:rPr>
                <w:rFonts w:ascii="Arial" w:hAnsi="Arial"/>
                <w:sz w:val="20"/>
              </w:rPr>
              <w:t>-15.114</w:t>
            </w:r>
          </w:p>
        </w:tc>
        <w:tc>
          <w:tcPr>
            <w:tcW w:type="dxa" w:w="1080"/>
          </w:tcPr>
          <w:p>
            <w:r>
              <w:rPr>
                <w:rFonts w:ascii="Arial" w:hAnsi="Arial"/>
                <w:sz w:val="20"/>
              </w:rPr>
              <w:t>7.941</w:t>
            </w:r>
          </w:p>
        </w:tc>
      </w:tr>
      <w:tr>
        <w:tc>
          <w:tcPr>
            <w:tcW w:type="dxa" w:w="1080"/>
          </w:tcPr>
          <w:p>
            <w:r>
              <w:rPr>
                <w:rFonts w:ascii="Arial" w:hAnsi="Arial"/>
                <w:sz w:val="20"/>
              </w:rPr>
              <w:t>corrected</w:t>
            </w:r>
          </w:p>
        </w:tc>
        <w:tc>
          <w:tcPr>
            <w:tcW w:type="dxa" w:w="1080"/>
          </w:tcPr>
          <w:p>
            <w:r>
              <w:rPr>
                <w:rFonts w:ascii="Arial" w:hAnsi="Arial"/>
                <w:sz w:val="20"/>
              </w:rPr>
              <w:t>EOS</w:t>
            </w:r>
          </w:p>
        </w:tc>
        <w:tc>
          <w:tcPr>
            <w:tcW w:type="dxa" w:w="1080"/>
          </w:tcPr>
          <w:p>
            <w:r>
              <w:rPr>
                <w:rFonts w:ascii="Arial" w:hAnsi="Arial"/>
                <w:sz w:val="20"/>
              </w:rPr>
              <w:t>+0.000</w:t>
            </w:r>
          </w:p>
        </w:tc>
        <w:tc>
          <w:tcPr>
            <w:tcW w:type="dxa" w:w="1080"/>
          </w:tcPr>
          <w:p>
            <w:r>
              <w:rPr>
                <w:rFonts w:ascii="Arial" w:hAnsi="Arial"/>
                <w:sz w:val="20"/>
              </w:rPr>
              <w:t>1.029</w:t>
            </w:r>
          </w:p>
        </w:tc>
        <w:tc>
          <w:tcPr>
            <w:tcW w:type="dxa" w:w="1080"/>
          </w:tcPr>
          <w:p>
            <w:r>
              <w:rPr>
                <w:rFonts w:ascii="Arial" w:hAnsi="Arial"/>
                <w:sz w:val="20"/>
              </w:rPr>
              <w:t>999</w:t>
            </w:r>
          </w:p>
        </w:tc>
        <w:tc>
          <w:tcPr>
            <w:tcW w:type="dxa" w:w="1080"/>
          </w:tcPr>
          <w:p>
            <w:r>
              <w:rPr>
                <w:rFonts w:ascii="Arial" w:hAnsi="Arial"/>
                <w:sz w:val="20"/>
              </w:rPr>
              <w:t>0.2050</w:t>
            </w:r>
          </w:p>
        </w:tc>
        <w:tc>
          <w:tcPr>
            <w:tcW w:type="dxa" w:w="1080"/>
          </w:tcPr>
          <w:p>
            <w:r>
              <w:rPr>
                <w:rFonts w:ascii="Arial" w:hAnsi="Arial"/>
                <w:sz w:val="20"/>
              </w:rPr>
              <w:t>-0.000</w:t>
            </w:r>
          </w:p>
        </w:tc>
        <w:tc>
          <w:tcPr>
            <w:tcW w:type="dxa" w:w="1080"/>
          </w:tcPr>
          <w:p>
            <w:r>
              <w:rPr>
                <w:rFonts w:ascii="Arial" w:hAnsi="Arial"/>
                <w:sz w:val="20"/>
              </w:rPr>
              <w:t>0.000</w:t>
            </w:r>
          </w:p>
        </w:tc>
      </w:tr>
    </w:tbl>
    <w:p/>
    <w:p>
      <w:r>
        <w:rPr>
          <w:sz w:val="18"/>
        </w:rPr>
        <w:t>Notes. WCR = wild cluster restricted (residuals imposed under H0: τ=0). Floor on bootstrap p-value at B=9999 is 1/(B+1) = 0.0001. District clusters: 8.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