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S3.  Bulbul (Nov 2019) transferability probe: out-of-sample prediction of inland Bulbul-affected districts' SOS using coefficients trained on Fani / Amphan / Yaas. [Populated by Module 05b after main DiD is locked.]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District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Predicted ΔSOS (d)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Observed ΔSOS (d)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Residual (d)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Inside 95% PI?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Baleshwar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Bhadrak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Kendrapara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Jagatsinghpur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Puri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Dhenkanal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Anugul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Cuttack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</w:tbl>
    <w:p/>
    <w:p>
      <w:r>
        <w:rPr>
          <w:sz w:val="18"/>
        </w:rPr>
        <w:t>Notes. Awaiting Module 05b (transferability) execution. Prediction uses the corrected-pipeline DiD coefficients from Table S1 to forecast Bulbul-induced SOS shift; observed shift is computed from the corrected phenology pipeline applied to Bulbul (Nov 2019). Residuals centred near zero (and within the 95% prediction interval) indicate the trained model generalises to a different cyclone class (post-monsoon, rainfall-dominant) outside the study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