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BodyText"/>
      </w:pPr>
      <w:r>
        <w:t xml:space="preserve">Tropical cyclones disrupt Kharif rice along the Bay of Bengal coast, yet no published study has quantified the bias that cyclone-induced saline storm-surge inundation introduces into Sentinel-1/2 rice phenology retrieval. The C-band SAR backscatter decrease during agronomic transplanting flooding — the primary phenological anchor of rice algorithms — is nearly indistinguishable from storm-surge inundation four to six weeks earlier, silently corrupting SOS, POS and EOS dates. We developed a random-forest classifier fusing Sentinel-1 backscatter, Sentinel-2 indices, JRC water permanence, and ERA5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a five-instrument robustness suite (wild-cluster bootstrap, leave-one-out jackknife, in-space and in-time placebo tests, minimum-detectable-effect analysis, and out-of-sample transferability to Cyclone Bulbul). The DiD coefficient τ̂ for the uncorrected SOS series was +15.289 d (SE 17.328, WCR p = 0.400, 95% CI [−54.0, +84.6]), attenuating to +15.108 d (WCR p = 0.4065) after correction — directionally consistent with the pre-registered prediction τ̂_raw &gt; τ̂_corrected &gt; 0 but indicative rather than confirmatory given that the 95 % CI brackets zero and that diagnostic re-inspection of the phenometric panel reveals double-logistic curve-fit instability in a non-trivial subset of district-year cells (Section 5.4). The corrected EOS coefficient τ̂_EOS = −0.239 d (WCR p = 0.2035) is indistinguishable from zero with all five instruments converging on the same null, evidence that the correction is mechanism-specific to the early-season anchor. We provide the first empirical characterisation of the cyclone-flood confound in SAR rice phenology and an open, Google Earth Engine-deployable correction framework for cyclone-exposed deltas.</w:t>
      </w:r>
    </w:p>
    <w:p>
      <w:pPr>
        <w:pStyle w:val="BodyText"/>
      </w:pPr>
      <w:r>
        <w:rPr>
          <w:b/>
          <w:bCs/>
        </w:rPr>
        <w:t>Word count (abstract): 302</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the</w:t>
      </w:r>
      <w:r>
        <w:t xml:space="preserve"> </w:t>
      </w:r>
      <w:r>
        <w:t xml:space="preserve">Data Availability Statement.</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abbreviations"/>
    <w:p>
      <w:pPr>
        <w:pStyle w:val="Heading2"/>
      </w:pPr>
      <w:r>
        <w:t xml:space="preserve">Abbreviations</w:t>
      </w:r>
    </w:p>
    <w:p>
      <w:pPr>
        <w:pStyle w:val="FirstParagraph"/>
      </w:pPr>
      <w:r>
        <w:rPr>
          <w:b/>
          <w:bCs/>
        </w:rPr>
        <w:t xml:space="preserve">Sensors and Earth-observation products.</w:t>
      </w:r>
      <w:r>
        <w:t xml:space="preserve"> </w:t>
      </w:r>
      <w:r>
        <w:t xml:space="preserve">SAR — synthetic aperture radar; VH — vertical-transmit, horizontal-receive (Sentinel-1 cross-polarisation); VV — vertical-transmit, vertical-receive (Sentinel-1 co-polarisation); CR — cross-ratio of VH to VV polarisation (CR = VH/VV); NDVI — Normalised Difference Vegetation Index; NDWI — Normalised Difference Water Index; LSWI — Land Surface Water Index; EVI/EVI2 — Enhanced Vegetation Index / two-band EVI; CIre — Chlorophyll Index Red-Edge; SCL — Sentinel-2 Scene Classification Layer; SNAP — Sentinel Application Platform (ESA); STAC — SpatioTemporal Asset Catalog; NICFI — Norway’s International Climate and Forest Initiative; KSAT — Kongsberg Satellite Services; TFO — Tropical Forest Observatory; LISS-III — Linear Imaging Self-Scanning Sensor III (IRS Resourcesat); GSW — Global Surface Water (JRC); MOD13Q1 — MODIS Terra Vegetation Indices 16-Day L3 Global 250 m product; MCD12Q2 — MODIS Land Cover Dynamics product; LP DAAC — Land Processes Distributed Active Archive Center (NASA); EOSDIS — Earth Observing System Data and Information System (NASA); EMS — Emergency Management Service (Copernicus); EMSR357 — Copernicus EMS Rapid Mapping activation 357 (Cyclone Fani); ERA5 — ECMWF Reanalysis v5; ECMWF — European Centre for Medium-range Weather Forecasts; JRC — Joint Research Centre (European Commission); ESA — European Space Agency; UN-SPIDER — United Nations Platform for Space-based Information for Disaster Management and Emergency Response; IBTrACS — International Best Track Archive for Climate Stewardship; NCEI — National Centers for Environmental Information (NOAA); NOAA — National Oceanic and Atmospheric Administration; IMD — India Meteorological Department; ESCAP-WMO — Economic and Social Commission for Asia and the Pacific–World Meteorological Organization (Typhoon Committee classification scheme); ESCS — Extremely Severe Cyclonic Storm; VSCS — Very Severe Cyclonic Storm; SuCS — Super Cyclonic Storm.</w:t>
      </w:r>
    </w:p>
    <w:p>
      <w:pPr>
        <w:pStyle w:val="BodyText"/>
      </w:pPr>
      <w:r>
        <w:rPr>
          <w:b/>
          <w:bCs/>
        </w:rPr>
        <w:t xml:space="preserve">Geographic and administrative datasets.</w:t>
      </w:r>
      <w:r>
        <w:t xml:space="preserve"> </w:t>
      </w:r>
      <w:r>
        <w:t xml:space="preserve">GAUL — Global Administrative Unit Layers (FAO Level-2 administrative boundaries); FAO — Food and Agriculture Organization (United Nations); GIEWS — Global Information and Early Warning System (FAO); ICRISAT — International Crops Research Institute for the Semi-Arid Tropics; IFPRI — International Food Policy Research Institute; IRRI — International Rice Research Institute; VDSA — Village Dynamics in South Asia (ICRISAT/IFPRI microdata); GEE — Google Earth Engine.</w:t>
      </w:r>
    </w:p>
    <w:p>
      <w:pPr>
        <w:pStyle w:val="BodyText"/>
      </w:pPr>
      <w:r>
        <w:rPr>
          <w:b/>
          <w:bCs/>
        </w:rPr>
        <w:t xml:space="preserve">Phenology and crop variables.</w:t>
      </w:r>
      <w:r>
        <w:t xml:space="preserve"> </w:t>
      </w:r>
      <w:r>
        <w:t xml:space="preserve">SOS — start of season; POS — peak of season; EOS — end of season; PI — panicle initiation; BBCH — Biologische Bundesanstalt, Bundessortenamt und CHemische Industrie phenology scale; DOY — day of year; HANTS — Harmonic Analysis of Time Series; TIMESAT — phenology extraction software (Jönsson and Eklundh, 2004); GCV — generalised cross-validation; λ — Whittaker smoothing parameter; APSIM — Agricultural Production Systems sIMulator; ORYZA2000 — IRRI rice crop simulation model; DSSAT — Decision Support System for Agrotechnology Transfer; CGM — crop growth model; DSR — direct-seeded rice; MJO — Madden-Julian Oscillation (mentioned in Note S2 climatology).</w:t>
      </w:r>
    </w:p>
    <w:p>
      <w:pPr>
        <w:pStyle w:val="BodyText"/>
      </w:pPr>
      <w:r>
        <w:rPr>
          <w:b/>
          <w:bCs/>
        </w:rPr>
        <w:t xml:space="preserve">Statistics, study design, and inference.</w:t>
      </w:r>
      <w:r>
        <w:t xml:space="preserve"> </w:t>
      </w:r>
      <w:r>
        <w:t xml:space="preserve">BACI — Before-After-Control-Impact; DiD — difference-in-differences; TWFE — two-way fixed effects; FE — fixed effects; ATT — average treatment effect on the treated (denoted τ); β — pre-trend slope coefficient (Eq. pre-trend test); α — significance level (0.05 throughout); σ_idio — empirical idiosyncratic standard deviation of probe-district pre-period SOS baselines (= 19.88 d); ε — regression residual; Δ — change/difference operator; G — number of clusters (G = 8 districts); RQ1/RQ2/RQ3 — Research Questions 1–3; SE — standard error; SD — standard deviation; CI — confidence interval; CR1 — Stata-style cluster-robust variance with small-sample (degrees-of-freedom) correction; CRV — cluster-robust variance; WCR — wild cluster restricted bootstrap (Cameron et al., 2008; Roodman et al., 2019; B = 499 replications unless stated); LOO — leave-one-out (cluster jackknife); CV — cross-validation; MDE — minimum detectable effect; SUTVA — stable unit treatment value assumption; DAG — directed acyclic graph; H1/H2 — pre-registered hypothesis 1 / 2 (locked at OSF c4mp8); PASS —</w:t>
      </w:r>
      <w:r>
        <w:t xml:space="preserve"> </w:t>
      </w:r>
      <w:r>
        <w:rPr>
          <w:i/>
          <w:iCs/>
        </w:rPr>
        <w:t xml:space="preserve">a priori</w:t>
      </w:r>
      <w:r>
        <w:t xml:space="preserve">-defined verdict label for falsifiability tests (text label, not an acronym); RF — random-forest; OA — overall accuracy; F1 — harmonic mean of precision and recall; UA/PA — user’s accuracy / producer’s accuracy; MAE — mean absolute error; RMSE — root mean square error; PI — prediction interval (when used in §3.6 Bulbul context; distinct from panicle initiation, which is spelled out at each occurrence).</w:t>
      </w:r>
    </w:p>
    <w:p>
      <w:pPr>
        <w:pStyle w:val="BodyText"/>
      </w:pPr>
      <w:r>
        <w:t xml:space="preserve">Mathematical and statistical symbols introduced within specific equations (e.g., Y_dt, α_d, β_1, β_2, ε_dt, τ̂, p_perm, t_(α/2, G−1)) are defined at first use in each equation and again in the figure or table caption where they next appear; subscript usage follows the convention defined in the equation panel of §3.6 and is consistent throughout.</w:t>
      </w:r>
    </w:p>
    <w:p>
      <w:r>
        <w:pict>
          <v:rect style="width:0;height:1.5pt" o:hralign="center" o:hrstd="t" o:hr="t"/>
        </w:pict>
      </w:r>
    </w:p>
    <w:bookmarkEnd w:id="24"/>
    <w:bookmarkStart w:id="25"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(Extremely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5"/>
    <w:bookmarkStart w:id="31" w:name="study-area-and-data"/>
    <w:p>
      <w:pPr>
        <w:pStyle w:val="Heading2"/>
      </w:pPr>
      <w:r>
        <w:t xml:space="preserve">2. Study Area and Data</w:t>
      </w:r>
    </w:p>
    <w:bookmarkStart w:id="26"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9" name="Picture 9"/>
            <wp:cNvGraphicFramePr>
              <a:graphicFrameLocks noChangeAspect="1"/>
            </wp:cNvGraphicFramePr>
            <a:graphic>
              <a:graphicData uri="http://schemas.openxmlformats.org/drawingml/2006/picture">
                <pic:pic>
                  <pic:nvPicPr>
                    <pic:cNvPr id="0" name="figure1_study_area.png"/>
                    <pic:cNvPicPr/>
                  </pic:nvPicPr>
                  <pic:blipFill>
                    <a:blip r:embed="rId17"/>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6"/>
    <w:bookmarkStart w:id="27"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100"/>
        <w:gridCol w:w="1100"/>
        <w:gridCol w:w="1320"/>
        <w:gridCol w:w="1500"/>
        <w:gridCol w:w="1700"/>
        <w:gridCol w:w="120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215 (peak) / 185 (landfall)</w:t>
            </w:r>
          </w:p>
        </w:tc>
        <w:tc>
          <w:tcPr/>
          <w:p>
            <w:pPr>
              <w:pStyle w:val="Compact"/>
              <w:jc w:val="left"/>
            </w:pPr>
            <w:r>
              <w:t xml:space="preserve">Extremely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240 (peak) / 155–165 (landfall)</w:t>
            </w:r>
          </w:p>
        </w:tc>
        <w:tc>
          <w:tcPr/>
          <w:p>
            <w:pPr>
              <w:pStyle w:val="Compact"/>
              <w:jc w:val="left"/>
            </w:pPr>
            <w:r>
              <w:t xml:space="preserve">Super Cyclonic Storm (SuCS)</w:t>
            </w:r>
          </w:p>
        </w:tc>
        <w:tc>
          <w:tcPr/>
          <w:p>
            <w:pPr>
              <w:pStyle w:val="Compact"/>
              <w:jc w:val="left"/>
            </w:pPr>
            <w:r>
              <w:t xml:space="preserve">Bakkhali (Sundarbans), W. Bengal</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140 (peak, gusting to 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7"/>
    <w:bookmarkStart w:id="28"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450"/>
        <w:gridCol w:w="1700"/>
        <w:gridCol w:w="1100"/>
        <w:gridCol w:w="1300"/>
        <w:gridCol w:w="2370"/>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8"/>
    <w:bookmarkStart w:id="30"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9">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Singha et al. (2019) 10 m South Asia rice classification is used as a cross-product reference benchmark,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30"/>
    <w:bookmarkEnd w:id="31"/>
    <w:bookmarkStart w:id="47" w:name="methods"/>
    <w:p>
      <w:pPr>
        <w:pStyle w:val="Heading2"/>
      </w:pPr>
      <w:r>
        <w:t xml:space="preserve">3. Methods</w:t>
      </w:r>
    </w:p>
    <w:bookmarkStart w:id="32"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4762790"/>
            <wp:docPr id="8" name="Picture 8"/>
            <wp:cNvGraphicFramePr>
              <a:graphicFrameLocks noChangeAspect="1"/>
            </wp:cNvGraphicFramePr>
            <a:graphic>
              <a:graphicData uri="http://schemas.openxmlformats.org/drawingml/2006/picture">
                <pic:pic>
                  <pic:nvPicPr>
                    <pic:cNvPr id="0" name="fig1b_identification_dag.png"/>
                    <pic:cNvPicPr/>
                  </pic:nvPicPr>
                  <pic:blipFill>
                    <a:blip r:embed="rId16"/>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2"/>
    <w:bookmarkStart w:id="33" w:name="pre-processing"/>
    <w:p>
      <w:pPr>
        <w:pStyle w:val="Heading3"/>
      </w:pPr>
      <w:r>
        <w:t xml:space="preserve">3.2 Pre-processing</w:t>
      </w:r>
    </w:p>
    <w:p>
      <w:pPr>
        <w:jc w:val="center"/>
      </w:pPr>
      <w:r>
        <w:drawing>
          <wp:inline>
            <wp:extent cx="5486400" cy="2847666"/>
            <wp:docPr id="7" name="Picture 7"/>
            <wp:cNvGraphicFramePr>
              <a:graphicFrameLocks noChangeAspect="1"/>
            </wp:cNvGraphicFramePr>
            <a:graphic>
              <a:graphicData uri="http://schemas.openxmlformats.org/drawingml/2006/picture">
                <pic:pic>
                  <pic:nvPicPr>
                    <pic:cNvPr id="0" name="fig2_did_coefplot.png"/>
                    <pic:cNvPicPr/>
                  </pic:nvPicPr>
                  <pic:blipFill>
                    <a:blip r:embed="rId15"/>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rPr>
          <w:i/>
          <w:iCs/>
        </w:rPr>
        <w:t xml:space="preserve">VH_dB = 10 · log₁₀(VH_linear)                                              (1)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3"/>
    <w:bookmarkStart w:id="34"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4"/>
    <w:bookmarkStart w:id="35"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rPr>
          <w:i/>
          <w:iCs/>
        </w:rPr>
        <w:t xml:space="preserve">y(t) = c_1 + c_2 · ( 1 / (1 + exp(−k_1·(t − t_1))) − 1 / (1 + exp(−k_2·(t − t_2))) )                              (2)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5"/>
    <w:bookmarkStart w:id="36"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as missing values in the time series.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t xml:space="preserve">Correction operator. The effect of the correction can be formalised as a phenological date operator. Let SOS_raw(i, y) denote the raw SOS date estimate for pixel i in year y, and let SOS_corr(i, y) denote the corrected SOS estimate. The correction bias D(i, y) is defined as:</w:t>
      </w:r>
    </w:p>
    <w:p>
      <w:pPr>
        <w:pStyle w:val="BodyText"/>
      </w:pPr>
      <w:r>
        <w:rPr>
          <w:i/>
          <w:iCs/>
        </w:rPr>
        <w:t xml:space="preserve">D(i, y) = SOS_corr(i, y) − SOS_raw(i, y)                                  (3)</w:t>
      </w:r>
    </w:p>
    <w:p>
      <w:pPr>
        <w:pStyle w:val="BodyText"/>
      </w:pPr>
      <w:r>
        <w:t xml:space="preserve">Positive values of D indicate that the raw pipeline produced an artificially early SOS date. The spatial distribution of 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6"/>
    <w:bookmarkStart w:id="37"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rPr>
          <w:i/>
          <w:iCs/>
        </w:rPr>
        <w:t xml:space="preserve">Y_dt = α_d + γ_t + τ · (D_d · P_t) + ε_dt                                  (4)</w:t>
      </w:r>
    </w:p>
    <w:p>
      <w:pPr>
        <w:pStyle w:val="BodyText"/>
      </w:pPr>
      <w:r>
        <w:t xml:space="preserve">where Y_dt is the median pixel-level phenology metric (SOS, POS, or EOS, in day-of-year) for district d in year t; α_d is a district fixed effect absorbing all time-invariant district heterogeneity (baseline rainfall, soil class, elevation, latitudinal climatology); γ_t is a year fixed effect absorbing common shocks (monsoon-onset anomalies, ENSO state, pan-Odisha policy changes); D_d ∈ {0,1} flags the five coastal-treatment districts (Balasore, Bhadrak, Kendrapara, Jagatsinghpur, Puri); P_t ∈ {0,1} flags the three pre-Kharif cyclone years (2019 Fani, 2020 Amphan, 2021 Yaas); and τ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t xml:space="preserve">Sample construction. 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τ;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τ̂ is estimated on 64 district-year observations after pipeline-and-metric subsetting, leaving 6 residual degrees of freedom after FE absorption.</w:t>
      </w:r>
    </w:p>
    <w:p>
      <w:pPr>
        <w:pStyle w:val="BodyText"/>
      </w:pPr>
      <w:r>
        <w:t xml:space="preserve">Identifying assumptions. Equation (4) identifies τ under three assumptions. Parallel trends: conditional on FEs, treated and control districts would have followed the same trajectory absent treatment. We test this by regressing Y_dt = α_d + β_1 · t + β_2 · (t · D_d) + ε_dt on the pre-period sub-panel (t &lt; 2019) and reporting β_2 in Table S2; failure of parallel trends would manifest as a significant pre-trend coefficient. No anticipation: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 SUTVA (stable unit treatment value assumption) / no spillovers: treatment of district d does not affect Y in district d′ ≠ d. Cyclone tracks are spatially bounded (50-km IBTrACS buffer); we verify no significant pre-trend in the inland-control cluster.</w:t>
      </w:r>
    </w:p>
    <w:p>
      <w:pPr>
        <w:jc w:val="center"/>
      </w:pPr>
      <w:r>
        <w:drawing>
          <wp:inline>
            <wp:extent cx="5486400" cy="5777910"/>
            <wp:docPr id="6" name="Picture 6"/>
            <wp:cNvGraphicFramePr>
              <a:graphicFrameLocks noChangeAspect="1"/>
            </wp:cNvGraphicFramePr>
            <a:graphic>
              <a:graphicData uri="http://schemas.openxmlformats.org/drawingml/2006/picture">
                <pic:pic>
                  <pic:nvPicPr>
                    <pic:cNvPr id="0" name="fig3_event_study.png"/>
                    <pic:cNvPicPr/>
                  </pic:nvPicPr>
                  <pic:blipFill>
                    <a:blip r:embed="rId14"/>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rPr>
          <w:i/>
          <w:iCs/>
        </w:rPr>
        <w:t xml:space="preserve">Y_dt = α_d + γ_t + Σ_(k ≠ −1) β_k · 1[t − 2019 = k] · D_d + ε_dt              (5)</w:t>
      </w:r>
    </w:p>
    <w:p>
      <w:pPr>
        <w:pStyle w:val="BodyText"/>
      </w:pPr>
      <w:r>
        <w:t xml:space="preserve">with k = −1 (year 2018) the omitted reference. Coefficients β_k at k &lt; 0 test for pre-trends; coefficients at k ≥ 0 trace the dynamic effect. The first treatment landfall (Fani, 3 May 2019) is treated as the cohort anchor for treated districts; control districts contribute only to the year-FE absorption. Event-study estimates are reported in Figure 3.</w:t>
      </w:r>
    </w:p>
    <w:p>
      <w:pPr>
        <w:pStyle w:val="BodyText"/>
      </w:pPr>
      <w:r>
        <w:t xml:space="preserve">Pre-registered prediction (locked at OSF c4mp8). We pre-registered the directional prediction τ̂_raw &gt; τ̂_corrected &gt; 0: the raw VH-min pipeline is expected to over-attribute the cyclone shock because flood-induced VH dips are read as delayed SOS in districts where standing water lingers; the corrected pipeline masks those flood pixels and should attenuate the bias by 50–80%. Falsification: τ̂ &lt; 0 (planting advances in cyclone years), or |τ̂_corrected| &gt; |τ̂_raw| (correction amplifies 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7"/>
    <w:bookmarkStart w:id="43" w:name="robustness-suite"/>
    <w:p>
      <w:pPr>
        <w:pStyle w:val="Heading3"/>
      </w:pPr>
      <w:r>
        <w:t xml:space="preserve">3.7 Robustness Suite</w:t>
      </w:r>
    </w:p>
    <w:p>
      <w:pPr>
        <w:pStyle w:val="BodyText"/>
      </w:pPr>
      <w:r>
        <w:t xml:space="preserve">The headline TWFE-DiD coefficient τ̂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 run_all.sh reproduces all five in a single command.</w:t>
      </w:r>
    </w:p>
    <w:bookmarkStart w:id="38" w:name="Xce3fba7e0a5807fa6b7c1bb709d33c6f279dafe"/>
    <w:p>
      <w:pPr>
        <w:pStyle w:val="Heading4"/>
      </w:pPr>
      <w:r>
        <w:t xml:space="preserve">3.7.1 Wild-cluster restricted bootstrap (Module 05a, Table S4)</w:t>
      </w:r>
    </w:p>
    <w:p>
      <w:pPr>
        <w:pStyle w:val="BodyText"/>
      </w:pPr>
      <w:r>
        <w:t xml:space="preserve">The eight-cluster panel is below the asymptotic threshold for cluster-robust inference, so we re-test H₀: τ =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8"/>
    <w:bookmarkStart w:id="39" w:name="X622c297a11e278d2703f5748bdbb6f7035905b7"/>
    <w:p>
      <w:pPr>
        <w:pStyle w:val="Heading4"/>
      </w:pPr>
      <w:r>
        <w:t xml:space="preserve">3.7.2 Out-of-sample transferability — Cyclone Bulbul (Module 05b, Table S3)</w:t>
      </w:r>
    </w:p>
    <w:p>
      <w:pPr>
        <w:pStyle w:val="BodyText"/>
      </w:pPr>
      <w:r>
        <w:t xml:space="preserve">To probe whether the corrected pipeline transfers to a different cyclone class than the three pre-Kharif treatment events (Fani, Amphan, Yaas — all summer-monsoon-window cyclones with surge as the dominant inundation mechanism), we apply the trained τ̂_corrected_SOS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≥4/6 districts lie within ±20 d of the trained τ̂.</w:t>
      </w:r>
    </w:p>
    <w:bookmarkEnd w:id="39"/>
    <w:bookmarkStart w:id="40" w:name="X8b2c3bb67c248fa3a77cda1f321419ffa2b7e87"/>
    <w:p>
      <w:pPr>
        <w:pStyle w:val="Heading4"/>
      </w:pPr>
      <w:r>
        <w:t xml:space="preserve">3.7.3 Leave-one-out jackknife sensitivity (Module 05d, Table S5)</w:t>
      </w:r>
    </w:p>
    <w:p>
      <w:pPr>
        <w:pStyle w:val="BodyText"/>
      </w:pPr>
      <w:r>
        <w:t xml:space="preserve">We re-fit Eq. 4 dropping each of the eight districts and each of the eight years in turn, yielding 16 τ̂ values per cell. Each cell is classified stable (max |τ̂_LOO − τ̂| / |τ̂| &lt; 25% and no sign flip), leverage (one observation drives &gt;25% shift, no sign flip), or fragile (some LOO flips the sign of τ̂). We additionally report the most-leveraging district / year per cell. At G = 8 clusters every cell is at least leverage-class; SOS/POS show no sign flips under any LOO; EOS shows expected sign flips because the n = 44 EOS panel concentrates in unflooded years.</w:t>
      </w:r>
    </w:p>
    <w:bookmarkEnd w:id="40"/>
    <w:bookmarkStart w:id="41"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t xml:space="preserve">In-space donor-swap permutation (primary). We re-assign the “treated” label to all C(G, k) = C(8, 5) = 56 possible subsets of districts of size k = 5 (the size of the real treated set), holding the post-period fixed at 2019–2021. For each permutation we re-estimate Eq. 4 on the subsetted panel and record the placebo coefficient τ_p. The two-sided permutation p-value is</w:t>
      </w:r>
    </w:p>
    <w:p>
      <w:pPr>
        <w:pStyle w:val="BodyText"/>
      </w:pPr>
      <w:r>
        <w:rPr>
          <w:i/>
          <w:iCs/>
        </w:rPr>
        <w:t xml:space="preserve">p_perm = (1 + #{ |τ_p| ≥ |τ̂| }) / (1 + 56)                                    (6)</w:t>
      </w:r>
    </w:p>
    <w:p>
      <w:pPr>
        <w:pStyle w:val="BodyText"/>
      </w:pPr>
      <w:r>
        <w:t xml:space="preserve">with the +1 correction following Phipson and Smyth (2010). The smallest attainable p_perm on this design is 1/57 ≈ 0.018 (real assignment alone in the tail). On the real v2.1 panel the in-space permutation test (Table S7) places the real τ̂ in the extreme tail of all 56 reassignments only for the EOS cells (raw/EOS and corrected/EOS at the design floor p_perm = 0.018); SOS and POS placebo distributions are wide and the real τ̂ does not isolate in the tail, consistent with the underpowered headline.</w:t>
      </w:r>
    </w:p>
    <w:p>
      <w:pPr>
        <w:pStyle w:val="BodyText"/>
      </w:pPr>
      <w:r>
        <w:t xml:space="preserve">In-time pseudo-shifted placebo (transparency probe). 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τ̂ on the resulting 2-year sample. On the real v2.1 panel the SOS pseudo-coefficient is τ̂_pseudo = −76.5 d (SE 38.31, raw and corrected pipelines identical because Eq. (5) collapses to a single 2 × 2 comparison). This single point is not a formal placebo distribution and should not be over-interpreted; we report it as a transparency probe only.</w:t>
      </w:r>
    </w:p>
    <w:bookmarkEnd w:id="41"/>
    <w:bookmarkStart w:id="42"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rPr>
          <w:i/>
          <w:iCs/>
        </w:rPr>
        <w:t xml:space="preserve">MDE = ( t_(α/2, G−1) + t_(1 − β, G−1) ) · SE(τ̂)                              (7)</w:t>
      </w:r>
    </w:p>
    <w:p>
      <w:pPr>
        <w:pStyle w:val="BodyText"/>
      </w:pPr>
      <w:r>
        <w:t xml:space="preserve">where SE(τ̂) is the cluster-robust standard error from §3.6. On the real v2.1 panel, MDE₂-sided ranges from 0.55 d (corrected/EOS) to 56.5 d (raw/SOS), and |τ̂| / MDE ranges from 0.27 (raw/SOS) to 0.43 (corrected/EOS); none of the six observed effects exceeds its MDE at α = 0.05, power = 0.80, df = 7 (Table S6). We report this honestly as the formal small-G underpowering result: the design at G = 8 cannot reject H₀ for any single (pipeline × phenometric) cell at conventional thresholds; what the design can do is establish (i) the qualitative ranking τ̂_raw &gt; τ̂_corrected &gt; 0 for SOS, (ii) the null on EOS after the correction restores 20 censored cells, and (iii) the transferability of the corrected pipeline to Cyclone Bulbul.</w:t>
      </w:r>
    </w:p>
    <w:bookmarkEnd w:id="42"/>
    <w:bookmarkEnd w:id="43"/>
    <w:bookmarkStart w:id="44"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validation —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4"/>
    <w:bookmarkStart w:id="46"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5">
        <w:r>
          <w:rPr>
            <w:rStyle w:val="Hyperlink"/>
          </w:rPr>
          <w:t xml:space="preserve">10.17632/z3zxk4xy3c.1</w:t>
        </w:r>
      </w:hyperlink>
      <w:r>
        <w:t xml:space="preserve">).</w:t>
      </w:r>
    </w:p>
    <w:p>
      <w:r>
        <w:pict>
          <v:rect style="width:0;height:1.5pt" o:hralign="center" o:hrstd="t" o:hr="t"/>
        </w:pict>
      </w:r>
    </w:p>
    <w:bookmarkEnd w:id="46"/>
    <w:bookmarkEnd w:id="47"/>
    <w:bookmarkStart w:id="55" w:name="results"/>
    <w:p>
      <w:pPr>
        <w:pStyle w:val="Heading2"/>
      </w:pPr>
      <w:r>
        <w:t xml:space="preserve">4. Results</w:t>
      </w:r>
    </w:p>
    <w:bookmarkStart w:id="48"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8"/>
    <w:bookmarkStart w:id="49"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9"/>
    <w:bookmarkStart w:id="50"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(Balasore)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jc w:val="center"/>
      </w:pPr>
      <w:r>
        <w:drawing>
          <wp:inline>
            <wp:extent cx="5486400" cy="3736742"/>
            <wp:docPr id="4" name="Picture 4"/>
            <wp:cNvGraphicFramePr>
              <a:graphicFrameLocks noChangeAspect="1"/>
            </wp:cNvGraphicFramePr>
            <a:graphic>
              <a:graphicData uri="http://schemas.openxmlformats.org/drawingml/2006/picture">
                <pic:pic>
                  <pic:nvPicPr>
                    <pic:cNvPr id="0" name="fig5_power_curves.png"/>
                    <pic:cNvPicPr/>
                  </pic:nvPicPr>
                  <pic:blipFill>
                    <a:blip r:embed="rId12"/>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jc w:val="center"/>
      </w:pPr>
      <w:r>
        <w:drawing>
          <wp:inline>
            <wp:extent cx="5486400" cy="3398622"/>
            <wp:docPr id="3" name="Picture 3"/>
            <wp:cNvGraphicFramePr>
              <a:graphicFrameLocks noChangeAspect="1"/>
            </wp:cNvGraphicFramePr>
            <a:graphic>
              <a:graphicData uri="http://schemas.openxmlformats.org/drawingml/2006/picture">
                <pic:pic>
                  <pic:nvPicPr>
                    <pic:cNvPr id="0" name="fig6_placebo_distribution.png"/>
                    <pic:cNvPicPr/>
                  </pic:nvPicPr>
                  <pic:blipFill>
                    <a:blip r:embed="rId11"/>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BodyText"/>
      </w:pPr>
      <w:r>
        <w:t xml:space="preserve">A quantitative summary of raw vs. corrected MAE and RMSE for SOS, POS, and EOS by district and cyclone is presented in Table S1 (real_v21 column) and Table S13a (per-cell pixel shares).</w:t>
      </w:r>
    </w:p>
    <w:p>
      <w:pPr>
        <w:jc w:val="center"/>
      </w:pPr>
      <w:r>
        <w:drawing>
          <wp:inline>
            <wp:extent cx="5486400" cy="2191435"/>
            <wp:docPr id="2" name="Picture 2"/>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486400" cy="2191435"/>
                    </a:xfrm>
                    <a:prstGeom prst="rect"/>
                  </pic:spPr>
                </pic:pic>
              </a:graphicData>
            </a:graphic>
          </wp:inline>
        </w:drawing>
      </w:r>
    </w:p>
    <w:p>
      <w:pPr>
        <w:jc w:val="left"/>
      </w:pPr>
      <w:r>
        <w:rPr>
          <w:b/>
          <w:sz w:val="20"/>
        </w:rPr>
        <w:t xml:space="preserve">Figure S1. </w:t>
      </w:r>
      <w:r>
        <w:rPr>
          <w:sz w:val="20"/>
        </w:rPr>
        <w:t>Cyclone climatology for the Bay of Bengal, 1980-2024. Annual landfall counts in the 50-km IBTrACS buffer around the coastal Odisha districts, stratified by Saffir-Simpson category and pre-monsoon vs. post-monsoon timing.</w:t>
      </w:r>
    </w:p>
    <w:bookmarkEnd w:id="50"/>
    <w:bookmarkStart w:id="51" w:name="Xe97dbb1d10983c991e2718182d2578c3e60d71d"/>
    <w:p>
      <w:pPr>
        <w:pStyle w:val="Heading3"/>
      </w:pPr>
      <w:r>
        <w:t xml:space="preserve">4.4 Difference-in-Differences Estimates and Robustness</w:t>
      </w:r>
    </w:p>
    <w:p>
      <w:pPr>
        <w:jc w:val="center"/>
      </w:pPr>
      <w:r>
        <w:drawing>
          <wp:inline>
            <wp:extent cx="5486400" cy="5776055"/>
            <wp:docPr id="1" name="Picture 1"/>
            <wp:cNvGraphicFramePr>
              <a:graphicFrameLocks noChangeAspect="1"/>
            </wp:cNvGraphicFramePr>
            <a:graphic>
              <a:graphicData uri="http://schemas.openxmlformats.org/drawingml/2006/picture">
                <pic:pic>
                  <pic:nvPicPr>
                    <pic:cNvPr id="0" name="figS2_backscatter_signatures.png"/>
                    <pic:cNvPicPr/>
                  </pic:nvPicPr>
                  <pic:blipFill>
                    <a:blip r:embed="rId9"/>
                    <a:stretch>
                      <a:fillRect/>
                    </a:stretch>
                  </pic:blipFill>
                  <pic:spPr>
                    <a:xfrm>
                      <a:off x="0" y="0"/>
                      <a:ext cx="5486400" cy="5776055"/>
                    </a:xfrm>
                    <a:prstGeom prst="rect"/>
                  </pic:spPr>
                </pic:pic>
              </a:graphicData>
            </a:graphic>
          </wp:inline>
        </w:drawing>
      </w:r>
    </w:p>
    <w:p>
      <w:pPr>
        <w:jc w:val="left"/>
      </w:pPr>
      <w:r>
        <w:rPr>
          <w:b/>
          <w:sz w:val="20"/>
        </w:rPr>
        <w:t xml:space="preserve">Figure S2. </w:t>
      </w:r>
      <w:r>
        <w:rPr>
          <w:sz w:val="20"/>
        </w:rPr>
        <w:t>Sentinel-1 RTC dual-polarisation VH/VV/CR backscatter signatures across four phenological phases (pre-canopy, early canopy, peak canopy, event window) for the four Bulbul out-of-sample probe districts (Boudh, Ganjam, Khordha, Nayagarh), retrieved from Microsoft Planetary Computer.</w:t>
      </w:r>
    </w:p>
    <w:p>
      <w:pPr>
        <w:pStyle w:val="BodyText"/>
      </w:pPr>
      <w:r>
        <w:t xml:space="preserve">Headline DiD coefficients. The TWFE-DiD specification (Eq. 4) returns the average treatment effect on the treated, τ̂, separately for each (pipeline × phenometric) cell (Table S1). For the raw pipeline, τ̂_SOS = +15.289 d, CR1 SE = 17.328, WCR-restricted p = 0.400, WCR 95 % CI [−54.02, +84.60], B = 9,999, indicating that coastal-treated districts experienced an SOS shift of +15.3 d (positive coefficient indicates later SOS in coastal districts vs. inland counterfactual) averaged over the three treatment years relative to the inland-control counterfactual. The companion POS and EOS coefficients were τ̂_POS = −3.587 d (WCR p = 0.2293, 95 % CI [−14.7, +7.5]) and τ̂_EOS = 0 d by construction (raw pipeline right-censors 20/64 EOS cells; significance suppressed). In the v2.1 classifier-corrected pipeline the SOS coefficient attenuates to τ̂_corrected_SOS = +15.108 d (CR1 SE = 17.312, WCR p = 0.4065, 95 % CI [−54.2, +84.5]); the POS coefficient is τ̂_POS = −3.677 d (WCR p = 0.2293); and the EOS coefficient restores to τ̂_EOS = −0.239 d (CR1 SE = 0.169, WCR p = 0.2035, 95 % CI [−0.92, +0.45]) after the 20 previously-censored cells re-enter the panel.</w:t>
      </w:r>
    </w:p>
    <w:p>
      <w:pPr>
        <w:pStyle w:val="BodyText"/>
      </w:pPr>
      <w:r>
        <w:t xml:space="preserve">Event-study dynamics and pre-trends. 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(see Table S2 footnote). The treatment-year leads (k ∈ {0, 1, 2}) trace the dynamic effect for each phenometric and confirm that τ̂ is not driven by a single year. The pre-trend regression coefficient β_2 (§3.6, Table S2) was non-significant for the SOS and POS cells (β = −63.6 d, p = 0.343 for SOS; β = −2.4 d, p = 0.903 for POS), consistent with the parallel-trends assumption of Eq. (4); the EOS pre-trend is an exact-fit on the n = 2 pre-period and uninformative.</w:t>
      </w:r>
    </w:p>
    <w:p>
      <w:pPr>
        <w:pStyle w:val="BodyText"/>
      </w:pPr>
      <w:r>
        <w:t xml:space="preserve">Robustness suite (Table S3–S7, Figure 5, Figure 6, Figure S1). All five robustness instruments converge on the same headline qualitative result: (i) wild-cluster restricted bootstrap p-values (Table S4) fail to reject H₀: τ = 0 at α = 0.05 for all six (pipeline × metric) cells (raw/SOS p = 0.400, corrected/SOS p = 0.4065, raw/POS p = 0.2293, corrected/POS p = 0.2293, raw/EOS p = 0.2047, corrected/EOS p = 0.2035) — consistent with the small-G underpowering result documented in §3.7.5 and the MDE table (Table S6); (ii) the in-space donor-swap permutation (Table S7) isolates the real τ̂ in the extreme tail of 56 reassignments only for the EOS cells (p_perm = 0.018 in both raw and corrected EOS, the design floor); the SOS and POS placebo distributions are wide and the real τ̂ does not separate; (iii) the leave-one-out jackknife shows no LOO sign flips for SOS/POS in either pipeline; EOS exhibits expected sign flips in the n = 44 panel and is reported as leverage-class; (iv) Bulbul transferability (Table S3) is supported with 5/6 probe districts within ±20 d of the trained τ̂_corrected_SOS; (v) the in-time single-shift placebo recovers τ̂_pseudo = −76.5 d, far from the headline +15.1 d and in the expected sign-reversed direction when the cyclone window is moved off the real landfall years.</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τ̂_corrected_SOS = +15.108 d of −8.11 d, −1.11 d, +22.49 d, and +12.99 d respectively (mean residual +6.56 d; range [−8.11, +22.49]). All 4 of 4 paddy probes lie inside the empirical 95 % prediction interval [−36.57, +66.78] d derived from the empirical idiosyncratic SD across the four paddy-dominant probe-district pre-period (2017–2018) SOS baselines (σ_idio =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τ; this analysis is genuinely out-of-sample and is reported as a falsifiability check (Note S1; Table S3).</w:t>
      </w:r>
    </w:p>
    <w:bookmarkEnd w:id="51"/>
    <w:bookmarkStart w:id="52"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MOD09Q1-based 8-day reflectance-input window (Friedl et al., 2010; Gray et al., 2019)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(Bhadrak/Yaas 2021, −1.01 d) is well below the 16-day compositing quantum of the underlying MOD13Q1 phenology series and the ≈10-day effective revisit of the Sentinel-2 monthly composites.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2"/>
    <w:bookmarkStart w:id="53"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3"/>
    <w:bookmarkStart w:id="54"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16-day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4"/>
    <w:bookmarkEnd w:id="55"/>
    <w:bookmarkStart w:id="61" w:name="discussion"/>
    <w:p>
      <w:pPr>
        <w:pStyle w:val="Heading2"/>
      </w:pPr>
      <w:r>
        <w:t xml:space="preserve">5. Discussion</w:t>
      </w:r>
    </w:p>
    <w:bookmarkStart w:id="56" w:name="X413039ce8929f692f4677f6755de7c428e81743"/>
    <w:p>
      <w:pPr>
        <w:pStyle w:val="Heading3"/>
      </w:pPr>
      <w:r>
        <w:t xml:space="preserve">5.1 The Cyclone-Flood Confound is Real and Consequential</w:t>
      </w:r>
    </w:p>
    <w:p>
      <w:pPr>
        <w:pStyle w:val="BodyText"/>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attenuation that is small in magnitude relative to the MDE at G = 8 clusters and is therefore interpreted as indicative of the cyclone-flood confound rather than as a confirmatory effect size.</w:t>
      </w:r>
    </w:p>
    <w:p>
      <w:pPr>
        <w:pStyle w:val="BodyText"/>
      </w:pPr>
      <w: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attenuation is directionally consistent with the pre-registered prediction τ̂_raw &gt; τ̂_corrected &gt; 0 but is small in magnitude relative to the MDE at G = 8 clusters (Table S6); the headline τ̂_corrected_SOS = +15.108 d should therefore be interpreted as indicative rather than confirmatory pending the larger-panel TIMESAT replication registered at github.com/pandasupranab/RiceBaCI-GEE/tree/feature/reviewer-revision (§5.4).</w:t>
      </w:r>
    </w:p>
    <w:bookmarkEnd w:id="56"/>
    <w:bookmarkStart w:id="57"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7"/>
    <w:bookmarkStart w:id="58"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8"/>
    <w:bookmarkStart w:id="59"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p>
      <w:pPr>
        <w:pStyle w:val="FirstParagraph"/>
      </w:pPr>
      <w:r>
        <w:t xml:space="preserve">Sixth, and most consequential, the double-logistic curve-fitting algorithm used in Module 04 to extract the phenometric anchors (SOS, POS, EOS) from Whittaker-smoothed NDVI time series exhibits a quantisation pattern in a non-trivial fraction of district-year cells. Diagnostic re-inspection of the 64-cell SOS/POS panel and 44-cell EOS panel after the present analysis was complete revealed that the fitted phenometric values cluster at a small number of fixed DOY values (notably DOY 135, 258, 288, 319, and 349–350) in cells where the underlying NDVI trajectory does not present a well-resolved Kharif trough. Specifically, against literature-anchored biological ranges (SOS 160–220, POS 240–280, EOS 290–330; Singha et al., 2019; Sakamoto et al., 2005; Gray et al., 2019; FAO-GIEWS rice calendar for Odisha; IRRI Sali-rice transplanting envelope), the panel contains implausible values in approximately 45 % of SOS cells, 98 % of POS cells, and 100 % of EOS cells. This pattern is the signature of the Beck et al. (2006) double-logistic optimiser snapping to fixed positions when the four-parameter fit fails to identify the true transplanting trough, and is a known limitation of the double-logistic family on tropical multi-cropped pixels (Atkinson et al., 2012; Cao et al., 2015). Sentinel-1B failure in December 2021 (which halved the SAR revisit cadence for 2022 and 2023 Kharif seasons) and the COVID-19 lockdown overlap with Cyclones Amphan (May 2020, mid-lockdown) and Yaas (May 2021, mid-Delta-wave) both contributed to the prevalence of degenerate fits in cyclone-treated cells. Consequently, the reported corrected_SOS difference-in-differences coefficient τ̂ = +15.108 d should be interpreted as indicative rather than confirmatory; the 95 % wild-cluster bootstrap confidence interval brackets zero (WCR p = 0.4065), the leave-one-out jackknife flags the estimate as `leverage` (Table S5), and a panel-restricted sensitivity analysis dropping all literature-implausible cells (Supplement S11.4, n = 16) returns a substantially larger but high-variance point estimate (τ̂ = +62.96 d, p = 0.0075, CI [−18, +145]) that we report as a robustness diagnostic rather than as an alternative headline. We treat the principal evidentiary load of this study as resting on (a) the mechanism-level demonstration that cyclone-induced saline inundation produces a SAR backscatter signature observationally indistinguishable from agronomic flooding (Section 4.2; Figure S2), (b) the saline-flood classifier itself (OA = 0.844 SAR-only, OA = 0.990 full-feature; Section 4.1), and (c) the per-district pixel-share bound on cyclone-affected rice area (Section 4.6, Table 1). The phenometric DiD estimates in Section 4.4 are reported in full transparency as a falsifiable test of the pre-registered hypothesis τ_raw &gt; τ_corrected &gt; 0, with the acknowledgement that the absolute magnitude is uncertain and that confirmation against a more robust functional form (TIMESAT; Jönsson &amp; Eklundh, 2004) or against MCD12Q2 v6.1 (Gray et al., 2019; where the 2022 endpoint permits) is a priority for follow-up work. A targeted re-implementation of Module 04 with TIMESAT and asymmetric Gaussian alternatives is registered in the project repository (`feature/reviewer-revision` branch) for the next manuscript in this series.</w:t>
      </w:r>
    </w:p>
    <w:bookmarkEnd w:id="59"/>
    <w:bookmarkStart w:id="60"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60"/>
    <w:bookmarkEnd w:id="61"/>
    <w:bookmarkStart w:id="62"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2"/>
    <w:bookmarkStart w:id="63"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3"/>
    <w:bookmarkStart w:id="64"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4"/>
    <w:bookmarkStart w:id="65"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5"/>
    <w:bookmarkStart w:id="66"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6"/>
    <w:bookmarkStart w:id="73"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5">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7">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8">
        <w:r>
          <w:rPr>
            <w:rStyle w:val="Hyperlink"/>
          </w:rPr>
          <w:t xml:space="preserve">10.5281/zenodo.20024578</w:t>
        </w:r>
      </w:hyperlink>
      <w:r>
        <w:t xml:space="preserve">; v0.1.1-prereg DOI:</w:t>
      </w:r>
      <w:r>
        <w:t xml:space="preserve"> </w:t>
      </w:r>
      <w:hyperlink r:id="rId69">
        <w:r>
          <w:rPr>
            <w:rStyle w:val="Hyperlink"/>
          </w:rPr>
          <w:t xml:space="preserve">10.5281/zenodo.20024579</w:t>
        </w:r>
      </w:hyperlink>
      <w:r>
        <w:t xml:space="preserve">; v1.0.0-submission DOI:</w:t>
      </w:r>
      <w:r>
        <w:t xml:space="preserve"> </w:t>
      </w:r>
      <w:hyperlink r:id="rId70">
        <w:r>
          <w:rPr>
            <w:rStyle w:val="Hyperlink"/>
          </w:rPr>
          <w:t xml:space="preserve">10.5281/zenodo.20585636</w:t>
        </w:r>
      </w:hyperlink>
      <w:r>
        <w:t xml:space="preserve">; v1.0.1-submission DOI:</w:t>
      </w:r>
      <w:r>
        <w:t xml:space="preserve"> </w:t>
      </w:r>
      <w:hyperlink r:id="rId71">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2">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3"/>
    <w:bookmarkStart w:id="75"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9">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4">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BodyText"/>
      </w:pPr>
      <w:r>
        <w:t xml:space="preserve">A single empirical pipeline produces a small but defensible attenuation of the district-aggregated DiD coefficient (τ̂_SOS: +15.289 → +15.108 d, Δτ̂ = −0.181 d; τ̂_POS: −3.587 → −3.677 d, Δτ̂ = −0.090 d; τ̂_EOS: 0 → −0.239 d after restoring 20 censored cells), consistent with the bounded mechanism-specific correction hypothesised in OSF c4mp8.</w:t>
      </w:r>
    </w:p>
    <w:bookmarkEnd w:id="76"/>
    <w:bookmarkEnd w:id="77"/>
    <w:sectPr>
      <w:pgSz w:w="11906" w:h="16838"/>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notes.xml.rels><?xml version='1.0' encoding='UTF-8' standalone='yes'?>
<Relationships xmlns="http://schemas.openxmlformats.org/package/2006/relationships"><Relationship Id="rId29" Type="http://schemas.openxmlformats.org/officeDocument/2006/relationships/hyperlink" Target="http://vdsa.icrisat.org" TargetMode="External"/><Relationship Id="rId74" Type="http://schemas.openxmlformats.org/officeDocument/2006/relationships/hyperlink" Target="https://data.gov.in" TargetMode="External"/><Relationship Id="rId45" Type="http://schemas.openxmlformats.org/officeDocument/2006/relationships/hyperlink" Target="https://doi.org/10.17632/z3zxk4xy3c.1" TargetMode="External"/><Relationship Id="rId68" Type="http://schemas.openxmlformats.org/officeDocument/2006/relationships/hyperlink" Target="https://doi.org/10.5281/zenodo.20024578" TargetMode="External"/><Relationship Id="rId69" Type="http://schemas.openxmlformats.org/officeDocument/2006/relationships/hyperlink" Target="https://doi.org/10.5281/zenodo.20024579" TargetMode="External"/><Relationship Id="rId70" Type="http://schemas.openxmlformats.org/officeDocument/2006/relationships/hyperlink" Target="https://doi.org/10.5281/zenodo.20585636" TargetMode="External"/><Relationship Id="rId71" Type="http://schemas.openxmlformats.org/officeDocument/2006/relationships/hyperlink" Target="https://doi.org/10.5281/zenodo.20587316" TargetMode="External"/><Relationship Id="rId67" Type="http://schemas.openxmlformats.org/officeDocument/2006/relationships/hyperlink" Target="https://github.com/pandasupranab/RiceBaCI-GEE" TargetMode="External"/><Relationship Id="rId72"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2026-06-09T06:40:45Z</dcterms:created>
  <dcterms:modified xsi:type="dcterms:W3CDTF">2026-06-09T06:40:45Z</dcterms:modified>
</cp:coreProperties>
</file>

<file path=docProps/custom.xml><?xml version="1.0" encoding="utf-8"?>
<Properties xmlns="http://schemas.openxmlformats.org/officeDocument/2006/custom-properties" xmlns:vt="http://schemas.openxmlformats.org/officeDocument/2006/docPropsVTypes"/>
</file>