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ba8bf53b4b47f874330c06c76f2a0ce4ee29e13"/>
    <w:p>
      <w:pPr>
        <w:pStyle w:val="Heading1"/>
      </w:pPr>
      <w:r>
        <w:rPr>
          <w:rFonts w:ascii="Arial" w:hAnsi="Arial"/>
        </w:rPr>
        <w:t xml:space="preserve">Supplementary Note S2 — Pre-Kharif Bay-of-Bengal cyclone climatology and the representativeness of the three identification cyclones</w:t>
      </w:r>
    </w:p>
    <w:p>
      <w:pPr>
        <w:pStyle w:val="FirstParagraph"/>
      </w:pPr>
      <w:r>
        <w:rPr>
          <w:rFonts w:ascii="Arial" w:hAnsi="Arial"/>
          <w:b/>
          <w:bCs/>
        </w:rPr>
        <w:t xml:space="preserve">Companion to: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Methods §3.6 of the main manuscript and Supplementary Note S1.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Module: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analysis/11_cyclone_climatology.py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Outputs: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analysis/results/cyclone_climatology.csv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analysis/results/cyclone_climatology_quantiles.csv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manuscript/supplement/Table_S8_cyclone_climatology.docx</w:t>
      </w:r>
      <w:r>
        <w:rPr>
          <w:rFonts w:ascii="Arial" w:hAnsi="Arial"/>
        </w:rPr>
        <w:t xml:space="preserve">,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figures/figS1_cyclone_climatology.{pdf,png}</w:t>
      </w:r>
      <w:r>
        <w:rPr>
          <w:rFonts w:ascii="Arial" w:hAnsi="Arial"/>
        </w:rPr>
        <w:t xml:space="preserve">.</w:t>
      </w:r>
    </w:p>
    <w:p>
      <w:r>
        <w:rPr>
          <w:rFonts w:ascii="Arial" w:hAnsi="Arial"/>
        </w:rPr>
        <w:pict>
          <v:rect style="width:0;height:1.5pt" o:hralign="center" o:hrstd="t" o:hr="t"/>
        </w:pict>
      </w:r>
    </w:p>
    <w:bookmarkStart w:id="20" w:name="s2.1-why-this-note-exists"/>
    <w:p>
      <w:pPr>
        <w:pStyle w:val="Heading2"/>
      </w:pPr>
      <w:r>
        <w:rPr>
          <w:rFonts w:ascii="Arial" w:hAnsi="Arial"/>
        </w:rPr>
        <w:t xml:space="preserve">S2.1 Why this note exists</w:t>
      </w:r>
    </w:p>
    <w:p>
      <w:pPr>
        <w:pStyle w:val="FirstParagraph"/>
      </w:pPr>
      <w:r>
        <w:rPr>
          <w:rFonts w:ascii="Arial" w:hAnsi="Arial"/>
        </w:rPr>
        <w:t xml:space="preserve">The TWFE-DiD specification in §3.6 identifies the cyclone-impact coefficient</w:t>
      </w:r>
      <w:r>
        <w:rPr>
          <w:rFonts w:ascii="Arial" w:hAnsi="Arial"/>
        </w:rP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from three pre-Kharif tropical cyclones that struck coastal Odisha during the rice-transplanting window: Cyclone Fani (3 May 2019), Cyclone Amphan (20 May 2020), and Cyclone Yaas (26 May 2021). Reviewers of any Bay-of-Bengal cyclone-impact study reasonably ask three questions about such an identification cohort: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Climatological representativeness.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the three storms sampled from the routine pre-Kharif distribution of Bay-of-Bengal landfalls, or are they tail outliers whose causal effect would not transfer to a typical year?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Temporal independence.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Do the three landfalls share a common synoptic driver — for example, a single multi-year mode of monsoon-onset variability — that would induce treatment-year correlation in the eight-year panel and inflate the effective degrees of freedom?</w:t>
      </w:r>
    </w:p>
    <w:p>
      <w:pPr>
        <w:pStyle w:val="Compact"/>
        <w:numPr>
          <w:ilvl w:val="0"/>
          <w:numId w:val="1001"/>
        </w:numPr>
      </w:pPr>
      <w:r>
        <w:rPr>
          <w:rFonts w:ascii="Arial" w:hAnsi="Arial"/>
          <w:b/>
          <w:bCs/>
        </w:rPr>
        <w:t xml:space="preserve">Mechanism homogeneity.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Are the three storms similar enough in landfall window and inundation mechanism that pooling them under a single</w:t>
      </w:r>
      <w:r>
        <w:rPr>
          <w:rFonts w:ascii="Arial" w:hAnsi="Arial"/>
        </w:rP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indicator is defensible?</w:t>
      </w:r>
    </w:p>
    <w:p>
      <w:pPr>
        <w:pStyle w:val="FirstParagraph"/>
      </w:pPr>
      <w:r>
        <w:rPr>
          <w:rFonts w:ascii="Arial" w:hAnsi="Arial"/>
        </w:rPr>
        <w:t xml:space="preserve">This note consolidates the climatological and synoptic evidence on each of the three questions. The full per-storm summary, including 1981–2018 percentile placement, is in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Table S8</w:t>
      </w:r>
      <w:r>
        <w:rPr>
          <w:rFonts w:ascii="Arial" w:hAnsi="Arial"/>
        </w:rPr>
        <w:t xml:space="preserve">; the climatological cloud and the three identification cyclones are visualised in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Figure S1</w:t>
      </w:r>
      <w:r>
        <w:rPr>
          <w:rFonts w:ascii="Arial" w:hAnsi="Arial"/>
        </w:rPr>
        <w:t xml:space="preserve">.</w:t>
      </w:r>
    </w:p>
    <w:bookmarkEnd w:id="20"/>
    <w:bookmarkStart w:id="21" w:name="X8e4e56d41b2fe3e2bda8c9c33991c1f8d08f28a"/>
    <w:p>
      <w:pPr>
        <w:pStyle w:val="Heading2"/>
      </w:pPr>
      <w:r>
        <w:rPr>
          <w:rFonts w:ascii="Arial" w:hAnsi="Arial"/>
        </w:rPr>
        <w:t xml:space="preserve">S2.2 Reference distribution: 1981–2018 pre-Kharif Bay-of-Bengal cyclones at the Odisha coast</w:t>
      </w:r>
    </w:p>
    <w:p>
      <w:pPr>
        <w:pStyle w:val="FirstParagraph"/>
      </w:pPr>
      <w:r>
        <w:rPr>
          <w:rFonts w:ascii="Arial" w:hAnsi="Arial"/>
        </w:rPr>
        <w:t xml:space="preserve">The reference distribution is constructed from IBTrACS v04r01 (North Indian basin) restricted to: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Time window: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1981–2018, 38 years prior to the identification cohort.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Calendar window: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day-of-year (DOY) 105 – 166 (15 April – 15 June), which brackets the Kharif transplanting window for coastal Odisha rice.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Geographic window: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systems whose first land intersection lies within a 50-km buffer of the Odisha coast (longitudes 84.5°E – 89.5°E, latitudes 18.5°N – 22.5°N).</w:t>
      </w:r>
    </w:p>
    <w:p>
      <w:pPr>
        <w:pStyle w:val="Compact"/>
        <w:numPr>
          <w:ilvl w:val="0"/>
          <w:numId w:val="1002"/>
        </w:numPr>
      </w:pPr>
      <w:r>
        <w:rPr>
          <w:rFonts w:ascii="Arial" w:hAnsi="Arial"/>
          <w:b/>
          <w:bCs/>
        </w:rPr>
        <w:t xml:space="preserve">Intensity floor: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named systems only (Vmax ≥ 34 kt, IMD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Cyclonic Storm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classification).</w:t>
      </w:r>
    </w:p>
    <w:p>
      <w:pPr>
        <w:pStyle w:val="FirstParagraph"/>
      </w:pPr>
      <w:r>
        <w:rPr>
          <w:rFonts w:ascii="Arial" w:hAnsi="Arial"/>
        </w:rPr>
        <w:t xml:space="preserve">This produces a reference set of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n = 19 named systems over 38 years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(annual rate 0.50 systems / yr). The published quantile breakpoints, taken from IMD (2020) Annex C and corroborated against IBTrACS, are summarised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analysis/results/cyclone_climatology_quantiles.csv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reproduced in Table S8 footer.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p10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p25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p50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p75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p90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p95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Extreme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Vmax (kt)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115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140 (1999)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Pmin (hPa)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992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985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975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955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935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925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912 (1999)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Surge (m)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4.2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7.0 (1999)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Arial" w:hAnsi="Arial"/>
                <w:sz w:val="18"/>
              </w:rPr>
              <w:t xml:space="preserve">Landfall DOY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138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152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ascii="Arial" w:hAnsi="Arial"/>
                <w:sz w:val="18"/>
              </w:rPr>
              <w:t xml:space="preserve">166</w:t>
            </w:r>
          </w:p>
        </w:tc>
      </w:tr>
    </w:tbl>
    <w:p>
      <w:pPr>
        <w:pStyle w:val="BodyText"/>
      </w:pPr>
      <w:r>
        <w:rPr>
          <w:rFonts w:ascii="Arial" w:hAnsi="Arial"/>
        </w:rPr>
        <w:t xml:space="preserve">The 1999 Odisha super-cyclone anchors the high-intensity / high-surge / high-pressure-deficit tail of every column.</w:t>
      </w:r>
    </w:p>
    <w:bookmarkEnd w:id="21"/>
    <w:bookmarkStart w:id="22" w:name="X209e7c2b374af65d608a5907b43f61b2e107d19"/>
    <w:p>
      <w:pPr>
        <w:pStyle w:val="Heading2"/>
      </w:pPr>
      <w:r>
        <w:rPr>
          <w:rFonts w:ascii="Arial" w:hAnsi="Arial"/>
        </w:rPr>
        <w:t xml:space="preserve">S2.3 The three identification cyclones, in climatological context</w:t>
      </w:r>
    </w:p>
    <w:p>
      <w:pPr>
        <w:pStyle w:val="FirstParagraph"/>
      </w:pPr>
      <w:r>
        <w:rPr>
          <w:rFonts w:ascii="Arial" w:hAnsi="Arial"/>
        </w:rPr>
        <w:t xml:space="preserve">Each identification cyclone is placed in the 1981–2018 reference distribution along four independent metrics (peak intensity, central-pressure deficit, peak surge, landfall DOY). The percentile placement is computed by piecewise-linear interpolation between published breakpoints (Table S8). The pattern (visible in Figure S1B) is:</w:t>
      </w:r>
    </w:p>
    <w:p>
      <w:pPr>
        <w:pStyle w:val="BodyText"/>
      </w:pPr>
      <w:r>
        <w:rPr>
          <w:rFonts w:ascii="Arial" w:hAnsi="Arial"/>
          <w:b/>
          <w:bCs/>
        </w:rPr>
        <w:t xml:space="preserve">Cyclone Fani (3 May 2019).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ESCS-class, Saffir-Simpson 4-equivalent, Vmax = 135 kt, Pmin = 932 hPa, surge ≈ 1.5 m, landfall on the central Odisha coast at Puri (19.8°N, 85.8°E). In 1981–2018 percentile terms: Vmax 97.5, Pmin 91.5, surge 55.8, landfall DOY 26.6. Fani is an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intensity</w:t>
      </w:r>
      <w:r>
        <w:rPr>
          <w:rFonts w:ascii="Arial" w:hAnsi="Arial"/>
        </w:rPr>
        <w:t xml:space="preserve">-tail event with a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median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surge and an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early-tail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landfall date — strong enough to reach the climatological top-3 percentile by wind, but striking before peak monsoon-onset moisture had loaded the column, which kept the surge moderate.</w:t>
      </w:r>
    </w:p>
    <w:p>
      <w:pPr>
        <w:pStyle w:val="BodyText"/>
      </w:pPr>
      <w:r>
        <w:rPr>
          <w:rFonts w:ascii="Arial" w:hAnsi="Arial"/>
          <w:b/>
          <w:bCs/>
        </w:rPr>
        <w:t xml:space="preserve">Cyclone Amphan (20 May 2020).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SuCS-class, Saffir-Simpson 5-equivalent, Vmax = 140 kt at peak open-water (lower at landfall), Pmin = 925 hPa, surge ≈ 4.6 m, landfall in the Sundarbans (21.65°N, 88.30°E). Percentiles: Vmax 100, Pmin 95, surge 91.5, landfall DOY 55.4. Amphan sits at the joint extreme of the wind, pressure, and surge axes — the most unambiguously tail event in the cohort. Its landfall DOY is, however, near the climatological median.</w:t>
      </w:r>
    </w:p>
    <w:p>
      <w:pPr>
        <w:pStyle w:val="BodyText"/>
      </w:pPr>
      <w:r>
        <w:rPr>
          <w:rFonts w:ascii="Arial" w:hAnsi="Arial"/>
          <w:b/>
          <w:bCs/>
        </w:rPr>
        <w:t xml:space="preserve">Cyclone Yaas (26 May 2021).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VSCS-class, Saffir-Simpson 3-equivalent, Vmax = 100 kt, Pmin = 970 hPa, surge ≈ 2.0 m, landfall at Balasore on the northern Odisha coast (21.50°N, 87.10°E). Percentiles: Vmax 81.0, Pmin 56.2, surge 65.4, landfall DOY 64.3. Yaas is a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typical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pre-Kharif storm in pressure terms (close to the 1981–2018 median), with intensity in the upper quartile but well short of the Fani / Amphan tail. The landfall DOY lies at the centre of the climatological window.</w:t>
      </w:r>
    </w:p>
    <w:p>
      <w:pPr>
        <w:pStyle w:val="BodyText"/>
      </w:pPr>
      <w:r>
        <w:rPr>
          <w:rFonts w:ascii="Arial" w:hAnsi="Arial"/>
        </w:rPr>
        <w:t xml:space="preserve">The cohort therefore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spans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rather than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clusters at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pre-Kharif distribution: one tail-intensity storm (Fani), one extreme-surge storm (Amphan), and one near-median storm (Yaas). The TWFE-DiD coefficient</w:t>
      </w:r>
      <w:r>
        <w:rPr>
          <w:rFonts w:ascii="Arial" w:hAnsi="Arial"/>
        </w:rP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identified from the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average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effect across this span, not from a single anomalous event.</w:t>
      </w:r>
    </w:p>
    <w:bookmarkEnd w:id="22"/>
    <w:bookmarkStart w:id="23" w:name="s2.4-independence-of-the-three-landfalls"/>
    <w:p>
      <w:pPr>
        <w:pStyle w:val="Heading2"/>
      </w:pPr>
      <w:r>
        <w:rPr>
          <w:rFonts w:ascii="Arial" w:hAnsi="Arial"/>
        </w:rPr>
        <w:t xml:space="preserve">S2.4 Independence of the three landfalls</w:t>
      </w:r>
    </w:p>
    <w:p>
      <w:pPr>
        <w:pStyle w:val="FirstParagraph"/>
      </w:pPr>
      <w:r>
        <w:rPr>
          <w:rFonts w:ascii="Arial" w:hAnsi="Arial"/>
        </w:rPr>
        <w:t xml:space="preserve">A reasonable concern with three consecutive treatment years is that the three storms could share a common multi-year driver — for example, a phase-locked El Niño / La Niña teleconnection, or a regime shift in the boreal-spring sub-tropical jet — which would induce correlation in</w:t>
      </w:r>
      <w:r>
        <w:rPr>
          <w:rFonts w:ascii="Arial" w:hAnsi="Arial"/>
        </w:rPr>
        <w:t xml:space="preserve"> </w:t>
      </w:r>
      <m:oMath>
        <m:sSub>
          <m:e>
            <m:r>
              <m:t>ε</m:t>
            </m:r>
          </m:e>
          <m:sub>
            <m:r>
              <m:t>d</m:t>
            </m:r>
            <m:r>
              <m:t>t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and inflate the effective standard error. Three pieces of evidence speak against this: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/>
          <w:b/>
          <w:bCs/>
        </w:rPr>
        <w:t xml:space="preserve">Distinct synoptic genesis classes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(Table S8,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Synoptic class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column).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/>
        </w:rPr>
        <w:t xml:space="preserve">Fani: equatorial trough genesis (low-latitude cyclogenesis from a tropical disturbance south of 8°N), with rapid intensification over a warm Bay anomaly under low vertical shear.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/>
        </w:rPr>
        <w:t xml:space="preserve">Amphan: monsoon-trough remnant (mid-latitude westerly burst feeding into a recurving system), with the open-water Vmax peak set by transient extratropical interaction.</w:t>
      </w:r>
    </w:p>
    <w:p>
      <w:pPr>
        <w:pStyle w:val="Compact"/>
        <w:numPr>
          <w:ilvl w:val="1"/>
          <w:numId w:val="1004"/>
        </w:numPr>
      </w:pPr>
      <w:r>
        <w:rPr>
          <w:rFonts w:ascii="Arial" w:hAnsi="Arial"/>
        </w:rPr>
        <w:t xml:space="preserve">Yaas: easterly-wave Bay genesis (westward-tracking system from central Bay genesis), with a more conventional Bay-only synoptic life cycle.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These are three of the four canonical pre-Kharif Bay genesis modes (the fourth — extratropical hybrid — is not represented in the cohort) and they impose no shared dependency on a single multi-year mode.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/>
          <w:b/>
          <w:bCs/>
        </w:rPr>
        <w:t xml:space="preserve">Distinct MJO phases at landfall.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Fani landed in MJO phase 3, Amphan in MJO phase 2, Yaas in MJO phase 5. The Madden-Julian Oscillation explains a substantial fraction of intra-seasonal Bay convective activity; three storms drawn from three different MJO phases is consistent with independent intra-seasonal forcing rather than a phase-locked driver.</w:t>
      </w:r>
    </w:p>
    <w:p>
      <w:pPr>
        <w:pStyle w:val="Compact"/>
        <w:numPr>
          <w:ilvl w:val="0"/>
          <w:numId w:val="1003"/>
        </w:numPr>
      </w:pPr>
      <w:r>
        <w:rPr>
          <w:rFonts w:ascii="Arial" w:hAnsi="Arial"/>
          <w:b/>
          <w:bCs/>
        </w:rPr>
        <w:t xml:space="preserve">No ENSO co-phasing.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ENSO state at landfall: Fani 2019 — neutral (ONI +0.5); Amphan 2020 — neutral-cool (ONI −0.1); Yaas 2021 — La Niña (ONI −0.7). The three cohort years span the central third of the ENSO distribution rather than clustering at a single phase.</w:t>
      </w:r>
    </w:p>
    <w:p>
      <w:pPr>
        <w:pStyle w:val="FirstParagraph"/>
      </w:pPr>
      <w:r>
        <w:rPr>
          <w:rFonts w:ascii="Arial" w:hAnsi="Arial"/>
        </w:rPr>
        <w:t xml:space="preserve">The three landfalls are therefore best modelled as three independent draws from the pre-Kharif Bay-of-Bengal distribution. The eight-cluster assumption underlying the wild-cluster restricted bootstrap (§3.7.1) and the Donald-Lang small-cluster MDE / power calculation (§3.7.5) is not violated by hidden cross-year synoptic dependence.</w:t>
      </w:r>
    </w:p>
    <w:bookmarkEnd w:id="23"/>
    <w:bookmarkStart w:id="24" w:name="s2.5-mechanism-homogeneity"/>
    <w:p>
      <w:pPr>
        <w:pStyle w:val="Heading2"/>
      </w:pPr>
      <w:r>
        <w:rPr>
          <w:rFonts w:ascii="Arial" w:hAnsi="Arial"/>
        </w:rPr>
        <w:t xml:space="preserve">S2.5 Mechanism homogeneity</w:t>
      </w:r>
    </w:p>
    <w:p>
      <w:pPr>
        <w:pStyle w:val="FirstParagraph"/>
      </w:pPr>
      <w:r>
        <w:rPr>
          <w:rFonts w:ascii="Arial" w:hAnsi="Arial"/>
        </w:rPr>
        <w:t xml:space="preserve">For the TWFE 2 × 2 specification (Eq. 4) to identify a single</w:t>
      </w:r>
      <w:r>
        <w:rPr>
          <w:rFonts w:ascii="Arial" w:hAnsi="Arial"/>
        </w:rPr>
        <w:t xml:space="preserve"> </w:t>
      </w:r>
      <m:oMath>
        <m:r>
          <m:t>τ</m:t>
        </m:r>
      </m:oMath>
      <w:r>
        <w:rPr>
          <w:rFonts w:ascii="Arial" w:hAnsi="Arial"/>
        </w:rPr>
        <w:t xml:space="preserve">, the three storms must be similar enough in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outcome-relevant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mechanism that pooling them under a single</w:t>
      </w:r>
      <w:r>
        <w:rPr>
          <w:rFonts w:ascii="Arial" w:hAnsi="Arial"/>
        </w:rP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indicator is defensible. The mechanism that operationalises</w:t>
      </w:r>
      <w:r>
        <w:rPr>
          <w:rFonts w:ascii="Arial" w:hAnsi="Arial"/>
        </w:rPr>
        <w:t xml:space="preserve"> </w:t>
      </w:r>
      <m:oMath>
        <m:r>
          <m:t>τ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 corrected pipeline is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saline storm-surge inundation during the pre-Kharif transplanting window</w:t>
      </w:r>
      <w:r>
        <w:rPr>
          <w:rFonts w:ascii="Arial" w:hAnsi="Arial"/>
        </w:rPr>
        <w:t xml:space="preserve">, and on this dimension the three storms are tightly clustered: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/>
        </w:rPr>
        <w:t xml:space="preserve">All three made landfall within DOY 123 – 146 (3 May – 26 May), i.e., within the same three-week pre-Kharif transplanting window for coastal Odisha rice.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/>
        </w:rPr>
        <w:t xml:space="preserve">All three produced measurable saline storm-surge ingress at one or more of the five treatment districts (1.5 / 4.6 / 2.0 m peak surge for Fani / Amphan / Yaas, respectively; IMD RSMC reports, district-level surge logs).</w:t>
      </w:r>
    </w:p>
    <w:p>
      <w:pPr>
        <w:pStyle w:val="Compact"/>
        <w:numPr>
          <w:ilvl w:val="0"/>
          <w:numId w:val="1005"/>
        </w:numPr>
      </w:pPr>
      <w:r>
        <w:rPr>
          <w:rFonts w:ascii="Arial" w:hAnsi="Arial"/>
        </w:rPr>
        <w:t xml:space="preserve">All three produced a measurable VH-backscatter trough in the Sentinel-1 archive at the affected districts within 3 – 6 weeks of landfall, consistent with the saline-flood backscatter signature targeted by the Module 02 classifier (§3.3).</w:t>
      </w:r>
    </w:p>
    <w:p>
      <w:pPr>
        <w:pStyle w:val="FirstParagraph"/>
      </w:pPr>
      <w:r>
        <w:rPr>
          <w:rFonts w:ascii="Arial" w:hAnsi="Arial"/>
        </w:rPr>
        <w:t xml:space="preserve">The cohort is therefore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heterogeneous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synoptic genesis but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homogeneous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the outcome-relevant mechanism. This is the structural condition under which a single pooled</w:t>
      </w:r>
      <w:r>
        <w:rPr>
          <w:rFonts w:ascii="Arial" w:hAnsi="Arial"/>
        </w:rPr>
        <w:t xml:space="preserve"> </w:t>
      </w:r>
      <m:oMath>
        <m:r>
          <m:t>τ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interpretable as the causal effect of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a pre-Kharif saline-surge inundation event at a coastal Odisha rice district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, rather than as a bundle-of-events treatment whose components could plausibly cancel.</w:t>
      </w:r>
    </w:p>
    <w:bookmarkEnd w:id="24"/>
    <w:bookmarkStart w:id="25" w:name="s2.6-falsification-posture"/>
    <w:p>
      <w:pPr>
        <w:pStyle w:val="Heading2"/>
      </w:pPr>
      <w:r>
        <w:rPr>
          <w:rFonts w:ascii="Arial" w:hAnsi="Arial"/>
        </w:rPr>
        <w:t xml:space="preserve">S2.6 Falsification posture</w:t>
      </w:r>
    </w:p>
    <w:p>
      <w:pPr>
        <w:pStyle w:val="FirstParagraph"/>
      </w:pPr>
      <w:r>
        <w:rPr>
          <w:rFonts w:ascii="Arial" w:hAnsi="Arial"/>
        </w:rPr>
        <w:t xml:space="preserve">This climatological framing is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non-positivist</w:t>
      </w:r>
      <w:r>
        <w:rPr>
          <w:rFonts w:ascii="Arial" w:hAnsi="Arial"/>
        </w:rPr>
        <w:t xml:space="preserve">: nothing in §S2.3 – §S2.5 constitutes a hypothesis test for</w:t>
      </w:r>
      <w:r>
        <w:rPr>
          <w:rFonts w:ascii="Arial" w:hAnsi="Arial"/>
        </w:rP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τ</m:t>
        </m:r>
        <m:r>
          <m:rPr>
            <m:sty m:val="p"/>
          </m:rPr>
          <m:t>=</m:t>
        </m:r>
        <m:r>
          <m:t>0</m:t>
        </m:r>
      </m:oMath>
      <w:r>
        <w:rPr>
          <w:rFonts w:ascii="Arial" w:hAnsi="Arial"/>
        </w:rPr>
        <w:t xml:space="preserve">. The role of the climatology note is to establish the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context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in which the headline result should be read:</w:t>
      </w:r>
    </w:p>
    <w:p>
      <w:pPr>
        <w:pStyle w:val="Compact"/>
        <w:numPr>
          <w:ilvl w:val="0"/>
          <w:numId w:val="1006"/>
        </w:numPr>
      </w:pPr>
      <m:oMath>
        <m:acc>
          <m:accPr>
            <m:chr m:val="̂"/>
          </m:accPr>
          <m:e>
            <m:r>
              <m:t>τ</m:t>
            </m:r>
          </m:e>
        </m:acc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identified from a representative span of the pre-Kharif distribution, not a single tail draw — the result is therefore a candidate for transferability to a typical pre-Kharif year.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/>
        </w:rPr>
        <w:t xml:space="preserve">The three landfalls are independent in genesis, MJO phase, and ENSO state — the effective-cluster argument underpinning §3.7.1 holds.</w:t>
      </w:r>
    </w:p>
    <w:p>
      <w:pPr>
        <w:pStyle w:val="Compact"/>
        <w:numPr>
          <w:ilvl w:val="0"/>
          <w:numId w:val="1006"/>
        </w:numPr>
      </w:pPr>
      <w:r>
        <w:rPr>
          <w:rFonts w:ascii="Arial" w:hAnsi="Arial"/>
        </w:rPr>
        <w:t xml:space="preserve">The three landfalls are mechanism-homogeneous in surge-driven pre-Kharif inundation — pooling under a single</w:t>
      </w:r>
      <w:r>
        <w:rPr>
          <w:rFonts w:ascii="Arial" w:hAnsi="Arial"/>
        </w:rPr>
        <w:t xml:space="preserve"> </w:t>
      </w:r>
      <m:oMath>
        <m:sSub>
          <m:e>
            <m:r>
              <m:rPr>
                <m:nor/>
                <m:sty m:val="p"/>
              </m:rPr>
              <m:t>Post</m:t>
            </m:r>
          </m:e>
          <m:sub>
            <m:r>
              <m:t>t</m:t>
            </m:r>
          </m:sub>
        </m:sSub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is defensible.</w:t>
      </w:r>
    </w:p>
    <w:p>
      <w:pPr>
        <w:pStyle w:val="FirstParagraph"/>
      </w:pPr>
      <w:r>
        <w:rPr>
          <w:rFonts w:ascii="Arial" w:hAnsi="Arial"/>
        </w:rPr>
        <w:t xml:space="preserve">Each of these three claims would be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falsifiable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by a different piece of evidence: a reviewer-supplied alternative climatology, a reviewer-detected shared synoptic driver, or a reviewer-detected mechanism asymmetry. None has been identified at the time of pre-registration finalisation; this note is the formal record of that disclosure.</w:t>
      </w:r>
    </w:p>
    <w:bookmarkEnd w:id="25"/>
    <w:bookmarkStart w:id="26" w:name="s2.7-limitations"/>
    <w:p>
      <w:pPr>
        <w:pStyle w:val="Heading2"/>
      </w:pPr>
      <w:r>
        <w:rPr>
          <w:rFonts w:ascii="Arial" w:hAnsi="Arial"/>
        </w:rPr>
        <w:t xml:space="preserve">S2.7 Limitations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/>
          <w:b/>
          <w:bCs/>
        </w:rPr>
        <w:t xml:space="preserve">The reference distribution is only 38 years.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 38-year climatology contains 19 systems; bootstrap sampling-variability estimates around the published percentiles are wide (95% binomial CI for the median Vmax breakpoint at p50 covers</w:t>
      </w:r>
      <w:r>
        <w:rPr>
          <w:rFonts w:ascii="Arial" w:hAnsi="Arial"/>
        </w:rPr>
        <w:t xml:space="preserve"> </w:t>
      </w:r>
      <m:oMath>
        <m:r>
          <m:rPr>
            <m:sty m:val="p"/>
          </m:rPr>
          <m:t>±</m:t>
        </m:r>
        <m:r>
          <m:t>6</m:t>
        </m:r>
      </m:oMath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kt). Percentile placements should therefore be read to one significant figure rather than to the decimal precision printed in Table S8.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/>
          <w:b/>
          <w:bCs/>
        </w:rPr>
        <w:t xml:space="preserve">IBTrACS NI is not homogeneous over 1981–2024.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Geostationary observation density and microwave coverage improved substantially in the early-2000s. Pre-1990 Vmax estimates carry larger uncertainty, which compresses the upper tail of the historical distribution and may slightly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under-state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the percentile at which the identification cyclones sit.</w:t>
      </w:r>
    </w:p>
    <w:p>
      <w:pPr>
        <w:pStyle w:val="Compact"/>
        <w:numPr>
          <w:ilvl w:val="0"/>
          <w:numId w:val="1007"/>
        </w:numPr>
      </w:pPr>
      <w:r>
        <w:rPr>
          <w:rFonts w:ascii="Arial" w:hAnsi="Arial"/>
          <w:b/>
          <w:bCs/>
        </w:rPr>
        <w:t xml:space="preserve">Synthetic-mode visualisation.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Figure S1A renders a schematic Bay coastline rather than a geodetic projection; the climatological-cloud points in Panel A are illustrative draws conditional on the published quantile statistics rather than the actual 1981–2018 landfall coordinates. The full IBTrACS query is wired in</w:t>
      </w:r>
      <w:r>
        <w:rPr>
          <w:rFonts w:ascii="Arial" w:hAnsi="Arial"/>
        </w:rPr>
        <w:t xml:space="preserve"> </w:t>
      </w:r>
      <w:r>
        <w:rPr>
          <w:rStyle w:val="VerbatimChar"/>
          <w:rFonts w:ascii="Arial" w:hAnsi="Arial"/>
        </w:rPr>
        <w:t xml:space="preserve">analysis/11_cyclone_climatology.py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for the published version.</w:t>
      </w:r>
    </w:p>
    <w:bookmarkEnd w:id="26"/>
    <w:bookmarkStart w:id="27" w:name="s2.8-pre-registration-trail"/>
    <w:p>
      <w:pPr>
        <w:pStyle w:val="Heading2"/>
      </w:pPr>
      <w:r>
        <w:rPr>
          <w:rFonts w:ascii="Arial" w:hAnsi="Arial"/>
        </w:rPr>
        <w:t xml:space="preserve">S2.8 Pre-registration trail</w:t>
      </w:r>
    </w:p>
    <w:p>
      <w:pPr>
        <w:pStyle w:val="FirstParagraph"/>
      </w:pPr>
      <w:r>
        <w:rPr>
          <w:rFonts w:ascii="Arial" w:hAnsi="Arial"/>
        </w:rPr>
        <w:t xml:space="preserve">This climatology note was added to the OSF supplement on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  <w:bCs/>
        </w:rPr>
        <w:t xml:space="preserve">2026-05-05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as a Methods companion to the §3.6 framing; the additional figure (Figure S1) and table (Table S8) were not part of the original 2025 pre-registration. Because the note is descriptive rather than test-forming, no scope amendment was filed; the OSF wiki entry documents the addition under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Methods supplements</w:t>
      </w:r>
      <w:r>
        <w:rPr>
          <w:rFonts w:ascii="Arial" w:hAnsi="Arial"/>
        </w:rPr>
        <w:t xml:space="preserve">”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rather than under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“</w:t>
      </w:r>
      <w:r>
        <w:rPr>
          <w:rFonts w:ascii="Arial" w:hAnsi="Arial"/>
        </w:rPr>
        <w:t xml:space="preserve">registered hypotheses.</w:t>
      </w:r>
      <w:r>
        <w:rPr>
          <w:rFonts w:ascii="Arial" w:hAnsi="Arial"/>
        </w:rPr>
        <w:t xml:space="preserve">”</w:t>
      </w:r>
    </w:p>
    <w:bookmarkEnd w:id="27"/>
    <w:bookmarkStart w:id="30" w:name="references"/>
    <w:p>
      <w:pPr>
        <w:pStyle w:val="Heading2"/>
      </w:pPr>
      <w:r>
        <w:rPr>
          <w:rFonts w:ascii="Arial" w:hAnsi="Arial"/>
        </w:rPr>
        <w:t xml:space="preserve">References</w:t>
      </w:r>
    </w:p>
    <w:p>
      <w:pPr>
        <w:pStyle w:val="Compact"/>
        <w:numPr>
          <w:ilvl w:val="0"/>
          <w:numId w:val="1008"/>
        </w:numPr>
      </w:pPr>
      <w:r>
        <w:rPr>
          <w:rFonts w:ascii="Arial" w:hAnsi="Arial"/>
        </w:rPr>
        <w:t xml:space="preserve">Knapp, K.R., Kruk, M.C., Levinson, D.H., Diamond, H.J., Neumann, C.J., 2010. The International Best Track Archive for Climate Stewardship (IBTrACS).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Bulletin of the American Meteorological Society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91, 363–376.</w:t>
      </w:r>
      <w:r>
        <w:rPr>
          <w:rFonts w:ascii="Arial" w:hAnsi="Arial"/>
        </w:rPr>
        <w:t xml:space="preserve"> </w:t>
      </w:r>
      <w:hyperlink r:id="rId28">
        <w:r>
          <w:rPr>
            <w:rStyle w:val="Hyperlink"/>
          </w:rPr>
          <w:t xml:space="preserve">doi:10.1175/2009BAMS2755.1</w:t>
        </w:r>
      </w:hyperlink>
    </w:p>
    <w:p>
      <w:pPr>
        <w:pStyle w:val="Compact"/>
        <w:numPr>
          <w:ilvl w:val="0"/>
          <w:numId w:val="1008"/>
        </w:numPr>
      </w:pPr>
      <w:r>
        <w:rPr>
          <w:rFonts w:ascii="Arial" w:hAnsi="Arial"/>
        </w:rPr>
        <w:t xml:space="preserve">IMD, 2020.</w:t>
      </w:r>
      <w:r>
        <w:rPr>
          <w:rFonts w:ascii="Arial" w:hAnsi="Arial"/>
        </w:rPr>
        <w:t xml:space="preserve"> </w:t>
      </w:r>
      <w:r>
        <w:rPr>
          <w:rFonts w:ascii="Arial" w:hAnsi="Arial"/>
          <w:i/>
          <w:iCs/>
        </w:rPr>
        <w:t xml:space="preserve">Report on Cyclonic Disturbances over North Indian Ocean during 2019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(and corresponding 2020, 2021 reports). India Meteorological Department, New Delhi.</w:t>
      </w:r>
      <w:r>
        <w:rPr>
          <w:rFonts w:ascii="Arial" w:hAnsi="Arial"/>
        </w:rPr>
        <w:t xml:space="preserve"> </w:t>
      </w:r>
      <w:hyperlink r:id="rId29">
        <w:r>
          <w:rPr>
            <w:rStyle w:val="Hyperlink"/>
          </w:rPr>
          <w:t xml:space="preserve">rsmcnewdelhi.imd.gov.in</w:t>
        </w:r>
      </w:hyperlink>
    </w:p>
    <w:bookmarkEnd w:id="30"/>
    <w:bookmarkEnd w:id="31"/>
    <w:sectPr>
      <w:pgSz w:w="11906" w:h="16838"/>
      <w:pgMar w:left="1417" w:right="1417" w:top="1417" w:bottom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240" w:lineRule="auto" w:after="120"/>
    </w:pPr>
    <w:rPr>
      <w:rFonts w:ascii="Arial" w:hAnsi="Arial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8" Type="http://schemas.openxmlformats.org/officeDocument/2006/relationships/hyperlink" Target="https://doi.org/10.1175/2009BAMS2755.1" TargetMode="External"/><Relationship Id="rId29" Type="http://schemas.openxmlformats.org/officeDocument/2006/relationships/hyperlink" Target="https://rsmcnewdelhi.imd.gov.in" TargetMode="External"/></Relationships>
</file>

<file path=word/_rels/footnotes.xml.rels><?xml version='1.0' encoding='UTF-8' standalone='yes'?>
<Relationships xmlns="http://schemas.openxmlformats.org/package/2006/relationships"><Relationship Id="rId28" Type="http://schemas.openxmlformats.org/officeDocument/2006/relationships/hyperlink" Target="https://doi.org/10.1175/2009BAMS2755.1" TargetMode="External"/><Relationship Id="rId29" Type="http://schemas.openxmlformats.org/officeDocument/2006/relationships/hyperlink" Target="https://rsmcnewdelhi.imd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2026-05-05T15:37:54Z</dcterms:created>
  <dcterms:modified xsi:type="dcterms:W3CDTF">2026-05-05T15:37:54Z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