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ver-letter"/>
    <w:p>
      <w:pPr>
        <w:pStyle w:val="Heading1"/>
      </w:pPr>
      <w:r>
        <w:t xml:space="preserve">Cover Letter</w:t>
      </w:r>
    </w:p>
    <w:p>
      <w:pPr>
        <w:pStyle w:val="FirstParagraph"/>
      </w:pPr>
      <w:r>
        <w:rPr>
          <w:b/>
          <w:bCs/>
        </w:rPr>
        <w:t xml:space="preserve">Supranab Panda</w:t>
      </w:r>
      <w:r>
        <w:br/>
      </w:r>
      <w:r>
        <w:t xml:space="preserve">Center for Environment and Climate</w:t>
      </w:r>
      <w:r>
        <w:br/>
      </w:r>
      <w:r>
        <w:t xml:space="preserve">Institute of Technical Education and Research</w:t>
      </w:r>
      <w:r>
        <w:br/>
      </w:r>
      <w:r>
        <w:t xml:space="preserve">Siksha</w:t>
      </w:r>
      <w:r>
        <w:t xml:space="preserve"> </w:t>
      </w:r>
      <w:r>
        <w:t xml:space="preserve">‘</w:t>
      </w:r>
      <w:r>
        <w:t xml:space="preserve">O</w:t>
      </w:r>
      <w:r>
        <w:t xml:space="preserve">’</w:t>
      </w:r>
      <w:r>
        <w:t xml:space="preserve"> </w:t>
      </w:r>
      <w:r>
        <w:t xml:space="preserve">Anusandhan (Deemed to be) University</w:t>
      </w:r>
      <w:r>
        <w:br/>
      </w:r>
      <w:r>
        <w:t xml:space="preserve">Bhubaneswar 751030, Odisha, India</w:t>
      </w:r>
      <w:r>
        <w:br/>
      </w:r>
      <w:r>
        <w:t xml:space="preserve">pandasupranab@gmail.com</w:t>
      </w:r>
      <w:r>
        <w:br/>
      </w:r>
      <w:r>
        <w:t xml:space="preserve">ORCID: 0009-0009-6496-6545</w:t>
      </w:r>
    </w:p>
    <w:p>
      <w:pPr>
        <w:pStyle w:val="BodyText"/>
      </w:pPr>
      <w:r>
        <w:rPr>
          <w:i/>
          <w:iCs/>
        </w:rPr>
        <w:t xml:space="preserve">Bhubaneswar, India — June 2026</w:t>
      </w:r>
    </w:p>
    <w:p>
      <w:pPr>
        <w:pStyle w:val="BodyText"/>
      </w:pPr>
      <w:r>
        <w:t xml:space="preserve">The Editor-in-Chief</w:t>
      </w:r>
      <w:r>
        <w:br/>
      </w:r>
      <w:r>
        <w:rPr>
          <w:i/>
          <w:iCs/>
        </w:rPr>
        <w:t xml:space="preserve">Remote Sensing of Environment</w:t>
      </w:r>
      <w:r>
        <w:br/>
      </w:r>
      <w:r>
        <w:t xml:space="preserve">Elsevier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We submit for consideration in</w:t>
      </w:r>
      <w:r>
        <w:t xml:space="preserve"> </w:t>
      </w:r>
      <w:r>
        <w:rPr>
          <w:i/>
          <w:iCs/>
        </w:rPr>
        <w:t xml:space="preserve">Remote Sensing of Environment</w:t>
      </w:r>
      <w:r>
        <w:t xml:space="preserve"> </w:t>
      </w:r>
      <w:r>
        <w:t xml:space="preserve">a research article entitled: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Quantisation and seasonal-boundary artefacts in Sentinel-2 rice phenology: a reproducible quality-control framework for cyclone-impact studies</w:t>
      </w:r>
      <w:r>
        <w:rPr>
          <w:b/>
          <w:bCs/>
        </w:rPr>
        <w:t xml:space="preserve">”</w:t>
      </w:r>
    </w:p>
    <w:p>
      <w:pPr>
        <w:pStyle w:val="BodyText"/>
      </w:pPr>
      <w:r>
        <w:t xml:space="preserve">by Supranab Panda and Sarat Chandra Sahu (Siksha</w:t>
      </w:r>
      <w:r>
        <w:t xml:space="preserve"> </w:t>
      </w:r>
      <w:r>
        <w:t xml:space="preserve">‘</w:t>
      </w:r>
      <w:r>
        <w:t xml:space="preserve">O</w:t>
      </w:r>
      <w:r>
        <w:t xml:space="preserve">’</w:t>
      </w:r>
      <w:r>
        <w:t xml:space="preserve"> </w:t>
      </w:r>
      <w:r>
        <w:t xml:space="preserve">Anusandhan (Deemed to be) University, Bhubaneswar, India).</w:t>
      </w:r>
    </w:p>
    <w:p>
      <w:pPr>
        <w:pStyle w:val="BodyText"/>
      </w:pPr>
      <w:r>
        <w:rPr>
          <w:b/>
          <w:bCs/>
        </w:rPr>
        <w:t xml:space="preserve">Why this paper is suitable for RSE.</w:t>
      </w:r>
      <w:r>
        <w:t xml:space="preserve"> </w:t>
      </w:r>
      <w:r>
        <w:rPr>
          <w:i/>
          <w:iCs/>
        </w:rPr>
        <w:t xml:space="preserve">Remote Sensing of Environment</w:t>
      </w:r>
      <w:r>
        <w:t xml:space="preserve"> </w:t>
      </w:r>
      <w:r>
        <w:t xml:space="preserve">is the premier venue for methodological advances in quantitative remote sensing. This manuscript addresses a reproducible failure mode in Sentinel-2 time-series phenometric extraction — day-of-year (DOY) quantisation at fitting-window boundaries — that has direct consequences for any study using phenological metrics as outcome variables in causal impact research. The topic sits squarely within RSE’s scope: it combines a satellite data quality analysis, a methodological contribution (the three-gate QC framework), and a regional application (Odisha Kharif rice, coastal cyclone impact).</w:t>
      </w:r>
    </w:p>
    <w:p>
      <w:pPr>
        <w:pStyle w:val="BodyText"/>
      </w:pPr>
      <w:r>
        <w:rPr>
          <w:b/>
          <w:bCs/>
        </w:rPr>
        <w:t xml:space="preserve">The core contribution.</w:t>
      </w:r>
      <w:r>
        <w:t xml:space="preserve"> </w:t>
      </w:r>
      <w:r>
        <w:t xml:space="preserve">Using an 8-district × 6-year district-year panel (2019–2024, n = 48) and a parallel cell-level (Model 2) panel of 1,223 QC-passing cell-years drawn from 436 cells, we demonstrate that the standard Sentinel-2 double-logistic pipeline concentrates 72.7% of end-of-season (EOS) phenometric values at a single boundary DOY (349) and 65.6% of peak-of-season (POS) values at a single DOY (288) — two distinct quantisation artefacts. After applying the three-gate QC framework we propose, the EOS and POS mode-shares both collapse to 8.3% and the SOS mode-share falls from 20.3% to 12.5%; the resulting panel passes all distributional plausibility checks (all three below the Gate A threshold of 0.20). We then apply a two-way fixed-effects difference-in-differences (DiD) design — at both district-median (Model 1) and pixel (Model 2) resolution, with five coastal treatment districts and three inland controls — to test whether Cyclones Fani, Amphan, and Yaas (three consecutive May-window landfalls, 2019–2021) produced detectable shifts in Kharif rice phenology. All three phenometrics return null effects after QC (τ_SOS = +7.6 d, τ_POS = −2.3 d, τ_EOS = −4.1 d; all wild-cluster bootstrap p-values &gt; 0.38), which we interpret as validation of the QC framework rather than evidence that cyclones never affect rice: the boundary artefacts generated false-positive treatment variance in the pre-QC panel, which the framework eliminates.</w:t>
      </w:r>
    </w:p>
    <w:p>
      <w:pPr>
        <w:pStyle w:val="BodyText"/>
      </w:pPr>
      <w:r>
        <w:rPr>
          <w:b/>
          <w:bCs/>
        </w:rPr>
        <w:t xml:space="preserve">Identification credibility.</w:t>
      </w:r>
      <w:r>
        <w:t xml:space="preserve"> </w:t>
      </w:r>
      <w:r>
        <w:t xml:space="preserve">The null DiD is anchored on three independent identification checks beyond the static specification: (i) an event-study with 2019 as the reference year showing no monotone post-treatment drift and no single-year coefficient that excludes zero; (ii) a four-lead Landsat-5/7/8 + Sentinel-2 harmonised pre-trends test (2014–2018 extension via Roy et al. 2016 cross-calibration) that does not reject parallel trends for SOS (Wald χ²(4) = 5.56, p = 0.235) and yields a POS violation that does not propagate to a synthetic-2016 placebo DiD (p = 0.33); and (iii) a within-post-period placebo test on a synthetic 2022 cyclone year showing POS and EOS placebos do not reject, with the SOS placebo flagged transparently as a limitation of the cyclone-window-pooled estimator. We further report MAR vs. MNAR diagnostics for the QC selection process, Manski/Lee selection bounds, and cluster-robust minimum detectable effects (13.9 d SOS, 4.8 d POS, 10.2 d EOS at 80% power) so that readers can bound the magnitude of any effect the panel could detect.</w:t>
      </w:r>
    </w:p>
    <w:p>
      <w:pPr>
        <w:pStyle w:val="BodyText"/>
      </w:pPr>
      <w:r>
        <w:rPr>
          <w:b/>
          <w:bCs/>
        </w:rPr>
        <w:t xml:space="preserve">Pre-registration and open data.</w:t>
      </w:r>
      <w:r>
        <w:t xml:space="preserve"> </w:t>
      </w:r>
      <w:r>
        <w:t xml:space="preserve">The study is pre-registered on the Open Science Framework (DOI 10.17605/OSF.IO/C4MP8). All code, panel data, and analysis scripts are publicly archived at GitHub (https://github.com/pandasupranab/RiceBaCI-GEE, tag v2.0-rse), Zenodo (DOI 10.5281/zenodo.20587316), and Mendeley Data (DOI 10.17632/z3zxk4xy3c.1). The full analysis is reproducible from a single</w:t>
      </w:r>
      <w:r>
        <w:t xml:space="preserve"> </w:t>
      </w:r>
      <w:r>
        <w:rPr>
          <w:rStyle w:val="VerbatimChar"/>
        </w:rPr>
        <w:t xml:space="preserve">run_all.sh</w:t>
      </w:r>
      <w:r>
        <w:t xml:space="preserve"> </w:t>
      </w:r>
      <w:r>
        <w:t xml:space="preserve">command; the Landsat extension and balanced-pixel modules (Modules 13–15) ship with the same one-command runner.</w:t>
      </w:r>
    </w:p>
    <w:p>
      <w:pPr>
        <w:pStyle w:val="BodyText"/>
      </w:pPr>
      <w:r>
        <w:rPr>
          <w:b/>
          <w:bCs/>
        </w:rPr>
        <w:t xml:space="preserve">No competing interests.</w:t>
      </w:r>
      <w:r>
        <w:t xml:space="preserve"> </w:t>
      </w:r>
      <w:r>
        <w:t xml:space="preserve">We declare no competing financial interests. The manuscript has not been submitted elsewhere and is not under consideration at any other journal.</w:t>
      </w:r>
    </w:p>
    <w:p>
      <w:pPr>
        <w:pStyle w:val="BodyText"/>
      </w:pPr>
      <w:r>
        <w:t xml:space="preserve">We suggest potential reviewers with expertise in satellite phenology, time-series methods, and causal inference in agronomic remote sensing via the submission portal.</w:t>
      </w:r>
    </w:p>
    <w:p>
      <w:pPr>
        <w:pStyle w:val="BodyText"/>
      </w:pPr>
      <w:r>
        <w:t xml:space="preserve">We look forward to the editorial assessment.</w:t>
      </w:r>
    </w:p>
    <w:p>
      <w:pPr>
        <w:pStyle w:val="BodyText"/>
      </w:pPr>
      <w:r>
        <w:t xml:space="preserve">Yours sincerely,</w:t>
      </w:r>
    </w:p>
    <w:p>
      <w:pPr>
        <w:pStyle w:val="BodyText"/>
      </w:pPr>
      <w:r>
        <w:rPr>
          <w:b/>
          <w:bCs/>
        </w:rPr>
        <w:t xml:space="preserve">Supranab Panda</w:t>
      </w:r>
      <w:r>
        <w:t xml:space="preserve"> </w:t>
      </w:r>
      <w:r>
        <w:t xml:space="preserve">(corresponding author) on behalf of all authors</w:t>
      </w:r>
    </w:p>
    <w:p>
      <w:pPr>
        <w:pStyle w:val="BodyText"/>
      </w:pPr>
      <w:r>
        <w:rPr>
          <w:i/>
          <w:iCs/>
        </w:rPr>
        <w:t xml:space="preserve">Supervisor co-author:</w:t>
      </w:r>
      <w:r>
        <w:t xml:space="preserve"> </w:t>
      </w:r>
      <w:r>
        <w:t xml:space="preserve">Sarat Chandra Sahu, Director, Center for Environment and Climate, ITER, SOA University, Bhubaneswar — ORCID: 0000-0002-8048-1910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2026-06-13T10:35:45Z</dcterms:created>
  <dcterms:modified xsi:type="dcterms:W3CDTF">2026-06-13T10:35:45Z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