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pStyle w:val="FirstParagraph"/>
      </w:pPr>
      <w:r>
        <w:rPr>
          <w:i/>
          <w:iCs/>
        </w:rPr>
        <w:t xml:space="preserve">Maximum 85 characters per highlight (including spaces; Elsevier requirement: 3–5 bullets)</w:t>
      </w:r>
    </w:p>
    <w:p>
      <w:pPr>
        <w:pStyle w:val="Compact"/>
        <w:numPr>
          <w:ilvl w:val="0"/>
          <w:numId w:val="1001"/>
        </w:numPr>
      </w:pPr>
      <w:r>
        <w:t xml:space="preserve">Sentinel-2 EOS mode-share collapses from 72.7% to 8.3% after fitting-window QC</w:t>
      </w:r>
    </w:p>
    <w:p>
      <w:pPr>
        <w:pStyle w:val="Compact"/>
        <w:numPr>
          <w:ilvl w:val="0"/>
          <w:numId w:val="1001"/>
        </w:numPr>
      </w:pPr>
      <w:r>
        <w:t xml:space="preserve">POS mode-share also collapses 65.6% to 8.3% — a second quantisation artefact</w:t>
      </w:r>
    </w:p>
    <w:p>
      <w:pPr>
        <w:pStyle w:val="Compact"/>
        <w:numPr>
          <w:ilvl w:val="0"/>
          <w:numId w:val="1001"/>
        </w:numPr>
      </w:pPr>
      <w:r>
        <w:t xml:space="preserve">Three-gate QC framework: mode-share threshold, plausibility, fit-quality</w:t>
      </w:r>
    </w:p>
    <w:p>
      <w:pPr>
        <w:pStyle w:val="Compact"/>
        <w:numPr>
          <w:ilvl w:val="0"/>
          <w:numId w:val="1001"/>
        </w:numPr>
      </w:pPr>
      <w:r>
        <w:t xml:space="preserve">Null cyclone DiD after QC validates framework: τ_EOS = −4.1 d, p_WCB = 0.45</w:t>
      </w:r>
    </w:p>
    <w:p>
      <w:pPr>
        <w:pStyle w:val="Compact"/>
        <w:numPr>
          <w:ilvl w:val="0"/>
          <w:numId w:val="1001"/>
        </w:numPr>
      </w:pPr>
      <w:r>
        <w:t xml:space="preserve">Open RiceBaCI-GEE v2.0 pipeline transferable to Bay of Bengal rice systems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2026-06-13T10:36:32Z</dcterms:created>
  <dcterms:modified xsi:type="dcterms:W3CDTF">2026-06-13T10:36:32Z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