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jpg" ContentType="image/jpeg"/>
  <Override PartName="/word/media/rId40.jpg" ContentType="image/jpeg"/>
  <Override PartName="/word/media/rId44.jpg" ContentType="image/jpeg"/>
  <Override PartName="/word/media/rId52.jpg" ContentType="image/jpeg"/>
  <Override PartName="/word/media/rId57.jpg" ContentType="image/jpeg"/>
  <Override PartName="/word/media/rId61.jpg" ContentType="image/jpeg"/>
  <Override PartName="/word/media/rId6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itle-page"/>
    <w:p>
      <w:pPr>
        <w:pStyle w:val="Heading2"/>
      </w:pPr>
      <w:r>
        <w:t xml:space="preserve">Title Page</w:t>
      </w:r>
    </w:p>
    <w:p>
      <w:pPr>
        <w:pStyle w:val="FirstParagraph"/>
      </w:pPr>
      <w:r>
        <w:rPr>
          <w:b/>
          <w:bCs/>
        </w:rPr>
        <w:t xml:space="preserve">Title:</w:t>
      </w:r>
      <w:r>
        <w:t xml:space="preserve"> </w:t>
      </w:r>
      <w:r>
        <w:t xml:space="preserve">Quantisation and seasonal-boundary artefacts in Sentinel-2 rice phenology: a reproducible quality-control framework for cyclone-impact studies</w:t>
      </w:r>
    </w:p>
    <w:p>
      <w:pPr>
        <w:pStyle w:val="BodyText"/>
      </w:pPr>
      <w:r>
        <w:rPr>
          <w:b/>
          <w:bCs/>
        </w:rPr>
        <w:t xml:space="preserve">Authors:</w:t>
      </w:r>
      <w:r>
        <w:t xml:space="preserve"> </w:t>
      </w:r>
      <w:r>
        <w:t xml:space="preserve">Supranab Panda¹*, Sarat Chandra Sahu¹</w:t>
      </w:r>
    </w:p>
    <w:p>
      <w:pPr>
        <w:pStyle w:val="BodyText"/>
      </w:pPr>
      <w:r>
        <w:t xml:space="preserve">* Corresponding author. E-mail: pandasupranab@gmail.com</w:t>
      </w:r>
    </w:p>
    <w:p>
      <w:pPr>
        <w:pStyle w:val="BodyText"/>
      </w:pPr>
      <w:r>
        <w:rPr>
          <w:b/>
          <w:bCs/>
        </w:rPr>
        <w:t xml:space="preserve">Affiliations:</w:t>
      </w:r>
    </w:p>
    <w:p>
      <w:pPr>
        <w:pStyle w:val="BodyText"/>
      </w:pPr>
      <w:r>
        <w:t xml:space="preserve">¹ Center for Environment and Climate, Institute of Technical Education and Research, Siksha</w:t>
      </w:r>
      <w:r>
        <w:t xml:space="preserve"> </w:t>
      </w:r>
      <w:r>
        <w:t xml:space="preserve">‘</w:t>
      </w:r>
      <w:r>
        <w:t xml:space="preserve">O</w:t>
      </w:r>
      <w:r>
        <w:t xml:space="preserve">’</w:t>
      </w:r>
      <w:r>
        <w:t xml:space="preserve"> </w:t>
      </w:r>
      <w:r>
        <w:t xml:space="preserve">Anusandhan (Deemed to be) University, Bhubaneswar 751030, Odisha, India</w:t>
      </w:r>
    </w:p>
    <w:p>
      <w:pPr>
        <w:pStyle w:val="BodyText"/>
      </w:pPr>
      <w:r>
        <w:rPr>
          <w:b/>
          <w:bCs/>
        </w:rPr>
        <w:t xml:space="preserve">Corresponding author (full details):</w:t>
      </w:r>
    </w:p>
    <w:p>
      <w:pPr>
        <w:pStyle w:val="BodyText"/>
      </w:pPr>
      <w:r>
        <w:t xml:space="preserve">Supranab Panda</w:t>
      </w:r>
      <w:r>
        <w:br/>
      </w:r>
      <w:r>
        <w:t xml:space="preserve">Center for Environment and Climate, Institute of Technical Education and Research,</w:t>
      </w:r>
      <w:r>
        <w:br/>
      </w:r>
      <w:r>
        <w:t xml:space="preserve">Siksha</w:t>
      </w:r>
      <w:r>
        <w:t xml:space="preserve"> </w:t>
      </w:r>
      <w:r>
        <w:t xml:space="preserve">‘</w:t>
      </w:r>
      <w:r>
        <w:t xml:space="preserve">O</w:t>
      </w:r>
      <w:r>
        <w:t xml:space="preserve">’</w:t>
      </w:r>
      <w:r>
        <w:t xml:space="preserve"> </w:t>
      </w:r>
      <w:r>
        <w:t xml:space="preserve">Anusandhan (Deemed to be) University, Bhubaneswar 751030, Odisha, India</w:t>
      </w:r>
      <w:r>
        <w:br/>
      </w:r>
      <w:r>
        <w:t xml:space="preserve">E-mail: pandasupranab@gmail.com</w:t>
      </w:r>
      <w:r>
        <w:br/>
      </w:r>
      <w:r>
        <w:t xml:space="preserve">ORCID: 0009-0009-6496-6545</w:t>
      </w:r>
    </w:p>
    <w:p>
      <w:pPr>
        <w:pStyle w:val="BodyText"/>
      </w:pPr>
      <w:r>
        <w:rPr>
          <w:b/>
          <w:bCs/>
        </w:rPr>
        <w:t xml:space="preserve">Co-author / Supervisor:</w:t>
      </w:r>
    </w:p>
    <w:p>
      <w:pPr>
        <w:pStyle w:val="BodyText"/>
      </w:pPr>
      <w:r>
        <w:t xml:space="preserve">Sarat Chandra Sahu</w:t>
      </w:r>
      <w:r>
        <w:br/>
      </w:r>
      <w:r>
        <w:t xml:space="preserve">Director, Center for Environment and Climate,</w:t>
      </w:r>
      <w:r>
        <w:br/>
      </w:r>
      <w:r>
        <w:t xml:space="preserve">Institute of Technical Education and Research,</w:t>
      </w:r>
      <w:r>
        <w:br/>
      </w:r>
      <w:r>
        <w:t xml:space="preserve">Siksha</w:t>
      </w:r>
      <w:r>
        <w:t xml:space="preserve"> </w:t>
      </w:r>
      <w:r>
        <w:t xml:space="preserve">‘</w:t>
      </w:r>
      <w:r>
        <w:t xml:space="preserve">O</w:t>
      </w:r>
      <w:r>
        <w:t xml:space="preserve">’</w:t>
      </w:r>
      <w:r>
        <w:t xml:space="preserve"> </w:t>
      </w:r>
      <w:r>
        <w:t xml:space="preserve">Anusandhan (Deemed to be) University, Bhubaneswar 751030, Odisha, India</w:t>
      </w:r>
      <w:r>
        <w:br/>
      </w:r>
      <w:r>
        <w:t xml:space="preserve">E-mail: director.cec@soa.ac.in</w:t>
      </w:r>
      <w:r>
        <w:br/>
      </w:r>
      <w:r>
        <w:t xml:space="preserve">ORCID: 0000-0002-8048-1910</w:t>
      </w:r>
    </w:p>
    <w:p>
      <w:r>
        <w:pict>
          <v:rect style="width:0;height:1.5pt" o:hralign="center" o:hrstd="t" o:hr="t"/>
        </w:pict>
      </w:r>
    </w:p>
    <w:bookmarkEnd w:id="20"/>
    <w:bookmarkStart w:id="21" w:name="abstract"/>
    <w:p>
      <w:pPr>
        <w:pStyle w:val="Heading2"/>
      </w:pPr>
      <w:r>
        <w:t xml:space="preserve">Abstract</w:t>
      </w:r>
    </w:p>
    <w:p>
      <w:pPr>
        <w:pStyle w:val="FirstParagraph"/>
      </w:pPr>
      <w:r>
        <w:t xml:space="preserve">Phenology metrics derived from Sentinel-2 time series — start of season (SOS), peak of season (POS), and end of season (EOS) — are increasingly used as outcome variables in causal impact studies of tropical cyclones, drought, and heat stress on rice cultivation. The reliability of these metrics under standard double-logistic fitting pipelines has not been systematically audited. We document a reproducible failure mode — day-of-year (DOY) quantisation at fitting-window boundaries — that produces artefactual phenological signals indistinguishable from genuine climatic effects. Using 8 districts × 6 years of Sentinel-2 Level-2A (L2A) 10-m normalised difference vegetation index (NDVI) dekadal composites across coastal and inland Odisha, India, we show that the pre-quality-control (pre-QC) (v1.0.2) pipeline concentrates 72.7% of district-year EOS estimates at a single boundary DOY (349) and 65.6% of POS estimates at a single DOY (288); after the three-gate QC framework is applied (v2.0), the POS and EOS mode-shares both collapse to 8.3% and the SOS mode-share falls from 20.3% to 12.5%, all three comfortably below the Gate A threshold of 0.20. We then apply a two-way fixed-effects difference-in-differences (DiD) design — at both district-median (Model 1) and pixel (Model 2) resolution — using five coastal treatment districts, three inland controls, and three cyclones (Fani 2019, Amphan 2020, Yaas 2021). All three phenometrics return null effects after QC (τ_SOS = +7.6 d, τ_POS = −2.3 d, τ_EOS = −4.1 d; all wild-cluster bootstrap p-values, p_WCB &gt; 0.38), and the null is robust to parallel-trends, missing-at-random (MAR), and Manski/Lee bounds diagnostics. The QC framework eliminates boundary artefacts that would otherwise generate false positives. Full pipeline released as RiceBaCI-GEE v2.0 (Zenodo: 10.5281/zenodo.20587316; OSF: 10.17605/OSF.IO/C4MP8).</w:t>
      </w:r>
    </w:p>
    <w:p>
      <w:pPr>
        <w:pStyle w:val="BodyText"/>
      </w:pPr>
      <w:r>
        <w:rPr>
          <w:b/>
          <w:bCs/>
        </w:rPr>
        <w:t xml:space="preserve">Keywords:</w:t>
      </w:r>
      <w:r>
        <w:t xml:space="preserve"> </w:t>
      </w:r>
      <w:r>
        <w:t xml:space="preserve">Sentinel-2; rice phenology; quality control; double-logistic fitting; phenometric artefacts; difference-in-differences; coastal Odisha; cyclone impact</w:t>
      </w:r>
    </w:p>
    <w:p>
      <w:r>
        <w:pict>
          <v:rect style="width:0;height:1.5pt" o:hralign="center" o:hrstd="t" o:hr="t"/>
        </w:pict>
      </w:r>
    </w:p>
    <w:bookmarkEnd w:id="21"/>
    <w:bookmarkStart w:id="22" w:name="highlights"/>
    <w:p>
      <w:pPr>
        <w:pStyle w:val="Heading2"/>
      </w:pPr>
      <w:r>
        <w:t xml:space="preserve">Highlights</w:t>
      </w:r>
    </w:p>
    <w:p>
      <w:pPr>
        <w:pStyle w:val="Compact"/>
        <w:numPr>
          <w:ilvl w:val="0"/>
          <w:numId w:val="1001"/>
        </w:numPr>
      </w:pPr>
      <w:r>
        <w:t xml:space="preserve">Sentinel-2 fitting produces DOY boundary artefacts: EOS 72.7%→8.3% mode-share</w:t>
      </w:r>
    </w:p>
    <w:p>
      <w:pPr>
        <w:pStyle w:val="Compact"/>
        <w:numPr>
          <w:ilvl w:val="0"/>
          <w:numId w:val="1001"/>
        </w:numPr>
      </w:pPr>
      <w:r>
        <w:t xml:space="preserve">Three-gate QC framework: mode-share, biological plausibility, fit-quality</w:t>
      </w:r>
    </w:p>
    <w:p>
      <w:pPr>
        <w:pStyle w:val="Compact"/>
        <w:numPr>
          <w:ilvl w:val="0"/>
          <w:numId w:val="1001"/>
        </w:numPr>
      </w:pPr>
      <w:r>
        <w:t xml:space="preserve">Null cyclone DiD at district-median resolution (all p_WCB &gt; 0.38); pixel-level estimates also null at conventional thresholds</w:t>
      </w:r>
    </w:p>
    <w:p>
      <w:pPr>
        <w:pStyle w:val="Compact"/>
        <w:numPr>
          <w:ilvl w:val="0"/>
          <w:numId w:val="1001"/>
        </w:numPr>
      </w:pPr>
      <w:r>
        <w:t xml:space="preserve">Robust to parallel-trends, MAR, and Manski/Lee selection-bound diagnostics</w:t>
      </w:r>
    </w:p>
    <w:p>
      <w:pPr>
        <w:pStyle w:val="Compact"/>
        <w:numPr>
          <w:ilvl w:val="0"/>
          <w:numId w:val="1001"/>
        </w:numPr>
      </w:pPr>
      <w:r>
        <w:t xml:space="preserve">Open RiceBaCI-GEE v2.0 pipeline replicates across Bay of Bengal rice systems</w:t>
      </w:r>
    </w:p>
    <w:p>
      <w:r>
        <w:pict>
          <v:rect style="width:0;height:1.5pt" o:hralign="center" o:hrstd="t" o:hr="t"/>
        </w:pict>
      </w:r>
    </w:p>
    <w:bookmarkEnd w:id="22"/>
    <w:bookmarkStart w:id="28" w:name="introduction"/>
    <w:p>
      <w:pPr>
        <w:pStyle w:val="Heading2"/>
      </w:pPr>
      <w:r>
        <w:t xml:space="preserve">1. Introduction</w:t>
      </w:r>
    </w:p>
    <w:bookmarkStart w:id="23" w:name="X803a9e5c0f44e4bbf1313730b7350e614a6bf49"/>
    <w:p>
      <w:pPr>
        <w:pStyle w:val="Heading3"/>
      </w:pPr>
      <w:r>
        <w:t xml:space="preserve">1.1 Satellite phenology as an outcome variable in causal climate studies</w:t>
      </w:r>
    </w:p>
    <w:p>
      <w:pPr>
        <w:pStyle w:val="FirstParagraph"/>
      </w:pPr>
      <w:r>
        <w:t xml:space="preserve">Rice (</w:t>
      </w:r>
      <w:r>
        <w:rPr>
          <w:i/>
          <w:iCs/>
        </w:rPr>
        <w:t xml:space="preserve">Oryza sativa</w:t>
      </w:r>
      <w:r>
        <w:t xml:space="preserve"> </w:t>
      </w:r>
      <w:r>
        <w:t xml:space="preserve">L.) cultivation across coastal South and Southeast Asia is increasingly monitored through satellite-derived phenology metrics. The launch of Sentinel-2A in June 2015, followed by Sentinel-2B in March 2017, completed a dual-satellite constellation that opened a new era for field-scale phenology monitoring: with 10-m spatial resolution in the red and near-infrared bands, a 5-day revisit under dual-satellite operations, and a globally harmonised Level-2A surface-reflectance archive (</w:t>
      </w:r>
      <w:r>
        <w:rPr>
          <w:rStyle w:val="VerbatimChar"/>
        </w:rPr>
        <w:t xml:space="preserve">COPERNICUS/S2_SR_HARMONIZED</w:t>
      </w:r>
      <w:r>
        <w:t xml:space="preserve">) available from 2017 onward, Sentinel-2 NDVI time series support field- to district-scale assessments of crop sowing dates, canopy development, and harvest timing (Vrieling et al., 2018; Meroni et al., 2021).</w:t>
      </w:r>
    </w:p>
    <w:p>
      <w:pPr>
        <w:pStyle w:val="BodyText"/>
      </w:pPr>
      <w:r>
        <w:t xml:space="preserve">These phenological transition dates — start of season (SOS), peak of season (POS), and end of season (EOS) — have moved beyond descriptive characterisation into the role of outcome variables in quasi-experimental impact studies. Studies using phenology as an outcome include characterisation of drought- and heat-stress effects on growing-season timing (Vrieling et al., 2018; Meroni et al., 2021) and mapping of rice cropping systems in cloud-prone monsoon regions where season-timing extraction is itself a primary deliverable (Singha et al., 2019). The underlying logic is straightforward: if an extreme event (cyclone, drought, heat wave) causally disrupts crop development, that disruption should manifest as a detectable shift in phenometric timing relative to an unaffected control group, and the magnitude of that shift is, in turn, informative about yield outcomes through documented phenology–yield relationships, although the mapping is statistical rather than deterministic and varies by cultivar and management regime.</w:t>
      </w:r>
    </w:p>
    <w:p>
      <w:pPr>
        <w:pStyle w:val="BodyText"/>
      </w:pPr>
      <w:r>
        <w:t xml:space="preserve">The methodological appeal of phenometric outcomes is strong. Unlike officially reported yield data — which are released annually, subject to administrative aggregation, and confounded by management responses — satellite phenometrics are derived from dense, spatially granular NDVI time series that are observed directly at the field scale across treatment and control units within the same season. Phenometrics do not preclude farmer adaptation: adaptive transplanting and replanting decisions are themselves visible in the SOS signal and are a substantive part of what the outcome captures. Difference-in-differences (DiD) and before-after-control-impact (BACI) designs that exploit the staggered timing of extreme events are therefore a natural candidate framework for phenometric outcomes, and the present paper develops and evaluates one such application for cyclone-driven rice phenology shifts in coastal Odisha.</w:t>
      </w:r>
    </w:p>
    <w:bookmarkEnd w:id="23"/>
    <w:bookmarkStart w:id="24" w:name="Xa3f1f451b79127d3a09ed4c6a4c03fafe75915c"/>
    <w:p>
      <w:pPr>
        <w:pStyle w:val="Heading3"/>
      </w:pPr>
      <w:r>
        <w:t xml:space="preserve">1.2 The unexamined reliability of phenometric extraction pipelines</w:t>
      </w:r>
    </w:p>
    <w:p>
      <w:pPr>
        <w:pStyle w:val="FirstParagraph"/>
      </w:pPr>
      <w:r>
        <w:t xml:space="preserve">Despite this growing methodological dependence, the reliability of phenometric extraction pipelines has not been systematically audited in the context of impact studies. Published work on phenology extraction uncertainty has focused primarily on sensor-specific and algorithmic issues — logistic-fitting performance on noisy NDVI / enhanced vegetation index (EVI) time series (Cao et al., 2015), smoothing-parameter and curve-fitting sensitivity (Beck et al., 2006; Jönsson &amp; Eklundh, 2004; Forkel et al., 2015), and the relationship between satellite-derived phenometrics and field-level crop variables (Bolton &amp; Friedl, 2013). These are important concerns, but they address the accuracy of individual pixel-year estimates rather than the distributional properties of phenometric outputs that determine whether a DiD estimator can recover an unbiased treatment effect.</w:t>
      </w:r>
    </w:p>
    <w:p>
      <w:pPr>
        <w:pStyle w:val="BodyText"/>
      </w:pPr>
      <w:r>
        <w:t xml:space="preserve">A distinct and under-examined class of errors arises from the interaction between double-logistic fitting algorithms and the finite temporal boundaries of the fitting window. When a Kharif rice pixel has an NDVI trajectory whose senescence limb reaches the fitting-window edge (typically the last dekadal bin near DOY 349 in standard Google Earth Engine (GEE) implementations for a November-end Kharif window), the double-logistic optimiser assigns the EOS date at the boundary DOY rather than extrapolating beyond the observed data. This produces a hard spike in the empirical distribution of EOS values at the window-edge DOY: a quantisation artefact that is entirely an artefact of the fitting window and carries no information about true agronomic end-of-season timing. An analogous artefact at the peak of the canopy trajectory can concentrate POS estimates at a single dekadal bin when the smoothing-and-fitting combination flattens the green-up plateau. If either artefact is systematically more prevalent in one group (e.g., treatment districts with cyclone-damaged crops that senesce later) than another, the resulting DiD coefficient will be biased — potentially producing a spuriously significant treatment effect.</w:t>
      </w:r>
    </w:p>
    <w:p>
      <w:pPr>
        <w:pStyle w:val="BodyText"/>
      </w:pPr>
      <w:r>
        <w:t xml:space="preserve">The broader issue of fitting-window edge handling in vegetation phenology products is acknowledged in the documentation of operational MODIS land surface phenology datasets (Gray et al., 2019), but the implications for causal inference on short panels at district scale have not been explored. The quantisation concern is amplified in multi-year panels, where year-to-year changes in the mode structure of phenometric distributions can be conflated with genuine climatic or agronomic signals.</w:t>
      </w:r>
    </w:p>
    <w:bookmarkEnd w:id="24"/>
    <w:bookmarkStart w:id="25" w:name="contribution-of-this-study"/>
    <w:p>
      <w:pPr>
        <w:pStyle w:val="Heading3"/>
      </w:pPr>
      <w:r>
        <w:t xml:space="preserve">1.3 Contribution of this study</w:t>
      </w:r>
    </w:p>
    <w:p>
      <w:pPr>
        <w:pStyle w:val="FirstParagraph"/>
      </w:pPr>
      <w:r>
        <w:t xml:space="preserve">This paper makes three primary contributions. First, we document and characterise DOY quantisation artefacts in Sentinel-2 Kharif rice phenology extraction over coastal Odisha, demonstrating that the EOS distribution in a standard pipeline carries a mode-share of 72.7% at a single boundary DOY (349), the POS distribution carries a mode-share of 65.6% at DOY 288, and the SOS distribution carries a mode-share of 20.3% at DOY 196. After the QC framework is applied, the POS and EOS mode-shares collapse to 8.3% and the SOS mode-share falls to 12.5%, with the modal DOYs shifting away from the boundary-adjacent dates (EOS 349→354/329 tie, POS 288→274/290/293 tie, SOS 196→178). This provides a clear empirical demonstration of how fitting-window boundary effects and dekadal-bin quantisation can concentrate phenometric values and distort impact estimates.</w:t>
      </w:r>
    </w:p>
    <w:p>
      <w:pPr>
        <w:pStyle w:val="BodyText"/>
      </w:pPr>
      <w:r>
        <w:t xml:space="preserve">Second, we propose a three-gate reproducible QC framework for Sentinel-2 phenometric panels used in causal impact studies. The framework consists of: (i) Gate A — mode-share thresholds on the empirical distributions of SOS, POS, and EOS to flag boundary-contaminated panels; (ii) Gate B — biological plausibility checks tied to the known Kharif crop calendar, rejecting phenometric values outside agronomically defensible windows; and (iii) Gate C — fit-quality screening using the root-mean-squared residual (RMSR) from the double-logistic fit, with an RMSR-based threshold that excludes cells where the optimiser failed to converge or returned a poor fit to the underlying NDVI trajectory. The framework is parameterised from Odisha Kharif rice agronomy but is designed to be transferable to other tropical rice systems with straightforward calendar adaptation.</w:t>
      </w:r>
    </w:p>
    <w:p>
      <w:pPr>
        <w:pStyle w:val="BodyText"/>
      </w:pPr>
      <w:r>
        <w:t xml:space="preserve">Third, we apply the QC-cleaned panel in a difference-in-differences case study of cyclone impacts on Kharif rice phenology in coastal Odisha, using three inland districts as controls and three cyclone events (Fani 2019, Amphan 2020, Yaas 2021) as treatment variation. The DiD is estimated at two resolutions: a district-median specification (Model 1, n = 48 district-years) and a pixel-level specification (Model 2, n = 1,223 QC-passing pixel-years). All three phenometrics return null effects after QC at the district scale (all wild-cluster bootstrap p-values between 0.39 and 0.47). At the pixel level, SOS and EOS are also null under WCB (p = 0.23 and p = 0.25); POS is marginally significant at the 10% level (p_WCB = 0.096) but does not survive the 5% conventional threshold. The null is robust to parallel-trends, MAR vs. MNAR, and Manski/Lee selection-bound diagnostics. We frame the null as a validation outcome consistent with the QC framework’s intent: by removing the boundary-quantisation variance that drives the v1.0.2 mode-share spikes — the same variance that would mechanically generate spurious treatment effects under any treatment–control split of an artefact-contaminated panel — the QC framework leaves a panel in which the cyclone DiD effect, if any, is not detectable at the design’s minimum-detectable-effect threshold.</w:t>
      </w:r>
    </w:p>
    <w:bookmarkEnd w:id="25"/>
    <w:bookmarkStart w:id="26" w:name="relationship-to-existing-literature"/>
    <w:p>
      <w:pPr>
        <w:pStyle w:val="Heading3"/>
      </w:pPr>
      <w:r>
        <w:t xml:space="preserve">1.4 Relationship to existing literature</w:t>
      </w:r>
    </w:p>
    <w:p>
      <w:pPr>
        <w:pStyle w:val="FirstParagraph"/>
      </w:pPr>
      <w:r>
        <w:t xml:space="preserve">The methodological positioning of this paper is at the intersection of three literature streams. The first is the satellite phenology methods literature, where smoothing-parameter and curve-fitting sensitivity have been addressed by Jönsson and Eklundh (2004), Eilers (2003), and Forkel et al. (2015), but not in the specific context of impact-study panel construction. The second is the remote sensing data-quality literature, where cross-sensor and within-product comparisons of phenometric outputs (Meroni et al., 2021; Beck et al., 2006) provide a precedent for systematic quality assessment before downstream analysis, although these comparisons do not yet extend to causal-inference-grade panel screening. The third is the causal inference in climate-agriculture literature, where DiD designs are increasingly applied to agricultural outcomes (Burke and Emerick, 2016) under modern guidance on staggered-adoption identification (Goodman-Bacon, 2021), but where methodological guidance on pre-DiD panel quality assurance for satellite-derived outcome variables remains absent.</w:t>
      </w:r>
    </w:p>
    <w:p>
      <w:pPr>
        <w:pStyle w:val="BodyText"/>
      </w:pPr>
      <w:r>
        <w:t xml:space="preserve">We do not claim that cyclones have no effect on rice phenology. Our null result at the 8-district, 3-cyclone-event scale is consistent with several mechanisms that the present design is not well-powered to resolve: the three cyclones varied substantially in track, intensity, and storm-surge footprint, so the pooled treat × post effect averages over heterogeneous treatment intensities; the panel-level minimum-detectable effect (~22.7 d for SOS, 8.1 d for POS, and 12.9 d for EOS at 80% power; §4.1, Table S8) is large relative to plausible cyclone-induced shifts in transplanting and harvest timing; and within-district surge exposure is itself heterogeneous. The pixel-level specification (Model 2, n = 1,223) tightens these bounds modestly under district-clustered inference (cluster-robust MDEs of ~13.9 d for SOS, ~4.8 d for POS, and ~10.2 d for EOS at 80% power; Table S8), but does not collapse them to sub-day resolution: the eight-district cluster count, not the pixel count, is the binding constraint on identification. The selection-bias diagnostics (MAR vs. MNAR test, Table S5; Manski/Lee bounds, Table S6) rule out QC-induced selection on treatment as a plausible driver of the null. The contribution of this paper is therefore not a definitive assessment of cyclone–phenology relationships, but rather a reproducible toolkit that allows future studies to conduct such assessments with phenometric panels free of known artefacts.</w:t>
      </w:r>
    </w:p>
    <w:bookmarkEnd w:id="26"/>
    <w:bookmarkStart w:id="27" w:name="structure-of-the-paper"/>
    <w:p>
      <w:pPr>
        <w:pStyle w:val="Heading3"/>
      </w:pPr>
      <w:r>
        <w:t xml:space="preserve">1.5 Structure of the paper</w:t>
      </w:r>
    </w:p>
    <w:p>
      <w:pPr>
        <w:pStyle w:val="FirstParagraph"/>
      </w:pPr>
      <w:r>
        <w:t xml:space="preserve">Section 2 describes the study area, cyclone events, and all satellite and ancillary datasets. Section 3 presents the analytical pipeline: dekadal NDVI compositing, double-logistic phenometric extraction, the three-gate QC framework, the DiD estimating equation, the event-study specification, and wild-cluster bootstrap inference. Section 4 reports results: minimum-detectable effects, phenometric distributions before and after QC, the headline QC gate statistics, and the static DiD, event-study, and robustness estimates at both district-median and pixel resolution. Section 5 discusses the generalisability of the QC framework, the interpretation of the null cyclone effect, and the limitations of the design. Section 6 concludes.</w:t>
      </w:r>
    </w:p>
    <w:p>
      <w:r>
        <w:pict>
          <v:rect style="width:0;height:1.5pt" o:hralign="center" o:hrstd="t" o:hr="t"/>
        </w:pict>
      </w:r>
    </w:p>
    <w:bookmarkEnd w:id="27"/>
    <w:bookmarkEnd w:id="28"/>
    <w:bookmarkStart w:id="36" w:name="study-area-and-data"/>
    <w:p>
      <w:pPr>
        <w:pStyle w:val="Heading2"/>
      </w:pPr>
      <w:r>
        <w:t xml:space="preserve">2. Study Area and Data</w:t>
      </w:r>
    </w:p>
    <w:bookmarkStart w:id="32" w:name="study-area"/>
    <w:p>
      <w:pPr>
        <w:pStyle w:val="Heading3"/>
      </w:pPr>
      <w:r>
        <w:t xml:space="preserve">2.1 Study area</w:t>
      </w:r>
    </w:p>
    <w:p>
      <w:pPr>
        <w:pStyle w:val="FirstParagraph"/>
      </w:pPr>
      <w:r>
        <w:t xml:space="preserve">The study area encompasses eight districts of Odisha state, eastern India, divided into two groups: five coastal treatment districts and three inland control districts (Figure 1). The five coastal treatment districts — Baleshwar (BLS), Bhadrak (BHA), Kendrapara (KDP), Jagatsinghpur (JGS), and Puri (PUR) — form a contiguous coastal strip extending approximately 480 km along the northern Bay of Bengal shoreline, from the Subarnarekha River estuary in the north to Chilika Lake in the south. Combined, they cover approximately 14,000 km² of which roughly 50% is cropland under the European Space Agency (ESA) WorldCover v200 classification (Zanaga et al., 2022). Kharif rice is the dominant crop within this cropland fraction; published district-level statistics for these five districts report a combined Kharif paddy area on the order of 0.6–0.8 million hectares in a normal season, with Kharif rice (locally termed Sali rice) accounting for the majority of cropped area.</w:t>
      </w:r>
    </w:p>
    <w:p>
      <w:pPr>
        <w:pStyle w:val="BodyText"/>
      </w:pPr>
      <w:r>
        <w:t xml:space="preserve">The three inland control districts — Angul (ANG), Dhenkanal (DHK), and Cuttack (CTK) — are situated in the Mahanadi basin, more than 80 km from the nearest treatment landfall, and are categorically unexposed to Bay of Bengal storm surge. They share the same South-West monsoon rainfall climatology as the coastal districts and maintain comparable Kharif rice cropping systems, making them appropriate counterfactual units for a difference-in-differences design. Cuttack is the closest inland district to the coast and serves as a sensitivity anchor; the inland-control identification strategy is examined further through the cell-level robustness analysis in Supplement S4.</w:t>
      </w:r>
    </w:p>
    <w:p>
      <w:pPr>
        <w:pStyle w:val="BodyText"/>
      </w:pPr>
      <w:r>
        <w:t xml:space="preserve">The climate across all eight districts is classified as sub-tropical humid (Köppen Aw), with a South-West monsoon season from June to September that accounts for approximately 80% of annual precipitation. Mean annual rainfall ranges from approximately 1,400 mm in Puri district in the south to over 1,800 mm in Baleshwar in the north. The dominant rice cropping system is transplanted Kharif rice (locally termed Sali rice), with transplanting typically occurring from mid-June to early August, heading in September–October, and harvest in October–November.</w:t>
      </w:r>
    </w:p>
    <w:p>
      <w:pPr>
        <w:pStyle w:val="BodyText"/>
      </w:pPr>
      <w:r>
        <w:t xml:space="preserve">The phenometric extraction is performed on aggregated analysis cells nested within the WorldCover class 40 (cropland) mask; total cell counts per district range from 33 (Jagatsinghpur) to 107 (Angul) for a panel total of 520 cells across the 8 districts (Table 1). The total estimation panel is 48 district-year observations (8 districts × 6 years: 2019–2024), yielding 15 treatment × post observations (5 coastal districts × 3 cyclone years).</w:t>
      </w:r>
    </w:p>
    <w:p>
      <w:pPr>
        <w:pStyle w:val="BodyText"/>
      </w:pPr>
      <w:r>
        <w:rPr>
          <w:b/>
          <w:bCs/>
        </w:rPr>
        <w:t xml:space="preserve">Table 1. Study design summary: districts, treatment assignment, cyclone events, cell counts, and QC-passing sample sizes.</w:t>
      </w:r>
      <w:r>
        <w:t xml:space="preserve"> </w:t>
      </w:r>
      <w:r>
        <w:t xml:space="preserve">Each row is a district. Columns give: district name and code, treatment group assignment (coastal = treatment; inland = control), approximate number of WorldCover cropland pixels (10 m) within the district boundary, the cyclone events for which the district falls within the IBTrACS 50-km landfall buffer (treatment years only), the range of QC-passing cells (n_ok) across the 6-year panel, and the panel-average fit-failure rate (fraction of pixels excluded by the Whittaker/double-logistic failure criteria). The panel total is 48 district-year observations (8 districts × 6 years: 2019–2024), of which 15 are treatment × post (5 coastal × 3 cyclone years 2019–2021) and 33 are control or post-treatment observations.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District</w:t>
            </w:r>
          </w:p>
        </w:tc>
        <w:tc>
          <w:tcPr/>
          <w:p>
            <w:pPr>
              <w:pStyle w:val="Compact"/>
              <w:jc w:val="left"/>
            </w:pPr>
            <w:r>
              <w:t xml:space="preserve">Code</w:t>
            </w:r>
          </w:p>
        </w:tc>
        <w:tc>
          <w:tcPr/>
          <w:p>
            <w:pPr>
              <w:pStyle w:val="Compact"/>
              <w:jc w:val="left"/>
            </w:pPr>
            <w:r>
              <w:t xml:space="preserve">Group</w:t>
            </w:r>
          </w:p>
        </w:tc>
        <w:tc>
          <w:tcPr/>
          <w:p>
            <w:pPr>
              <w:pStyle w:val="Compact"/>
              <w:jc w:val="left"/>
            </w:pPr>
            <w:r>
              <w:t xml:space="preserve">Cyclone events</w:t>
            </w:r>
          </w:p>
        </w:tc>
        <w:tc>
          <w:tcPr/>
          <w:p>
            <w:pPr>
              <w:pStyle w:val="Compact"/>
              <w:jc w:val="left"/>
            </w:pPr>
            <w:r>
              <w:t xml:space="preserve">n_cells</w:t>
            </w:r>
          </w:p>
        </w:tc>
        <w:tc>
          <w:tcPr/>
          <w:p>
            <w:pPr>
              <w:pStyle w:val="Compact"/>
              <w:jc w:val="left"/>
            </w:pPr>
            <w:r>
              <w:t xml:space="preserve">n_ok range</w:t>
            </w:r>
          </w:p>
        </w:tc>
        <w:tc>
          <w:tcPr/>
          <w:p>
            <w:pPr>
              <w:pStyle w:val="Compact"/>
              <w:jc w:val="left"/>
            </w:pPr>
            <w:r>
              <w:t xml:space="preserve">Mean fit-fail rate</w:t>
            </w:r>
          </w:p>
        </w:tc>
      </w:tr>
      <w:tr>
        <w:tc>
          <w:tcPr/>
          <w:p>
            <w:pPr>
              <w:pStyle w:val="Compact"/>
              <w:jc w:val="left"/>
            </w:pPr>
            <w:r>
              <w:t xml:space="preserve">Angul</w:t>
            </w:r>
          </w:p>
        </w:tc>
        <w:tc>
          <w:tcPr/>
          <w:p>
            <w:pPr>
              <w:pStyle w:val="Compact"/>
              <w:jc w:val="left"/>
            </w:pPr>
            <w:r>
              <w:t xml:space="preserve">ANG</w:t>
            </w:r>
          </w:p>
        </w:tc>
        <w:tc>
          <w:tcPr/>
          <w:p>
            <w:pPr>
              <w:pStyle w:val="Compact"/>
              <w:jc w:val="left"/>
            </w:pPr>
            <w:r>
              <w:t xml:space="preserve">Control</w:t>
            </w:r>
          </w:p>
        </w:tc>
        <w:tc>
          <w:tcPr/>
          <w:p>
            <w:pPr>
              <w:pStyle w:val="Compact"/>
              <w:jc w:val="left"/>
            </w:pPr>
            <w:r>
              <w:t xml:space="preserve">None</w:t>
            </w:r>
          </w:p>
        </w:tc>
        <w:tc>
          <w:tcPr/>
          <w:p>
            <w:pPr>
              <w:pStyle w:val="Compact"/>
              <w:jc w:val="left"/>
            </w:pPr>
            <w:r>
              <w:t xml:space="preserve">107</w:t>
            </w:r>
          </w:p>
        </w:tc>
        <w:tc>
          <w:tcPr/>
          <w:p>
            <w:pPr>
              <w:pStyle w:val="Compact"/>
              <w:jc w:val="left"/>
            </w:pPr>
            <w:r>
              <w:t xml:space="preserve">5–77</w:t>
            </w:r>
          </w:p>
        </w:tc>
        <w:tc>
          <w:tcPr/>
          <w:p>
            <w:pPr>
              <w:pStyle w:val="Compact"/>
              <w:jc w:val="left"/>
            </w:pPr>
            <w:r>
              <w:t xml:space="preserve">0.68</w:t>
            </w:r>
          </w:p>
        </w:tc>
      </w:tr>
      <w:tr>
        <w:tc>
          <w:tcPr/>
          <w:p>
            <w:pPr>
              <w:pStyle w:val="Compact"/>
              <w:jc w:val="left"/>
            </w:pPr>
            <w:r>
              <w:t xml:space="preserve">Baleshwar</w:t>
            </w:r>
          </w:p>
        </w:tc>
        <w:tc>
          <w:tcPr/>
          <w:p>
            <w:pPr>
              <w:pStyle w:val="Compact"/>
              <w:jc w:val="left"/>
            </w:pPr>
            <w:r>
              <w:t xml:space="preserve">BLS</w:t>
            </w:r>
          </w:p>
        </w:tc>
        <w:tc>
          <w:tcPr/>
          <w:p>
            <w:pPr>
              <w:pStyle w:val="Compact"/>
              <w:jc w:val="left"/>
            </w:pPr>
            <w:r>
              <w:t xml:space="preserve">Treatment</w:t>
            </w:r>
          </w:p>
        </w:tc>
        <w:tc>
          <w:tcPr/>
          <w:p>
            <w:pPr>
              <w:pStyle w:val="Compact"/>
              <w:jc w:val="left"/>
            </w:pPr>
            <w:r>
              <w:t xml:space="preserve">Fani, Yaas</w:t>
            </w:r>
          </w:p>
        </w:tc>
        <w:tc>
          <w:tcPr/>
          <w:p>
            <w:pPr>
              <w:pStyle w:val="Compact"/>
              <w:jc w:val="left"/>
            </w:pPr>
            <w:r>
              <w:t xml:space="preserve">70</w:t>
            </w:r>
          </w:p>
        </w:tc>
        <w:tc>
          <w:tcPr/>
          <w:p>
            <w:pPr>
              <w:pStyle w:val="Compact"/>
              <w:jc w:val="left"/>
            </w:pPr>
            <w:r>
              <w:t xml:space="preserve">18–54</w:t>
            </w:r>
          </w:p>
        </w:tc>
        <w:tc>
          <w:tcPr/>
          <w:p>
            <w:pPr>
              <w:pStyle w:val="Compact"/>
              <w:jc w:val="left"/>
            </w:pPr>
            <w:r>
              <w:t xml:space="preserve">0.51</w:t>
            </w:r>
          </w:p>
        </w:tc>
      </w:tr>
      <w:tr>
        <w:tc>
          <w:tcPr/>
          <w:p>
            <w:pPr>
              <w:pStyle w:val="Compact"/>
              <w:jc w:val="left"/>
            </w:pPr>
            <w:r>
              <w:t xml:space="preserve">Bhadrak</w:t>
            </w:r>
          </w:p>
        </w:tc>
        <w:tc>
          <w:tcPr/>
          <w:p>
            <w:pPr>
              <w:pStyle w:val="Compact"/>
              <w:jc w:val="left"/>
            </w:pPr>
            <w:r>
              <w:t xml:space="preserve">BHA</w:t>
            </w:r>
          </w:p>
        </w:tc>
        <w:tc>
          <w:tcPr/>
          <w:p>
            <w:pPr>
              <w:pStyle w:val="Compact"/>
              <w:jc w:val="left"/>
            </w:pPr>
            <w:r>
              <w:t xml:space="preserve">Treatment</w:t>
            </w:r>
          </w:p>
        </w:tc>
        <w:tc>
          <w:tcPr/>
          <w:p>
            <w:pPr>
              <w:pStyle w:val="Compact"/>
              <w:jc w:val="left"/>
            </w:pPr>
            <w:r>
              <w:t xml:space="preserve">Fani, Amphan</w:t>
            </w:r>
          </w:p>
        </w:tc>
        <w:tc>
          <w:tcPr/>
          <w:p>
            <w:pPr>
              <w:pStyle w:val="Compact"/>
              <w:jc w:val="left"/>
            </w:pPr>
            <w:r>
              <w:t xml:space="preserve">46</w:t>
            </w:r>
          </w:p>
        </w:tc>
        <w:tc>
          <w:tcPr/>
          <w:p>
            <w:pPr>
              <w:pStyle w:val="Compact"/>
              <w:jc w:val="left"/>
            </w:pPr>
            <w:r>
              <w:t xml:space="preserve">11–28</w:t>
            </w:r>
          </w:p>
        </w:tc>
        <w:tc>
          <w:tcPr/>
          <w:p>
            <w:pPr>
              <w:pStyle w:val="Compact"/>
              <w:jc w:val="left"/>
            </w:pPr>
            <w:r>
              <w:t xml:space="preserve">0.63</w:t>
            </w:r>
          </w:p>
        </w:tc>
      </w:tr>
      <w:tr>
        <w:tc>
          <w:tcPr/>
          <w:p>
            <w:pPr>
              <w:pStyle w:val="Compact"/>
              <w:jc w:val="left"/>
            </w:pPr>
            <w:r>
              <w:t xml:space="preserve">Cuttack</w:t>
            </w:r>
          </w:p>
        </w:tc>
        <w:tc>
          <w:tcPr/>
          <w:p>
            <w:pPr>
              <w:pStyle w:val="Compact"/>
              <w:jc w:val="left"/>
            </w:pPr>
            <w:r>
              <w:t xml:space="preserve">CTK</w:t>
            </w:r>
          </w:p>
        </w:tc>
        <w:tc>
          <w:tcPr/>
          <w:p>
            <w:pPr>
              <w:pStyle w:val="Compact"/>
              <w:jc w:val="left"/>
            </w:pPr>
            <w:r>
              <w:t xml:space="preserve">Control</w:t>
            </w:r>
          </w:p>
        </w:tc>
        <w:tc>
          <w:tcPr/>
          <w:p>
            <w:pPr>
              <w:pStyle w:val="Compact"/>
              <w:jc w:val="left"/>
            </w:pPr>
            <w:r>
              <w:t xml:space="preserve">None</w:t>
            </w:r>
          </w:p>
        </w:tc>
        <w:tc>
          <w:tcPr/>
          <w:p>
            <w:pPr>
              <w:pStyle w:val="Compact"/>
              <w:jc w:val="left"/>
            </w:pPr>
            <w:r>
              <w:t xml:space="preserve">82</w:t>
            </w:r>
          </w:p>
        </w:tc>
        <w:tc>
          <w:tcPr/>
          <w:p>
            <w:pPr>
              <w:pStyle w:val="Compact"/>
              <w:jc w:val="left"/>
            </w:pPr>
            <w:r>
              <w:t xml:space="preserve">17–57</w:t>
            </w:r>
          </w:p>
        </w:tc>
        <w:tc>
          <w:tcPr/>
          <w:p>
            <w:pPr>
              <w:pStyle w:val="Compact"/>
              <w:jc w:val="left"/>
            </w:pPr>
            <w:r>
              <w:t xml:space="preserve">0.55</w:t>
            </w:r>
          </w:p>
        </w:tc>
      </w:tr>
      <w:tr>
        <w:tc>
          <w:tcPr/>
          <w:p>
            <w:pPr>
              <w:pStyle w:val="Compact"/>
              <w:jc w:val="left"/>
            </w:pPr>
            <w:r>
              <w:t xml:space="preserve">Dhenkanal</w:t>
            </w:r>
          </w:p>
        </w:tc>
        <w:tc>
          <w:tcPr/>
          <w:p>
            <w:pPr>
              <w:pStyle w:val="Compact"/>
              <w:jc w:val="left"/>
            </w:pPr>
            <w:r>
              <w:t xml:space="preserve">DHK</w:t>
            </w:r>
          </w:p>
        </w:tc>
        <w:tc>
          <w:tcPr/>
          <w:p>
            <w:pPr>
              <w:pStyle w:val="Compact"/>
              <w:jc w:val="left"/>
            </w:pPr>
            <w:r>
              <w:t xml:space="preserve">Control</w:t>
            </w:r>
          </w:p>
        </w:tc>
        <w:tc>
          <w:tcPr/>
          <w:p>
            <w:pPr>
              <w:pStyle w:val="Compact"/>
              <w:jc w:val="left"/>
            </w:pPr>
            <w:r>
              <w:t xml:space="preserve">None</w:t>
            </w:r>
          </w:p>
        </w:tc>
        <w:tc>
          <w:tcPr/>
          <w:p>
            <w:pPr>
              <w:pStyle w:val="Compact"/>
              <w:jc w:val="left"/>
            </w:pPr>
            <w:r>
              <w:t xml:space="preserve">74</w:t>
            </w:r>
          </w:p>
        </w:tc>
        <w:tc>
          <w:tcPr/>
          <w:p>
            <w:pPr>
              <w:pStyle w:val="Compact"/>
              <w:jc w:val="left"/>
            </w:pPr>
            <w:r>
              <w:t xml:space="preserve">14–62</w:t>
            </w:r>
          </w:p>
        </w:tc>
        <w:tc>
          <w:tcPr/>
          <w:p>
            <w:pPr>
              <w:pStyle w:val="Compact"/>
              <w:jc w:val="left"/>
            </w:pPr>
            <w:r>
              <w:t xml:space="preserve">0.56</w:t>
            </w:r>
          </w:p>
        </w:tc>
      </w:tr>
      <w:tr>
        <w:tc>
          <w:tcPr/>
          <w:p>
            <w:pPr>
              <w:pStyle w:val="Compact"/>
              <w:jc w:val="left"/>
            </w:pPr>
            <w:r>
              <w:t xml:space="preserve">Jagatsinghpur</w:t>
            </w:r>
          </w:p>
        </w:tc>
        <w:tc>
          <w:tcPr/>
          <w:p>
            <w:pPr>
              <w:pStyle w:val="Compact"/>
              <w:jc w:val="left"/>
            </w:pPr>
            <w:r>
              <w:t xml:space="preserve">JGS</w:t>
            </w:r>
          </w:p>
        </w:tc>
        <w:tc>
          <w:tcPr/>
          <w:p>
            <w:pPr>
              <w:pStyle w:val="Compact"/>
              <w:jc w:val="left"/>
            </w:pPr>
            <w:r>
              <w:t xml:space="preserve">Treatment</w:t>
            </w:r>
          </w:p>
        </w:tc>
        <w:tc>
          <w:tcPr/>
          <w:p>
            <w:pPr>
              <w:pStyle w:val="Compact"/>
              <w:jc w:val="left"/>
            </w:pPr>
            <w:r>
              <w:t xml:space="preserve">Fani, Amphan</w:t>
            </w:r>
          </w:p>
        </w:tc>
        <w:tc>
          <w:tcPr/>
          <w:p>
            <w:pPr>
              <w:pStyle w:val="Compact"/>
              <w:jc w:val="left"/>
            </w:pPr>
            <w:r>
              <w:t xml:space="preserve">33</w:t>
            </w:r>
          </w:p>
        </w:tc>
        <w:tc>
          <w:tcPr/>
          <w:p>
            <w:pPr>
              <w:pStyle w:val="Compact"/>
              <w:jc w:val="left"/>
            </w:pPr>
            <w:r>
              <w:t xml:space="preserve">10–19</w:t>
            </w:r>
          </w:p>
        </w:tc>
        <w:tc>
          <w:tcPr/>
          <w:p>
            <w:pPr>
              <w:pStyle w:val="Compact"/>
              <w:jc w:val="left"/>
            </w:pPr>
            <w:r>
              <w:t xml:space="preserve">0.54</w:t>
            </w:r>
          </w:p>
        </w:tc>
      </w:tr>
      <w:tr>
        <w:tc>
          <w:tcPr/>
          <w:p>
            <w:pPr>
              <w:pStyle w:val="Compact"/>
              <w:jc w:val="left"/>
            </w:pPr>
            <w:r>
              <w:t xml:space="preserve">Kendrapara</w:t>
            </w:r>
          </w:p>
        </w:tc>
        <w:tc>
          <w:tcPr/>
          <w:p>
            <w:pPr>
              <w:pStyle w:val="Compact"/>
              <w:jc w:val="left"/>
            </w:pPr>
            <w:r>
              <w:t xml:space="preserve">KDP</w:t>
            </w:r>
          </w:p>
        </w:tc>
        <w:tc>
          <w:tcPr/>
          <w:p>
            <w:pPr>
              <w:pStyle w:val="Compact"/>
              <w:jc w:val="left"/>
            </w:pPr>
            <w:r>
              <w:t xml:space="preserve">Treatment</w:t>
            </w:r>
          </w:p>
        </w:tc>
        <w:tc>
          <w:tcPr/>
          <w:p>
            <w:pPr>
              <w:pStyle w:val="Compact"/>
              <w:jc w:val="left"/>
            </w:pPr>
            <w:r>
              <w:t xml:space="preserve">Fani, Amphan</w:t>
            </w:r>
          </w:p>
        </w:tc>
        <w:tc>
          <w:tcPr/>
          <w:p>
            <w:pPr>
              <w:pStyle w:val="Compact"/>
              <w:jc w:val="left"/>
            </w:pPr>
            <w:r>
              <w:t xml:space="preserve">45</w:t>
            </w:r>
          </w:p>
        </w:tc>
        <w:tc>
          <w:tcPr/>
          <w:p>
            <w:pPr>
              <w:pStyle w:val="Compact"/>
              <w:jc w:val="left"/>
            </w:pPr>
            <w:r>
              <w:t xml:space="preserve">5–24</w:t>
            </w:r>
          </w:p>
        </w:tc>
        <w:tc>
          <w:tcPr/>
          <w:p>
            <w:pPr>
              <w:pStyle w:val="Compact"/>
              <w:jc w:val="left"/>
            </w:pPr>
            <w:r>
              <w:t xml:space="preserve">0.70</w:t>
            </w:r>
          </w:p>
        </w:tc>
      </w:tr>
      <w:tr>
        <w:tc>
          <w:tcPr/>
          <w:p>
            <w:pPr>
              <w:pStyle w:val="Compact"/>
              <w:jc w:val="left"/>
            </w:pPr>
            <w:r>
              <w:t xml:space="preserve">Puri</w:t>
            </w:r>
          </w:p>
        </w:tc>
        <w:tc>
          <w:tcPr/>
          <w:p>
            <w:pPr>
              <w:pStyle w:val="Compact"/>
              <w:jc w:val="left"/>
            </w:pPr>
            <w:r>
              <w:t xml:space="preserve">PUR</w:t>
            </w:r>
          </w:p>
        </w:tc>
        <w:tc>
          <w:tcPr/>
          <w:p>
            <w:pPr>
              <w:pStyle w:val="Compact"/>
              <w:jc w:val="left"/>
            </w:pPr>
            <w:r>
              <w:t xml:space="preserve">Treatment</w:t>
            </w:r>
          </w:p>
        </w:tc>
        <w:tc>
          <w:tcPr/>
          <w:p>
            <w:pPr>
              <w:pStyle w:val="Compact"/>
              <w:jc w:val="left"/>
            </w:pPr>
            <w:r>
              <w:t xml:space="preserve">Fani</w:t>
            </w:r>
          </w:p>
        </w:tc>
        <w:tc>
          <w:tcPr/>
          <w:p>
            <w:pPr>
              <w:pStyle w:val="Compact"/>
              <w:jc w:val="left"/>
            </w:pPr>
            <w:r>
              <w:t xml:space="preserve">63</w:t>
            </w:r>
          </w:p>
        </w:tc>
        <w:tc>
          <w:tcPr/>
          <w:p>
            <w:pPr>
              <w:pStyle w:val="Compact"/>
              <w:jc w:val="left"/>
            </w:pPr>
            <w:r>
              <w:t xml:space="preserve">5–29</w:t>
            </w:r>
          </w:p>
        </w:tc>
        <w:tc>
          <w:tcPr/>
          <w:p>
            <w:pPr>
              <w:pStyle w:val="Compact"/>
              <w:jc w:val="left"/>
            </w:pPr>
            <w:r>
              <w:t xml:space="preserve">0.70</w:t>
            </w:r>
          </w:p>
        </w:tc>
      </w:tr>
    </w:tbl>
    <w:p>
      <w:pPr>
        <w:pStyle w:val="BodyText"/>
      </w:pPr>
      <w:r>
        <w:rPr>
          <w:i/>
          <w:iCs/>
        </w:rPr>
        <w:t xml:space="preserve">Source: analysis/baci_panel_real_v22.csv. Abbreviations: QC = quality control; n_ok = number of pixels meeting the v2.0 QC criteria in a given district-year; IBTrACS = International Best Track Archive for Climate Stewardship. District codes: ANG = Angul, BLS = Baleshwar, BHA = Bhadrak, CTK = Cuttack, DHK = Dhenkanal, JGS = Jagatsinghpur, KDP = Kendrapara, PUR = Puri. Fit-fail rate = fraction of WorldCover cropland pixels excluded from phenometric extraction due to insufficient valid observations or poor fit quality. Cyclone exposure follows the IBTrACS 50-km track buffer.</w:t>
      </w:r>
    </w:p>
    <w:p>
      <w:pPr>
        <w:pStyle w:val="CaptionedFigure"/>
      </w:pPr>
      <w:r>
        <w:drawing>
          <wp:inline>
            <wp:extent cx="5334000" cy="3733799"/>
            <wp:effectExtent b="0" l="0" r="0" t="0"/>
            <wp:docPr descr="Figure 1. Study area and cyclone exposure. (a) India-wide reference map with Odisha state highlighted in orange and the study extent (eight Odisha districts) outlined by the red rectangle; national boundaries follow the Survey of India composite outline to preserve the official Jammu &amp; Kashmir and Ladakh depictions. (b) Main study-area map showing the eight Odisha districts partitioned into five coastal treatment units (orange fill: Baleshwar, Bhadrak, Kendrapara, Jagatsinghpur, Puri; n = 5) and three inland control units (blue fill: Angul, Dhenkanal, Cuttack; n = 3), overlaid with International Best Track Archive for Climate Stewardship (IBTrACS) best-track paths and India Meteorological Department (IMD)-documented landfall sites for the three pre-Kharif cyclones — Cyclone Fani (3 May 2019, ESCS), Cyclone Amphan (20 May 2020, SuCS) and Cyclone Yaas (26 May 2021, VSCS). Coloured stars mark the IMD-documented landfall sites from official Regional Specialised Meteorological Centre (RSMC) New Delhi post-cyclone reports: Fani near Puri (≈19.80°N / 85.83°E, ≈02:30 Coordinated Universal Time (UTC) 03 May 2019); Amphan at Bakkhali, Sundarbans, West Bengal (≈21.60°N / 88.25°E, ≈09:00 UTC 20 May 2020); Yaas near Bahanaga/Dhamra on the Bhadrak–Baleshwar coast (≈21.42°N / 86.94°E, ≈05:30 UTC 26 May 2021). Dotted rings around each landfall star delineate the 50-km landfall buffer used to define treatment exposure (§2.1, §2.2). District polygons are drawn from geoBoundaries Open IND (India, International Organization for Standardization (ISO) 3166-1 alpha-3 country code) ADM2 (Administrative Level 2) (Runfola et al., 2020); national / state outlines in panel (a) are derived from Natural Earth public-domain vector data at 1:50 m and 1:10 m scales (Patterson &amp; Kelso, 2024); cyclone tracks are IBTrACS version 04r01 best-track positions (Knapp et al., 2010). IMD intensity categories: ESCS = Extremely Severe Cyclonic Storm; SuCS = Super Cyclonic Storm; VSCS = Very Severe Cyclonic Storm. Coordinate reference system: World Geodetic System 1984 (WGS 84; European Petroleum Survey Group code EPSG:4326) for display; 50-km buffers were computed in EPSG:7755 (India Lambert Conformal Conic) and reprojected to EPSG:4326. Compass arrow indicates true north (N); scale bar 100 km. Source script: rse_final/build_fig1_real.py." title="" id="30" name="Picture"/>
            <a:graphic>
              <a:graphicData uri="http://schemas.openxmlformats.org/drawingml/2006/picture">
                <pic:pic>
                  <pic:nvPicPr>
                    <pic:cNvPr descr="figures/fig1_study_area.jpg" id="31" name="Picture"/>
                    <pic:cNvPicPr>
                      <a:picLocks noChangeArrowheads="1" noChangeAspect="1"/>
                    </pic:cNvPicPr>
                  </pic:nvPicPr>
                  <pic:blipFill>
                    <a:blip r:embed="rId29"/>
                    <a:stretch>
                      <a:fillRect/>
                    </a:stretch>
                  </pic:blipFill>
                  <pic:spPr bwMode="auto">
                    <a:xfrm>
                      <a:off x="0" y="0"/>
                      <a:ext cx="5334000" cy="3733799"/>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Study area and cyclone exposure.</w:t>
      </w:r>
      <w:r>
        <w:t xml:space="preserve"> </w:t>
      </w:r>
      <w:r>
        <w:rPr>
          <w:b/>
          <w:bCs/>
        </w:rPr>
        <w:t xml:space="preserve">(a)</w:t>
      </w:r>
      <w:r>
        <w:t xml:space="preserve"> </w:t>
      </w:r>
      <w:r>
        <w:t xml:space="preserve">India-wide reference map with Odisha state highlighted in orange and the study extent (eight Odisha districts) outlined by the red rectangle; national boundaries follow the Survey of India composite outline to preserve the official Jammu &amp; Kashmir and Ladakh depictions.</w:t>
      </w:r>
      <w:r>
        <w:t xml:space="preserve"> </w:t>
      </w:r>
      <w:r>
        <w:rPr>
          <w:b/>
          <w:bCs/>
        </w:rPr>
        <w:t xml:space="preserve">(b)</w:t>
      </w:r>
      <w:r>
        <w:t xml:space="preserve"> </w:t>
      </w:r>
      <w:r>
        <w:t xml:space="preserve">Main study-area map showing the eight Odisha districts partitioned into five coastal treatment units (orange fill: Baleshwar, Bhadrak, Kendrapara, Jagatsinghpur, Puri; n = 5) and three inland control units (blue fill: Angul, Dhenkanal, Cuttack; n = 3), overlaid with International Best Track Archive for Climate Stewardship (IBTrACS) best-track paths and India Meteorological Department (IMD)-documented landfall sites for the three pre-Kharif cyclones — Cyclone Fani (3 May 2019, ESCS), Cyclone Amphan (20 May 2020, SuCS) and Cyclone Yaas (26 May 2021, VSCS). Coloured stars mark the IMD-documented landfall sites from official Regional Specialised Meteorological Centre (RSMC) New Delhi post-cyclone reports: Fani near Puri (≈19.80°N / 85.83°E, ≈02:30 Coordinated Universal Time (UTC) 03 May 2019); Amphan at Bakkhali, Sundarbans, West Bengal (≈21.60°N / 88.25°E, ≈09:00 UTC 20 May 2020); Yaas near Bahanaga/Dhamra on the Bhadrak–Baleshwar coast (≈21.42°N / 86.94°E, ≈05:30 UTC 26 May 2021). Dotted rings around each landfall star delineate the 50-km landfall buffer used to define treatment exposure (§2.1, §2.2). District polygons are drawn from geoBoundaries Open IND (India, International Organization for Standardization (ISO) 3166-1 alpha-3 country code) ADM2 (Administrative Level 2) (Runfola et al., 2020); national / state outlines in panel (a) are derived from Natural Earth public-domain vector data at 1:50 m and 1:10 m scales (Patterson &amp; Kelso, 2024); cyclone tracks are IBTrACS version 04r01 best-track positions (Knapp et al., 2010). IMD intensity categories: ESCS = Extremely Severe Cyclonic Storm; SuCS = Super Cyclonic Storm; VSCS = Very Severe Cyclonic Storm. Coordinate reference system: World Geodetic System 1984 (WGS 84; European Petroleum Survey Group code EPSG:4326) for display; 50-km buffers were computed in EPSG:7755 (India Lambert Conformal Conic) and reprojected to EPSG:4326. Compass arrow indicates true north (N); scale bar 100 km. Source script:</w:t>
      </w:r>
      <w:r>
        <w:t xml:space="preserve"> </w:t>
      </w:r>
      <w:r>
        <w:rPr>
          <w:rStyle w:val="VerbatimChar"/>
        </w:rPr>
        <w:t xml:space="preserve">rse_final/build_fig1_real.py</w:t>
      </w:r>
      <w:r>
        <w:t xml:space="preserve">.</w:t>
      </w:r>
    </w:p>
    <w:bookmarkEnd w:id="32"/>
    <w:bookmarkStart w:id="33" w:name="cyclone-events"/>
    <w:p>
      <w:pPr>
        <w:pStyle w:val="Heading3"/>
      </w:pPr>
      <w:r>
        <w:t xml:space="preserve">2.2 Cyclone events</w:t>
      </w:r>
    </w:p>
    <w:p>
      <w:pPr>
        <w:pStyle w:val="FirstParagraph"/>
      </w:pPr>
      <w:r>
        <w:t xml:space="preserve">Three major tropical cyclones made landfall along or near the coastal Odisha study area within three consecutive pre-Kharif seasons, providing the treatment variation for the DiD design.</w:t>
      </w:r>
    </w:p>
    <w:p>
      <w:pPr>
        <w:pStyle w:val="BodyText"/>
      </w:pPr>
      <w:r>
        <w:rPr>
          <w:b/>
          <w:bCs/>
        </w:rPr>
        <w:t xml:space="preserve">Cyclone Fani (3 May 2019)</w:t>
      </w:r>
      <w:r>
        <w:t xml:space="preserve"> </w:t>
      </w:r>
      <w:r>
        <w:t xml:space="preserve">was an Extremely Severe Cyclonic Storm (ESCS) that made landfall near Puri with peak 3-min sustained winds of approximately 200–210 km h⁻¹ at peak intensity and approximately 175–185 km h⁻¹ at landfall, accompanied by a storm surge of 1.0–1.5 m along the Puri–Kendrapara coastline (Knapp et al., 2010; India Meteorological Department (IMD) post-landfall report). Fani is one of the most intense cyclones to have made landfall in Odisha in the modern observational record and caused widespread inundation and agricultural damage across all five treatment districts.</w:t>
      </w:r>
    </w:p>
    <w:p>
      <w:pPr>
        <w:pStyle w:val="BodyText"/>
      </w:pPr>
      <w:r>
        <w:rPr>
          <w:b/>
          <w:bCs/>
        </w:rPr>
        <w:t xml:space="preserve">Cyclone Amphan (20 May 2020)</w:t>
      </w:r>
      <w:r>
        <w:t xml:space="preserve"> </w:t>
      </w:r>
      <w:r>
        <w:t xml:space="preserve">was a Super Cyclonic Storm (SuCS) that made primary landfall on the Sundarbans coast of West Bengal but produced significant surge and rainfall in Baleshwar and Bhadrak districts in northern Odisha. Peak winds at landfall were approximately 150–160 km h⁻¹ with a surge height of 1.5–2.0 m (Knapp et al., 2010).</w:t>
      </w:r>
    </w:p>
    <w:p>
      <w:pPr>
        <w:pStyle w:val="BodyText"/>
      </w:pPr>
      <w:r>
        <w:rPr>
          <w:b/>
          <w:bCs/>
        </w:rPr>
        <w:t xml:space="preserve">Cyclone Yaas (26 May 2021)</w:t>
      </w:r>
      <w:r>
        <w:t xml:space="preserve"> </w:t>
      </w:r>
      <w:r>
        <w:t xml:space="preserve">was a Very Severe Cyclonic Storm (VSCS) that made landfall near Baleshwar, Odisha, with peak winds of approximately 140 km h⁻¹ (gusting to 155 km h⁻¹) and a storm surge of 1.0–2.0 m inundating Baleshwar and Bhadrak districts (Knapp et al., 2010).</w:t>
      </w:r>
    </w:p>
    <w:p>
      <w:pPr>
        <w:pStyle w:val="BodyText"/>
      </w:pPr>
      <w:r>
        <w:t xml:space="preserve">All three events made landfall between 3 May and 26 May, four to eight weeks before the typical Kharif transplanting window (mid-June to early August). Cyclone track data and intensity time series were obtained from the NOAA/NCEI IBTrACS v04r01 archive (Knapp et al., 2010; https://www.ncei.noaa.gov/products/international-best-track-archive). The post-monsoon seasons of 2022, 2023, and 2024 form the control period in the panel; no IBTrACS-catalogued cyclone track penetrated within 100 km of the study area during these seasons. Supplement S2 (Figure S1) places the 2019–2021 treatment cluster in the full 1990–2024 IBTrACS climatology of pre-Kharif Bay of Bengal landfalls and documents the formal Poisson test (p ≈ 0.04) under which the three consecutive landfalls within a six-year window are statistically unusual at approximately the 5% level.</w:t>
      </w:r>
    </w:p>
    <w:bookmarkEnd w:id="33"/>
    <w:bookmarkStart w:id="34" w:name="satellite-data"/>
    <w:p>
      <w:pPr>
        <w:pStyle w:val="Heading3"/>
      </w:pPr>
      <w:r>
        <w:t xml:space="preserve">2.3 Satellite data</w:t>
      </w:r>
    </w:p>
    <w:p>
      <w:pPr>
        <w:pStyle w:val="FirstParagraph"/>
      </w:pPr>
      <w:r>
        <w:t xml:space="preserve">All satellite and ancillary datasets were accessed via the GEE cloud computing platform (Gorelick et al., 2017). The four data sources used are described in the four sub-paragraphs that follow.</w:t>
      </w:r>
    </w:p>
    <w:p>
      <w:pPr>
        <w:pStyle w:val="BodyText"/>
      </w:pPr>
      <w:r>
        <w:rPr>
          <w:b/>
          <w:bCs/>
        </w:rPr>
        <w:t xml:space="preserve">Sentinel-2 L2A.</w:t>
      </w:r>
      <w:r>
        <w:t xml:space="preserve"> </w:t>
      </w:r>
      <w:r>
        <w:t xml:space="preserve">Surface reflectance data from the harmonised Sentinel-2 (S2) Level-2A (L2A) collection (Google Earth Engine collection ID:</w:t>
      </w:r>
      <w:r>
        <w:t xml:space="preserve"> </w:t>
      </w:r>
      <w:r>
        <w:rPr>
          <w:rStyle w:val="VerbatimChar"/>
        </w:rPr>
        <w:t xml:space="preserve">COPERNICUS/S2_SR_HARMONIZED</w:t>
      </w:r>
      <w:r>
        <w:t xml:space="preserve">) were used for NDVI time series construction. The harmonised collection applies processing-baseline corrections to ensure radiometric consistency across the full 2017–2024 archive. Cloud and cloud-shadow pixels were masked using the Sentinel-2 Scene Classification Layer (SCL); only pixels classified as vegetation (SCL 4) or bare soil (SCL 5) were retained for cropland NDVI compositing, with all cloud, shadow, snow, water, and saturated classes flagged as invalid. NDVI was computed as (B8 − B4)/(B8 + B4) per valid observation.</w:t>
      </w:r>
    </w:p>
    <w:p>
      <w:pPr>
        <w:pStyle w:val="BodyText"/>
      </w:pPr>
      <w:r>
        <w:rPr>
          <w:b/>
          <w:bCs/>
        </w:rPr>
        <w:t xml:space="preserve">ESA WorldCover v200.</w:t>
      </w:r>
      <w:r>
        <w:t xml:space="preserve"> </w:t>
      </w:r>
      <w:r>
        <w:t xml:space="preserve">The 10-m global land cover product (Zanaga et al., 2022; GEE:</w:t>
      </w:r>
      <w:r>
        <w:t xml:space="preserve"> </w:t>
      </w:r>
      <w:r>
        <w:rPr>
          <w:rStyle w:val="VerbatimChar"/>
        </w:rPr>
        <w:t xml:space="preserve">ESA/WorldCover/v200</w:t>
      </w:r>
      <w:r>
        <w:t xml:space="preserve">) was used to restrict analysis to cropland pixels (class 40). All non-cropland pixels were excluded from phenometric extraction to prevent contamination of district medians by non-agricultural vegetation signals.</w:t>
      </w:r>
    </w:p>
    <w:p>
      <w:pPr>
        <w:pStyle w:val="BodyText"/>
      </w:pPr>
      <w:r>
        <w:rPr>
          <w:b/>
          <w:bCs/>
        </w:rPr>
        <w:t xml:space="preserve">IBTrACS v04r01.</w:t>
      </w:r>
      <w:r>
        <w:t xml:space="preserve"> </w:t>
      </w:r>
      <w:r>
        <w:t xml:space="preserve">Cyclone track, intensity, and landfall data for Fani, Amphan, and Yaas were obtained from the International Best Track Archive for Climate Stewardship (Knapp et al., 2010). A 50-km IBTrACS radius buffer was used to define the spatial extent of cyclone exposure in the treatment allocation; all five coastal treatment districts lie within or adjacent to this buffer for at least one of the three events.</w:t>
      </w:r>
    </w:p>
    <w:p>
      <w:pPr>
        <w:pStyle w:val="BodyText"/>
      </w:pPr>
      <w:r>
        <w:rPr>
          <w:b/>
          <w:bCs/>
        </w:rPr>
        <w:t xml:space="preserve">ERA5-Land.</w:t>
      </w:r>
      <w:r>
        <w:t xml:space="preserve"> </w:t>
      </w:r>
      <w:r>
        <w:t xml:space="preserve">Daily precipitation and 10-m wind speed (u and v components) from the European Centre for Medium-range Weather Forecasts (ECMWF) ERA5-Land Daily Aggregates product (GEE:</w:t>
      </w:r>
      <w:r>
        <w:t xml:space="preserve"> </w:t>
      </w:r>
      <w:r>
        <w:rPr>
          <w:rStyle w:val="VerbatimChar"/>
        </w:rPr>
        <w:t xml:space="preserve">ECMWF/ERA5_LAND/DAILY_AGGR</w:t>
      </w:r>
      <w:r>
        <w:t xml:space="preserve">) were used for cyclone event identification and for contextual characterisation of the monsoon rainfall distribution across treatment and control districts. No ERA5 variable enters the phenometric extraction pipeline in v2.0 (unlike v1.0.2 where it was used in the saline-flood classifier); it is retained here for contextual validation.</w:t>
      </w:r>
    </w:p>
    <w:bookmarkEnd w:id="34"/>
    <w:bookmarkStart w:id="35" w:name="cropland-mask-and-cell-counts"/>
    <w:p>
      <w:pPr>
        <w:pStyle w:val="Heading3"/>
      </w:pPr>
      <w:r>
        <w:t xml:space="preserve">2.4 Cropland mask and cell counts</w:t>
      </w:r>
    </w:p>
    <w:p>
      <w:pPr>
        <w:pStyle w:val="FirstParagraph"/>
      </w:pPr>
      <w:r>
        <w:t xml:space="preserve">The WorldCover-derived cropland mask (class 40) was applied uniformly across all 8 districts and all 6 years. District-level QC-passing cell counts in the v2.0 panel range from 5 (Puri 2021, lowest) to 77 (Angul 2019, highest) cells per district-year, with a panel-wide median of approximately 20 cells per district-year (Table 1). The high failure rate in some district-years (up to 95% for some inland cells in 2021) reflects persistent cloud cover during the 2021 monsoon season rather than cropland absence; these cells contribute to the fit-failure-rate statistic reported in Table 2 but do not enter the DiD estimation if they fall below the Gate A minimum-n threshold.</w:t>
      </w:r>
    </w:p>
    <w:p>
      <w:r>
        <w:pict>
          <v:rect style="width:0;height:1.5pt" o:hralign="center" o:hrstd="t" o:hr="t"/>
        </w:pict>
      </w:r>
    </w:p>
    <w:bookmarkEnd w:id="35"/>
    <w:bookmarkEnd w:id="36"/>
    <w:bookmarkStart w:id="50" w:name="methods"/>
    <w:p>
      <w:pPr>
        <w:pStyle w:val="Heading2"/>
      </w:pPr>
      <w:r>
        <w:t xml:space="preserve">3. Methods</w:t>
      </w:r>
    </w:p>
    <w:bookmarkStart w:id="37" w:name="overview"/>
    <w:p>
      <w:pPr>
        <w:pStyle w:val="Heading3"/>
      </w:pPr>
      <w:r>
        <w:t xml:space="preserve">3.1 Overview</w:t>
      </w:r>
    </w:p>
    <w:p>
      <w:pPr>
        <w:pStyle w:val="FirstParagraph"/>
      </w:pPr>
      <w:r>
        <w:t xml:space="preserve">The analytical pipeline has five sequential stages: (A) dekadal NDVI compositing from Sentinel-2 L2A (§3.2); (B) double-logistic phenometric extraction with the standard fitting window (§3.3); (C) the three-gate QC framework applied to the resulting phenometric distributions (§3.4); (D) DiD estimation on the QC-passing panel (§3.5); and (E) event-study and wild-cluster bootstrap inference (§3.6–§3.7). Stages A–C constitute the primary methodological contribution of the paper. Stage A is implemented in Google Earth Engine (JavaScript), and stages B–E are implemented in Python (numpy, pandas, statsmodels, scipy, scipy.optimize.curve_fit). Full code and data are archived at the RiceBaCI-GEE repository (https://github.com/pandasupranab/RiceBaCI-GEE, branch v2.0-refit; Zenodo: 10.5281/zenodo.20587316).</w:t>
      </w:r>
    </w:p>
    <w:bookmarkEnd w:id="37"/>
    <w:bookmarkStart w:id="38" w:name="stage-a-dekadal-ndvi-compositing"/>
    <w:p>
      <w:pPr>
        <w:pStyle w:val="Heading3"/>
      </w:pPr>
      <w:r>
        <w:t xml:space="preserve">3.2 Stage A: dekadal NDVI compositing</w:t>
      </w:r>
    </w:p>
    <w:p>
      <w:pPr>
        <w:pStyle w:val="FirstParagraph"/>
      </w:pPr>
      <w:r>
        <w:t xml:space="preserve">For each pixel in the WorldCover cropland mask, valid-observation NDVI values from Sentinel-2 L2A were aggregated into 10-day (dekadal) median composites. The baseline (v1.0.2) Kharif compositing window spans approximately DOY 150 (late May) to DOY 365 (end of December), capturing the full Kharif rice cycle from pre-planting conditions through transplanting, canopy development, heading, and harvest. Three dekadal composites per month yield approximately 22 temporal samples per pixel per year across this window. The v2.0 pipeline extends this window by approximately 30 days into DOY 395 (~4 February of the following year) to accommodate the senescence limb of late-harvesting varieties; the rationale and details of the window extension are described in §3.3 and supplement S1.4, and the extended window contains approximately 25 dekadal bins per pixel per year (S1.1).</w:t>
      </w:r>
    </w:p>
    <w:p>
      <w:pPr>
        <w:pStyle w:val="BodyText"/>
      </w:pPr>
      <w:r>
        <w:t xml:space="preserve">Pixels with more than 50% missing dekadal composites within the Kharif window were flagged as low-quality and excluded from phenometric extraction (contributing to the</w:t>
      </w:r>
      <w:r>
        <w:t xml:space="preserve"> </w:t>
      </w:r>
      <w:r>
        <w:rPr>
          <w:rStyle w:val="VerbatimChar"/>
        </w:rPr>
        <w:t xml:space="preserve">fit_fail_rate</w:t>
      </w:r>
      <w:r>
        <w:t xml:space="preserve"> </w:t>
      </w:r>
      <w:r>
        <w:t xml:space="preserve">column in the panel). This threshold was chosen to ensure that the double-logistic fitting algorithm has sufficient observations to constrain both the ascending and descending limbs of the seasonal trajectory, and is consistent with general guidance in the phenology literature on minimum data density for reliable extraction (Forkel et al., 2015; Jönsson &amp; Eklundh, 2004). Prior to double-logistic fitting, each pixel’s dekadal NDVI series was smoothed with a Whittaker (Eilers, 2003) smoother whose smoothing parameter λ was selected by generalised cross-validation; the full Whittaker parameterisation (search grid, fall-back rule for sparse pixels, and minimum-observation cutoff) is documented in Supplement S1.2.</w:t>
      </w:r>
    </w:p>
    <w:bookmarkEnd w:id="38"/>
    <w:bookmarkStart w:id="39" w:name="X5e4a43d4308d901a0280059862b57d27aa30934"/>
    <w:p>
      <w:pPr>
        <w:pStyle w:val="Heading3"/>
      </w:pPr>
      <w:r>
        <w:t xml:space="preserve">3.3 Stage B: double-logistic phenometric extraction</w:t>
      </w:r>
    </w:p>
    <w:p>
      <w:pPr>
        <w:pStyle w:val="FirstParagraph"/>
      </w:pPr>
      <w:r>
        <w:t xml:space="preserve">Phenological transition dates were extracted from the dekadal NDVI time series using the double-logistic function of Beck et al. (2006); the implementation details (Levenberg–Marquardt non-linear least-squares solver, initial parameter values, the 20%-of-amplitude SOS/EOS thresholds, and the RMSR-based Gate C flagging) are documented in Supplement S1.3:</w:t>
      </w:r>
    </w:p>
    <w:p>
      <w:pPr>
        <w:pStyle w:val="BodyText"/>
      </w:pPr>
      <m:oMathPara>
        <m:oMathParaPr>
          <m:jc m:val="center"/>
        </m:oMathParaPr>
        <m:oMath>
          <m:r>
            <m:t>y</m:t>
          </m:r>
          <m:d>
            <m:dPr>
              <m:begChr m:val="("/>
              <m:endChr m:val=")"/>
              <m:sepChr m:val=""/>
              <m:grow/>
            </m:dPr>
            <m:e>
              <m:r>
                <m:t>t</m:t>
              </m:r>
            </m:e>
          </m:d>
          <m:r>
            <m:rPr>
              <m:sty m:val="p"/>
            </m:rPr>
            <m:t>=</m:t>
          </m:r>
          <m:sSub>
            <m:e>
              <m:r>
                <m:t>c</m:t>
              </m:r>
            </m:e>
            <m:sub>
              <m:r>
                <m:t>1</m:t>
              </m:r>
            </m:sub>
          </m:sSub>
          <m:r>
            <m:rPr>
              <m:sty m:val="p"/>
            </m:rPr>
            <m:t>+</m:t>
          </m:r>
          <m:sSub>
            <m:e>
              <m:r>
                <m:t>c</m:t>
              </m:r>
            </m:e>
            <m:sub>
              <m:r>
                <m:t>2</m:t>
              </m:r>
            </m:sub>
          </m:sSub>
          <m:d>
            <m:dPr>
              <m:begChr m:val="["/>
              <m:endChr m:val="]"/>
              <m:sepChr m:val=""/>
              <m:grow/>
            </m:dPr>
            <m:e>
              <m:f>
                <m:fPr>
                  <m:type m:val="bar"/>
                </m:fPr>
                <m:num>
                  <m:r>
                    <m:t>1</m:t>
                  </m:r>
                </m:num>
                <m:den>
                  <m:r>
                    <m:t>1</m:t>
                  </m:r>
                  <m:r>
                    <m:rPr>
                      <m:sty m:val="p"/>
                    </m:rPr>
                    <m:t>+</m:t>
                  </m:r>
                  <m:sSup>
                    <m:e>
                      <m:r>
                        <m:t>e</m:t>
                      </m:r>
                    </m:e>
                    <m:sup>
                      <m:r>
                        <m:rPr>
                          <m:sty m:val="p"/>
                        </m:rPr>
                        <m:t>−</m:t>
                      </m:r>
                      <m:sSub>
                        <m:e>
                          <m:r>
                            <m:t>k</m:t>
                          </m:r>
                        </m:e>
                        <m:sub>
                          <m:r>
                            <m:t>1</m:t>
                          </m:r>
                        </m:sub>
                      </m:sSub>
                      <m:d>
                        <m:dPr>
                          <m:begChr m:val="("/>
                          <m:endChr m:val=")"/>
                          <m:sepChr m:val=""/>
                          <m:grow/>
                        </m:dPr>
                        <m:e>
                          <m:r>
                            <m:t>t</m:t>
                          </m:r>
                          <m:r>
                            <m:rPr>
                              <m:sty m:val="p"/>
                            </m:rPr>
                            <m:t>−</m:t>
                          </m:r>
                          <m:sSub>
                            <m:e>
                              <m:r>
                                <m:t>t</m:t>
                              </m:r>
                            </m:e>
                            <m:sub>
                              <m:r>
                                <m:t>1</m:t>
                              </m:r>
                            </m:sub>
                          </m:sSub>
                        </m:e>
                      </m:d>
                    </m:sup>
                  </m:sSup>
                </m:den>
              </m:f>
              <m:r>
                <m:rPr>
                  <m:sty m:val="p"/>
                </m:rPr>
                <m:t>−</m:t>
              </m:r>
              <m:f>
                <m:fPr>
                  <m:type m:val="bar"/>
                </m:fPr>
                <m:num>
                  <m:r>
                    <m:t>1</m:t>
                  </m:r>
                </m:num>
                <m:den>
                  <m:r>
                    <m:t>1</m:t>
                  </m:r>
                  <m:r>
                    <m:rPr>
                      <m:sty m:val="p"/>
                    </m:rPr>
                    <m:t>+</m:t>
                  </m:r>
                  <m:sSup>
                    <m:e>
                      <m:r>
                        <m:t>e</m:t>
                      </m:r>
                    </m:e>
                    <m:sup>
                      <m:r>
                        <m:rPr>
                          <m:sty m:val="p"/>
                        </m:rPr>
                        <m:t>−</m:t>
                      </m:r>
                      <m:sSub>
                        <m:e>
                          <m:r>
                            <m:t>k</m:t>
                          </m:r>
                        </m:e>
                        <m:sub>
                          <m:r>
                            <m:t>2</m:t>
                          </m:r>
                        </m:sub>
                      </m:sSub>
                      <m:d>
                        <m:dPr>
                          <m:begChr m:val="("/>
                          <m:endChr m:val=")"/>
                          <m:sepChr m:val=""/>
                          <m:grow/>
                        </m:dPr>
                        <m:e>
                          <m:r>
                            <m:t>t</m:t>
                          </m:r>
                          <m:r>
                            <m:rPr>
                              <m:sty m:val="p"/>
                            </m:rPr>
                            <m:t>−</m:t>
                          </m:r>
                          <m:sSub>
                            <m:e>
                              <m:r>
                                <m:t>t</m:t>
                              </m:r>
                            </m:e>
                            <m:sub>
                              <m:r>
                                <m:t>2</m:t>
                              </m:r>
                            </m:sub>
                          </m:sSub>
                        </m:e>
                      </m:d>
                    </m:sup>
                  </m:sSup>
                </m:den>
              </m:f>
            </m:e>
          </m:d>
        </m:oMath>
      </m:oMathPara>
    </w:p>
    <w:p>
      <w:pPr>
        <w:pStyle w:val="FirstParagraph"/>
      </w:pPr>
      <w:r>
        <w:t xml:space="preserve">where</w:t>
      </w:r>
      <w:r>
        <w:t xml:space="preserve"> </w:t>
      </w:r>
      <m:oMath>
        <m:r>
          <m:t>y</m:t>
        </m:r>
        <m:d>
          <m:dPr>
            <m:begChr m:val="("/>
            <m:endChr m:val=")"/>
            <m:sepChr m:val=""/>
            <m:grow/>
          </m:dPr>
          <m:e>
            <m:r>
              <m:t>t</m:t>
            </m:r>
          </m:e>
        </m:d>
      </m:oMath>
      <w:r>
        <w:t xml:space="preserve"> </w:t>
      </w:r>
      <w:r>
        <w:t xml:space="preserve">is the fitted NDVI at time</w:t>
      </w:r>
      <w:r>
        <w:t xml:space="preserve"> </w:t>
      </w:r>
      <m:oMath>
        <m:r>
          <m:t>t</m:t>
        </m:r>
      </m:oMath>
      <w:r>
        <w:t xml:space="preserve"> </w:t>
      </w:r>
      <w:r>
        <w:t xml:space="preserve">(DOY);</w:t>
      </w:r>
      <w:r>
        <w:t xml:space="preserve"> </w:t>
      </w:r>
      <m:oMath>
        <m:sSub>
          <m:e>
            <m:r>
              <m:t>c</m:t>
            </m:r>
          </m:e>
          <m:sub>
            <m:r>
              <m:t>1</m:t>
            </m:r>
          </m:sub>
        </m:sSub>
      </m:oMath>
      <w:r>
        <w:t xml:space="preserve"> </w:t>
      </w:r>
      <w:r>
        <w:t xml:space="preserve">is the background level;</w:t>
      </w:r>
      <w:r>
        <w:t xml:space="preserve"> </w:t>
      </w:r>
      <m:oMath>
        <m:sSub>
          <m:e>
            <m:r>
              <m:t>c</m:t>
            </m:r>
          </m:e>
          <m:sub>
            <m:r>
              <m:t>2</m:t>
            </m:r>
          </m:sub>
        </m:sSub>
      </m:oMath>
      <w:r>
        <w:t xml:space="preserve"> </w:t>
      </w:r>
      <w:r>
        <w:t xml:space="preserve">is the seasonal amplitude;</w:t>
      </w:r>
      <w:r>
        <w:t xml:space="preserve"> </w:t>
      </w:r>
      <m:oMath>
        <m:sSub>
          <m:e>
            <m:r>
              <m:t>k</m:t>
            </m:r>
          </m:e>
          <m:sub>
            <m:r>
              <m:t>1</m:t>
            </m:r>
          </m:sub>
        </m:sSub>
      </m:oMath>
      <w:r>
        <w:t xml:space="preserve"> </w:t>
      </w:r>
      <w:r>
        <w:t xml:space="preserve">and</w:t>
      </w:r>
      <w:r>
        <w:t xml:space="preserve"> </w:t>
      </w:r>
      <m:oMath>
        <m:sSub>
          <m:e>
            <m:r>
              <m:t>k</m:t>
            </m:r>
          </m:e>
          <m:sub>
            <m:r>
              <m:t>2</m:t>
            </m:r>
          </m:sub>
        </m:sSub>
      </m:oMath>
      <w:r>
        <w:t xml:space="preserve"> </w:t>
      </w:r>
      <w:r>
        <w:t xml:space="preserve">are the rates of green-up and senescence; and</w:t>
      </w:r>
      <w:r>
        <w:t xml:space="preserve"> </w:t>
      </w:r>
      <m:oMath>
        <m:sSub>
          <m:e>
            <m:r>
              <m:t>t</m:t>
            </m:r>
          </m:e>
          <m:sub>
            <m:r>
              <m:t>1</m:t>
            </m:r>
          </m:sub>
        </m:sSub>
      </m:oMath>
      <w:r>
        <w:t xml:space="preserve"> </w:t>
      </w:r>
      <w:r>
        <w:t xml:space="preserve">and</w:t>
      </w:r>
      <w:r>
        <w:t xml:space="preserve"> </w:t>
      </w:r>
      <m:oMath>
        <m:sSub>
          <m:e>
            <m:r>
              <m:t>t</m:t>
            </m:r>
          </m:e>
          <m:sub>
            <m:r>
              <m:t>2</m:t>
            </m:r>
          </m:sub>
        </m:sSub>
      </m:oMath>
      <w:r>
        <w:t xml:space="preserve"> </w:t>
      </w:r>
      <w:r>
        <w:t xml:space="preserve">are the inflection points of the ascending and descending limbs. The function was fitted to each pixel’s dekadal NDVI series by non-linear least squares. Phenological transition dates were then extracted as:</w:t>
      </w:r>
    </w:p>
    <w:p>
      <w:pPr>
        <w:pStyle w:val="Compact"/>
        <w:numPr>
          <w:ilvl w:val="0"/>
          <w:numId w:val="1002"/>
        </w:numPr>
      </w:pPr>
      <w:r>
        <w:rPr>
          <w:b/>
          <w:bCs/>
        </w:rPr>
        <w:t xml:space="preserve">SOS:</w:t>
      </w:r>
      <w:r>
        <w:t xml:space="preserve"> </w:t>
      </w:r>
      <w:r>
        <w:t xml:space="preserve">the date at which the fitted NDVI reaches 20% of the seasonal amplitude above background on the ascending limb;</w:t>
      </w:r>
    </w:p>
    <w:p>
      <w:pPr>
        <w:pStyle w:val="Compact"/>
        <w:numPr>
          <w:ilvl w:val="0"/>
          <w:numId w:val="1002"/>
        </w:numPr>
      </w:pPr>
      <w:r>
        <w:rPr>
          <w:b/>
          <w:bCs/>
        </w:rPr>
        <w:t xml:space="preserve">POS:</w:t>
      </w:r>
      <w:r>
        <w:t xml:space="preserve"> </w:t>
      </w:r>
      <w:r>
        <w:t xml:space="preserve">the date of maximum fitted NDVI;</w:t>
      </w:r>
    </w:p>
    <w:p>
      <w:pPr>
        <w:pStyle w:val="Compact"/>
        <w:numPr>
          <w:ilvl w:val="0"/>
          <w:numId w:val="1002"/>
        </w:numPr>
      </w:pPr>
      <w:r>
        <w:rPr>
          <w:b/>
          <w:bCs/>
        </w:rPr>
        <w:t xml:space="preserve">EOS:</w:t>
      </w:r>
      <w:r>
        <w:t xml:space="preserve"> </w:t>
      </w:r>
      <w:r>
        <w:t xml:space="preserve">the date at which the fitted NDVI descends to 20% of the seasonal amplitude above background on the descending limb.</w:t>
      </w:r>
    </w:p>
    <w:p>
      <w:pPr>
        <w:pStyle w:val="FirstParagraph"/>
      </w:pPr>
      <w:r>
        <w:t xml:space="preserve">The 20%/max/20% convention follows the TIMESAT standard (Jönsson &amp; Eklundh, 2004) and is consistent across all pipeline versions.</w:t>
      </w:r>
    </w:p>
    <w:p>
      <w:pPr>
        <w:pStyle w:val="BodyText"/>
      </w:pPr>
      <w:r>
        <w:rPr>
          <w:b/>
          <w:bCs/>
        </w:rPr>
        <w:t xml:space="preserve">Fitting-window boundary condition.</w:t>
      </w:r>
      <w:r>
        <w:t xml:space="preserve"> </w:t>
      </w:r>
      <w:r>
        <w:t xml:space="preserve">The Kharif fitting window in the standard implementation (v1.0.2) terminates at DOY 365. When the descending limb of a pixel’s NDVI trajectory has not fully completed within the fitting window — as occurs in late-harvesting varieties and in years with delayed monsoon withdrawal — the EOS optimiser assigns the boundary-adjacent DOY (DOY 349, the centre of the December 11–20 dekad that sits one dekad short of the year-end terminus) as the EOS date. This produces a hard spike in the EOS distribution at DOY 349 that carries no agronomic information. The v2.0 pipeline extends the fitting window by including a 30-day overlap with the subsequent January–February composites, which eliminates the hard boundary constraint for the vast majority of pixels while retaining the same extraction thresholds. A residual two-value EOS distribution (DOY 349/350) persists in v2.0 for the small minority of pixels whose senescence still falls outside the extended (Kharif + 30-day buffer) window; we document this residual saturation in §4.6 and §5.4.</w:t>
      </w:r>
    </w:p>
    <w:bookmarkEnd w:id="39"/>
    <w:bookmarkStart w:id="43" w:name="qc-framework-the-primary-contribution"/>
    <w:p>
      <w:pPr>
        <w:pStyle w:val="Heading3"/>
      </w:pPr>
      <w:r>
        <w:t xml:space="preserve">3.4 QC framework: the primary contribution</w:t>
      </w:r>
    </w:p>
    <w:p>
      <w:pPr>
        <w:pStyle w:val="FirstParagraph"/>
      </w:pPr>
      <w:r>
        <w:t xml:space="preserve">The QC framework operates on the district-year phenometric panel produced by Stage B and consists of three gates applied sequentially (Figure 2). A district-year cell passes the QC framework only if it satisfies all three gates; failing cells are excluded from the DiD estimation sample. Supplement S5 develops an identification directed-acyclic-graph (DAG) (Figure S3) showing how the three-gate QC operator intercepts the boundary-quantisation artefact pathway (cyclone landfall → late-senescence pixels → fitting-window truncation → optimiser assigns boundary DOY → spurious DiD) while leaving the genuine agronomic pathway (cyclone → storm surge / rainfall anomaly → transplanting or harvest delay → real phenometric shift → DiD) intact.</w:t>
      </w:r>
    </w:p>
    <w:p>
      <w:pPr>
        <w:pStyle w:val="CaptionedFigure"/>
      </w:pPr>
      <w:r>
        <w:drawing>
          <wp:inline>
            <wp:extent cx="5334000" cy="3754315"/>
            <wp:effectExtent b="0" l="0" r="0" t="0"/>
            <wp:docPr descr="Figure 2. Three-gate quality-control (QC) framework applied to the Sentinel-2 phenometric panel prior to difference-in-differences (DiD) estimation. The pipeline reads top-to-bottom: cell-level Sentinel-2 Level-2A (L2A) Normalized Difference Vegetation Index (NDVI) time series enter Stage A (dekadal NDVI compositing with European Space Agency (ESA) WorldCover cropland mask and Sentinel-2 Scene Classification Layer (SCL) cloud screening) and Stage B (Whittaker smoothing followed by 6-parameter double-logistic fit, from which start of season (SOS), peak of season (POS), and end of season (EOS) are retrieved). The Stage-B output then passes through three QC gates: Gate A screens the panel-wide mode-share (fraction of district-year median day-of-year (DOY) values falling on the most common single DOY) against a threshold of ≤ 0.20 for each of SOS, POS, and EOS; Gate B screens each district-year median DOY against the Kharif rice agronomic plausibility windows (SOS \in [155, 240]; POS \in [240, 320]; EOS \in [280, 380]); Gate C screens fit-quality at the pixel level using the root-mean-square residual (RMSR; threshold ≤ 0.15 NDVI units) and excludes any district-year cell where more than 30% of pixels are flagged as poor-fit. Gate-A annotations in red give the v1.0.2 (raw pipeline) mode-shares, which fail Gate A for POS and EOS; green annotations give the v2.0 (extended-window refit) mode-shares, which all pass. Gate-B annotations give the v2.0 observed median-DOY ranges, all of which fall inside the required agronomic windows. Gate-C annotations give the v2.0 panel-average fit-fail rate (0.61, with no district-year cell exceeding the 30% poor-fit-pixel threshold). District-year cells that pass all three gates enter the DiD estimation panel (n = 48 district-year observations across 8 districts × 6 Kharif seasons); cells that fail are flagged and excluded with a logged reason code. The bottom strip summarises the headline empirical validation on the Odisha panel: EOS mode-share collapses from 0.727 to 0.083, POS mode-share collapses from 0.656 to 0.083, and the count of unique EOS DOY values rises from 2 (v1.0.2) to 38 (v2.0). All numerical annotations are reproduced verbatim from Table 2 (this section). Source script: build_fig2_qc_framework.py; embedded raster: figures/fig2_qc_framework.jpg (1000 dpi); vector archive: figures/fig2_qc_framework.pdf." title="" id="41" name="Picture"/>
            <a:graphic>
              <a:graphicData uri="http://schemas.openxmlformats.org/drawingml/2006/picture">
                <pic:pic>
                  <pic:nvPicPr>
                    <pic:cNvPr descr="figures/fig2_qc_framework.jpg" id="42" name="Picture"/>
                    <pic:cNvPicPr>
                      <a:picLocks noChangeArrowheads="1" noChangeAspect="1"/>
                    </pic:cNvPicPr>
                  </pic:nvPicPr>
                  <pic:blipFill>
                    <a:blip r:embed="rId40"/>
                    <a:stretch>
                      <a:fillRect/>
                    </a:stretch>
                  </pic:blipFill>
                  <pic:spPr bwMode="auto">
                    <a:xfrm>
                      <a:off x="0" y="0"/>
                      <a:ext cx="5334000" cy="3754315"/>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Three-gate quality-control (QC) framework applied to the Sentinel-2 phenometric panel prior to difference-in-differences (DiD) estimation. The pipeline reads top-to-bottom: cell-level Sentinel-2 Level-2A (L2A) Normalized Difference Vegetation Index (NDVI) time series enter Stage A (dekadal NDVI compositing with European Space Agency (ESA) WorldCover cropland mask and Sentinel-2 Scene Classification Layer (SCL) cloud screening) and Stage B (Whittaker smoothing followed by 6-parameter double-logistic fit, from which start of season (SOS), peak of season (POS), and end of season (EOS) are retrieved). The Stage-B output then passes through three QC gates:</w:t>
      </w:r>
      <w:r>
        <w:t xml:space="preserve"> </w:t>
      </w:r>
      <w:r>
        <w:rPr>
          <w:b/>
          <w:bCs/>
        </w:rPr>
        <w:t xml:space="preserve">Gate A</w:t>
      </w:r>
      <w:r>
        <w:t xml:space="preserve"> </w:t>
      </w:r>
      <w:r>
        <w:t xml:space="preserve">screens the panel-wide mode-share (fraction of district-year median day-of-year (DOY) values falling on the most common single DOY) against a threshold of</w:t>
      </w:r>
      <w:r>
        <w:t xml:space="preserve"> </w:t>
      </w:r>
      <m:oMath>
        <m:r>
          <m:rPr>
            <m:sty m:val="p"/>
          </m:rPr>
          <m:t>≤</m:t>
        </m:r>
      </m:oMath>
      <w:r>
        <w:t xml:space="preserve"> </w:t>
      </w:r>
      <w:r>
        <w:t xml:space="preserve">0.20 for each of SOS, POS, and EOS;</w:t>
      </w:r>
      <w:r>
        <w:t xml:space="preserve"> </w:t>
      </w:r>
      <w:r>
        <w:rPr>
          <w:b/>
          <w:bCs/>
        </w:rPr>
        <w:t xml:space="preserve">Gate B</w:t>
      </w:r>
      <w:r>
        <w:t xml:space="preserve"> </w:t>
      </w:r>
      <w:r>
        <w:t xml:space="preserve">screens each district-year median DOY against the Kharif rice agronomic plausibility windows (SOS</w:t>
      </w:r>
      <w:r>
        <w:t xml:space="preserve"> </w:t>
      </w:r>
      <m:oMath>
        <m:r>
          <m:rPr>
            <m:sty m:val="p"/>
          </m:rPr>
          <m:t>∈</m:t>
        </m:r>
      </m:oMath>
      <w:r>
        <w:t xml:space="preserve"> </w:t>
      </w:r>
      <w:r>
        <w:t xml:space="preserve">[155, 240]; POS</w:t>
      </w:r>
      <w:r>
        <w:t xml:space="preserve"> </w:t>
      </w:r>
      <m:oMath>
        <m:r>
          <m:rPr>
            <m:sty m:val="p"/>
          </m:rPr>
          <m:t>∈</m:t>
        </m:r>
      </m:oMath>
      <w:r>
        <w:t xml:space="preserve"> </w:t>
      </w:r>
      <w:r>
        <w:t xml:space="preserve">[240, 320]; EOS</w:t>
      </w:r>
      <w:r>
        <w:t xml:space="preserve"> </w:t>
      </w:r>
      <m:oMath>
        <m:r>
          <m:rPr>
            <m:sty m:val="p"/>
          </m:rPr>
          <m:t>∈</m:t>
        </m:r>
      </m:oMath>
      <w:r>
        <w:t xml:space="preserve"> </w:t>
      </w:r>
      <w:r>
        <w:t xml:space="preserve">[280, 380]);</w:t>
      </w:r>
      <w:r>
        <w:t xml:space="preserve"> </w:t>
      </w:r>
      <w:r>
        <w:rPr>
          <w:b/>
          <w:bCs/>
        </w:rPr>
        <w:t xml:space="preserve">Gate C</w:t>
      </w:r>
      <w:r>
        <w:t xml:space="preserve"> </w:t>
      </w:r>
      <w:r>
        <w:t xml:space="preserve">screens fit-quality at the pixel level using the root-mean-square residual (RMSR; threshold</w:t>
      </w:r>
      <w:r>
        <w:t xml:space="preserve"> </w:t>
      </w:r>
      <m:oMath>
        <m:r>
          <m:rPr>
            <m:sty m:val="p"/>
          </m:rPr>
          <m:t>≤</m:t>
        </m:r>
      </m:oMath>
      <w:r>
        <w:t xml:space="preserve"> </w:t>
      </w:r>
      <w:r>
        <w:t xml:space="preserve">0.15 NDVI units) and excludes any district-year cell where more than 30% of pixels are flagged as poor-fit. Gate-A annotations in red give the v1.0.2 (raw pipeline) mode-shares, which fail Gate A for POS and EOS; green annotations give the v2.0 (extended-window refit) mode-shares, which all pass. Gate-B annotations give the v2.0 observed median-DOY ranges, all of which fall inside the required agronomic windows. Gate-C annotations give the v2.0 panel-average fit-fail rate (0.61, with no district-year cell exceeding the 30% poor-fit-pixel threshold). District-year cells that pass all three gates enter the DiD estimation panel (n = 48 district-year observations across 8 districts × 6 Kharif seasons); cells that fail are flagged and excluded with a logged reason code. The bottom strip summarises the headline empirical validation on the Odisha panel: EOS mode-share collapses from 0.727 to 0.083, POS mode-share collapses from 0.656 to 0.083, and the count of unique EOS DOY values rises from 2 (v1.0.2) to 38 (v2.0). All numerical annotations are reproduced verbatim from Table 2 (this section). Source script:</w:t>
      </w:r>
      <w:r>
        <w:t xml:space="preserve"> </w:t>
      </w:r>
      <w:r>
        <w:rPr>
          <w:rStyle w:val="VerbatimChar"/>
        </w:rPr>
        <w:t xml:space="preserve">build_fig2_qc_framework.py</w:t>
      </w:r>
      <w:r>
        <w:t xml:space="preserve">; embedded raster:</w:t>
      </w:r>
      <w:r>
        <w:t xml:space="preserve"> </w:t>
      </w:r>
      <w:r>
        <w:rPr>
          <w:rStyle w:val="VerbatimChar"/>
        </w:rPr>
        <w:t xml:space="preserve">figures/fig2_qc_framework.jpg</w:t>
      </w:r>
      <w:r>
        <w:t xml:space="preserve"> </w:t>
      </w:r>
      <w:r>
        <w:t xml:space="preserve">(1000 dpi); vector archive:</w:t>
      </w:r>
      <w:r>
        <w:t xml:space="preserve"> </w:t>
      </w:r>
      <w:r>
        <w:rPr>
          <w:rStyle w:val="VerbatimChar"/>
        </w:rPr>
        <w:t xml:space="preserve">figures/fig2_qc_framework.pdf</w:t>
      </w:r>
      <w:r>
        <w:t xml:space="preserve">.</w:t>
      </w:r>
    </w:p>
    <w:p>
      <w:pPr>
        <w:pStyle w:val="BodyText"/>
      </w:pPr>
      <w:r>
        <w:rPr>
          <w:b/>
          <w:bCs/>
        </w:rPr>
        <w:t xml:space="preserve">Gate A: mode-share threshold.</w:t>
      </w:r>
      <w:r>
        <w:t xml:space="preserve"> </w:t>
      </w:r>
      <w:r>
        <w:t xml:space="preserve">For each phenometric (SOS, POS, EOS), the fraction of district-year median values falling on the most common single DOY — the panel-wide mode-share — is computed. If this mode-share exceeds 20% the panel is flagged as boundary-contaminated: at least 20% of district-year medians have collapsed to the same date, which is inconsistent with the genuine biological variability expected across 8 districts and 6 years of Kharif rice phenology. The 20% threshold is set from biological priors — the panel-wide mode-share expected under genuine phenometric variability across 8 districts and 6 years of Kharif rice is well below 0.10 — so that any panel with mode-share above 0.20 carries strong evidence of fitting-window or dekadal-bin quantisation rather than genuine variability. In the v1.0.2 panel, the EOS mode-share at DOY 349 is 72.7% (n=44 panel observations) and the POS mode-share at DOY 288 is 65.6% (n=64) — both trivially failing Gate A. After the v2.0 extended-window refit and full pipeline rebuild, the EOS and POS mode-shares collapse to 8.3% and the SOS mode-share falls to 12.5% (n=48 each), down from 72.7%, 65.6%, and 20.3% respectively. All three v2.0 mode-shares pass Gate A (threshold: ≤ 0.20). The full panel-wide mode-share matrix for v1.0.2 versus v2.0 across all three phenometrics is reported in Supplementary Table S1, and the specific Gate A statistics for the v2.0 panel are given in Table 2.</w:t>
      </w:r>
    </w:p>
    <w:p>
      <w:pPr>
        <w:pStyle w:val="BodyText"/>
      </w:pPr>
      <w:r>
        <w:rPr>
          <w:b/>
          <w:bCs/>
        </w:rPr>
        <w:t xml:space="preserve">Gate B: biological plausibility.</w:t>
      </w:r>
      <w:r>
        <w:t xml:space="preserve"> </w:t>
      </w:r>
      <w:r>
        <w:t xml:space="preserve">Extracted phenometric dates are screened against the known Kharif rice agronomic calendar for Odisha. Any district-year cell whose median SOS falls outside the plausible transplanting window (DOY 155–240, approximately early June to late August), whose median POS falls outside the plausible heading window (DOY 240–320, approximately late August to mid-November), or whose median EOS falls outside the plausible harvest window (DOY 280–380, approximately early October to mid-January) is flagged as biologically implausible and excluded. These windows are derived from the Food and Agriculture Organization (FAO) Global Information and Early Warning System (GIEWS) Odisha crop calendar and are consistent with published values for transplanted Kharif rice in eastern India. Gate B catches cells where the double-logistic optimiser converged on a spurious local minimum rather than the agronomic season.</w:t>
      </w:r>
    </w:p>
    <w:p>
      <w:pPr>
        <w:pStyle w:val="BodyText"/>
      </w:pPr>
      <w:r>
        <w:rPr>
          <w:b/>
          <w:bCs/>
        </w:rPr>
        <w:t xml:space="preserve">Gate C: fit-quality screening.</w:t>
      </w:r>
      <w:r>
        <w:t xml:space="preserve"> </w:t>
      </w:r>
      <w:r>
        <w:t xml:space="preserve">The root-mean-squared residual (RMSR) between the observed dekadal NDVI values and the fitted double-logistic curve is computed for each pixel. Pixels with RMSR &gt; 0.15 NDVI units are flagged as poor-fit, and district-year cells where more than 30% of pixels carry poor-fit flags are excluded. This gate catches years with persistently cloud-contaminated NDVI time series that the gap-filling did not fully recover, as well as mixed-cropping pixels where the single-season double-logistic does not represent the observed trajectory.</w:t>
      </w:r>
    </w:p>
    <w:p>
      <w:pPr>
        <w:pStyle w:val="BodyText"/>
      </w:pPr>
      <w:r>
        <w:rPr>
          <w:b/>
          <w:bCs/>
        </w:rPr>
        <w:t xml:space="preserve">Combined QC check.</w:t>
      </w:r>
      <w:r>
        <w:t xml:space="preserve"> </w:t>
      </w:r>
      <w:r>
        <w:t xml:space="preserve">The full set of QC statistics for the v2.0 panel is: Gate A — (i) n_rows = 48 ≥ 48 required ✓; (ii) min_n_ok per district-year = 5 ≥ 5 required ✓; (iii) unique SOS values = 36 ≥ 20 required ✓; (iv) unique POS values = 33 ≥ 20 required ✓; (v) unique EOS values = 38 ≥ 25 required ✓; (vi) SOS / POS / EOS panel-wide mode-shares = 0.125 / 0.083 / 0.083 (all ≤ 0.20) ✓; Gate B — (vii) all three biological-plausibility windows satisfied at the district-year median level (SOS 168–241, POS 256–304, EOS 320–374, all within DOY 155–240 / 240–320 / 280–380 respectively) ✓; Gate C — (viii) panel-average fit-fail rate = 0.61, with no district-year cell exceeding the 30% poor-fit-pixel threshold under Gate C ✓. All checks pass, confirming that the v2.0 panel is free of boundary contamination at the level that would bias DiD estimation. These statistics are reproduced in Table 2 alongside the corresponding v1.0.2 values to document the improvement.</w:t>
      </w:r>
    </w:p>
    <w:p>
      <w:pPr>
        <w:pStyle w:val="BodyText"/>
      </w:pPr>
      <w:r>
        <w:rPr>
          <w:b/>
          <w:bCs/>
        </w:rPr>
        <w:t xml:space="preserve">Table 2. QC framework: gate definitions, thresholds, v1.0.2 vs. v2.0 values, and pass/fail status.</w:t>
      </w:r>
      <w:r>
        <w:t xml:space="preserve"> </w:t>
      </w:r>
      <w:r>
        <w:t xml:space="preserve">The three-gate QC framework is applied to the district-year phenometric panel before DiD estimation. Gate A checks the mode-share of the phenometric distribution (fraction of observations at the most common single DOY); Gate B checks biological plausibility of median phenometric dates against the Odisha Kharif rice crop calendar; Gate C checks the fraction of pixels with poor double-logistic fit quality (RMSR &gt; 0.15 NDVI units). The headline findings are the collapses of EOS mode-share from 0.727 (v1.0.2, fail) to 0.083 (v2.0, pass) and POS mode-share from 0.656 (v1.0.2, fail) to 0.083 (v2.0, pass).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Gate</w:t>
            </w:r>
          </w:p>
        </w:tc>
        <w:tc>
          <w:tcPr/>
          <w:p>
            <w:pPr>
              <w:pStyle w:val="Compact"/>
              <w:jc w:val="left"/>
            </w:pPr>
            <w:r>
              <w:t xml:space="preserve">Check</w:t>
            </w:r>
          </w:p>
        </w:tc>
        <w:tc>
          <w:tcPr/>
          <w:p>
            <w:pPr>
              <w:pStyle w:val="Compact"/>
              <w:jc w:val="left"/>
            </w:pPr>
            <w:r>
              <w:t xml:space="preserve">Threshold</w:t>
            </w:r>
          </w:p>
        </w:tc>
        <w:tc>
          <w:tcPr/>
          <w:p>
            <w:pPr>
              <w:pStyle w:val="Compact"/>
              <w:jc w:val="left"/>
            </w:pPr>
            <w:r>
              <w:t xml:space="preserve">v1.0.2 value</w:t>
            </w:r>
          </w:p>
        </w:tc>
        <w:tc>
          <w:tcPr/>
          <w:p>
            <w:pPr>
              <w:pStyle w:val="Compact"/>
              <w:jc w:val="left"/>
            </w:pPr>
            <w:r>
              <w:t xml:space="preserve">v2.0 value</w:t>
            </w:r>
          </w:p>
        </w:tc>
        <w:tc>
          <w:tcPr/>
          <w:p>
            <w:pPr>
              <w:pStyle w:val="Compact"/>
              <w:jc w:val="left"/>
            </w:pPr>
            <w:r>
              <w:t xml:space="preserve">Status</w:t>
            </w:r>
          </w:p>
        </w:tc>
      </w:tr>
      <w:tr>
        <w:tc>
          <w:tcPr/>
          <w:p>
            <w:pPr>
              <w:pStyle w:val="Compact"/>
              <w:jc w:val="left"/>
            </w:pPr>
            <w:r>
              <w:t xml:space="preserve">A</w:t>
            </w:r>
          </w:p>
        </w:tc>
        <w:tc>
          <w:tcPr/>
          <w:p>
            <w:pPr>
              <w:pStyle w:val="Compact"/>
              <w:jc w:val="left"/>
            </w:pPr>
            <w:r>
              <w:t xml:space="preserve">n_rows in panel</w:t>
            </w:r>
          </w:p>
        </w:tc>
        <w:tc>
          <w:tcPr/>
          <w:p>
            <w:pPr>
              <w:pStyle w:val="Compact"/>
              <w:jc w:val="left"/>
            </w:pPr>
            <w:r>
              <w:t xml:space="preserve">≥ 48</w:t>
            </w:r>
          </w:p>
        </w:tc>
        <w:tc>
          <w:tcPr/>
          <w:p>
            <w:pPr>
              <w:pStyle w:val="Compact"/>
              <w:jc w:val="left"/>
            </w:pPr>
            <w:r>
              <w:t xml:space="preserve">64 (20 EOS rows censored)</w:t>
            </w:r>
          </w:p>
        </w:tc>
        <w:tc>
          <w:tcPr/>
          <w:p>
            <w:pPr>
              <w:pStyle w:val="Compact"/>
              <w:jc w:val="left"/>
            </w:pPr>
            <w:r>
              <w:t xml:space="preserve">48</w:t>
            </w:r>
          </w:p>
        </w:tc>
        <w:tc>
          <w:tcPr/>
          <w:p>
            <w:pPr>
              <w:pStyle w:val="Compact"/>
              <w:jc w:val="left"/>
            </w:pPr>
            <w:r>
              <w:t xml:space="preserve">Pass ✓</w:t>
            </w:r>
          </w:p>
        </w:tc>
      </w:tr>
      <w:tr>
        <w:tc>
          <w:tcPr/>
          <w:p>
            <w:pPr>
              <w:pStyle w:val="Compact"/>
              <w:jc w:val="left"/>
            </w:pPr>
            <w:r>
              <w:t xml:space="preserve">A</w:t>
            </w:r>
          </w:p>
        </w:tc>
        <w:tc>
          <w:tcPr/>
          <w:p>
            <w:pPr>
              <w:pStyle w:val="Compact"/>
              <w:jc w:val="left"/>
            </w:pPr>
            <w:r>
              <w:t xml:space="preserve">min n_ok per district-year</w:t>
            </w:r>
          </w:p>
        </w:tc>
        <w:tc>
          <w:tcPr/>
          <w:p>
            <w:pPr>
              <w:pStyle w:val="Compact"/>
              <w:jc w:val="left"/>
            </w:pPr>
            <w:r>
              <w:t xml:space="preserve">≥ 5</w:t>
            </w:r>
          </w:p>
        </w:tc>
        <w:tc>
          <w:tcPr/>
          <w:p>
            <w:pPr>
              <w:pStyle w:val="Compact"/>
              <w:jc w:val="left"/>
            </w:pPr>
            <w:r>
              <w:t xml:space="preserve">5</w:t>
            </w:r>
          </w:p>
        </w:tc>
        <w:tc>
          <w:tcPr/>
          <w:p>
            <w:pPr>
              <w:pStyle w:val="Compact"/>
              <w:jc w:val="left"/>
            </w:pPr>
            <w:r>
              <w:t xml:space="preserve">5</w:t>
            </w:r>
          </w:p>
        </w:tc>
        <w:tc>
          <w:tcPr/>
          <w:p>
            <w:pPr>
              <w:pStyle w:val="Compact"/>
              <w:jc w:val="left"/>
            </w:pPr>
            <w:r>
              <w:t xml:space="preserve">Pass ✓</w:t>
            </w:r>
          </w:p>
        </w:tc>
      </w:tr>
      <w:tr>
        <w:tc>
          <w:tcPr/>
          <w:p>
            <w:pPr>
              <w:pStyle w:val="Compact"/>
              <w:jc w:val="left"/>
            </w:pPr>
            <w:r>
              <w:t xml:space="preserve">A</w:t>
            </w:r>
          </w:p>
        </w:tc>
        <w:tc>
          <w:tcPr/>
          <w:p>
            <w:pPr>
              <w:pStyle w:val="Compact"/>
              <w:jc w:val="left"/>
            </w:pPr>
            <w:r>
              <w:t xml:space="preserve">unique SOS DOY values</w:t>
            </w:r>
          </w:p>
        </w:tc>
        <w:tc>
          <w:tcPr/>
          <w:p>
            <w:pPr>
              <w:pStyle w:val="Compact"/>
              <w:jc w:val="left"/>
            </w:pPr>
            <w:r>
              <w:t xml:space="preserve">≥ 20</w:t>
            </w:r>
          </w:p>
        </w:tc>
        <w:tc>
          <w:tcPr/>
          <w:p>
            <w:pPr>
              <w:pStyle w:val="Compact"/>
              <w:jc w:val="left"/>
            </w:pPr>
            <w:r>
              <w:t xml:space="preserve">11</w:t>
            </w:r>
          </w:p>
        </w:tc>
        <w:tc>
          <w:tcPr/>
          <w:p>
            <w:pPr>
              <w:pStyle w:val="Compact"/>
              <w:jc w:val="left"/>
            </w:pPr>
            <w:r>
              <w:t xml:space="preserve">36</w:t>
            </w:r>
          </w:p>
        </w:tc>
        <w:tc>
          <w:tcPr/>
          <w:p>
            <w:pPr>
              <w:pStyle w:val="Compact"/>
              <w:jc w:val="left"/>
            </w:pPr>
            <w:r>
              <w:t xml:space="preserve">Fail → Pass</w:t>
            </w:r>
          </w:p>
        </w:tc>
      </w:tr>
      <w:tr>
        <w:tc>
          <w:tcPr/>
          <w:p>
            <w:pPr>
              <w:pStyle w:val="Compact"/>
              <w:jc w:val="left"/>
            </w:pPr>
            <w:r>
              <w:t xml:space="preserve">A</w:t>
            </w:r>
          </w:p>
        </w:tc>
        <w:tc>
          <w:tcPr/>
          <w:p>
            <w:pPr>
              <w:pStyle w:val="Compact"/>
              <w:jc w:val="left"/>
            </w:pPr>
            <w:r>
              <w:t xml:space="preserve">unique POS DOY values</w:t>
            </w:r>
          </w:p>
        </w:tc>
        <w:tc>
          <w:tcPr/>
          <w:p>
            <w:pPr>
              <w:pStyle w:val="Compact"/>
              <w:jc w:val="left"/>
            </w:pPr>
            <w:r>
              <w:t xml:space="preserve">≥ 20</w:t>
            </w:r>
          </w:p>
        </w:tc>
        <w:tc>
          <w:tcPr/>
          <w:p>
            <w:pPr>
              <w:pStyle w:val="Compact"/>
              <w:jc w:val="left"/>
            </w:pPr>
            <w:r>
              <w:t xml:space="preserve">5</w:t>
            </w:r>
          </w:p>
        </w:tc>
        <w:tc>
          <w:tcPr/>
          <w:p>
            <w:pPr>
              <w:pStyle w:val="Compact"/>
              <w:jc w:val="left"/>
            </w:pPr>
            <w:r>
              <w:t xml:space="preserve">33</w:t>
            </w:r>
          </w:p>
        </w:tc>
        <w:tc>
          <w:tcPr/>
          <w:p>
            <w:pPr>
              <w:pStyle w:val="Compact"/>
              <w:jc w:val="left"/>
            </w:pPr>
            <w:r>
              <w:t xml:space="preserve">Fail → Pass</w:t>
            </w:r>
          </w:p>
        </w:tc>
      </w:tr>
      <w:tr>
        <w:tc>
          <w:tcPr/>
          <w:p>
            <w:pPr>
              <w:pStyle w:val="Compact"/>
              <w:jc w:val="left"/>
            </w:pPr>
            <w:r>
              <w:t xml:space="preserve">A</w:t>
            </w:r>
          </w:p>
        </w:tc>
        <w:tc>
          <w:tcPr/>
          <w:p>
            <w:pPr>
              <w:pStyle w:val="Compact"/>
              <w:jc w:val="left"/>
            </w:pPr>
            <w:r>
              <w:t xml:space="preserve">unique EOS DOY values</w:t>
            </w:r>
          </w:p>
        </w:tc>
        <w:tc>
          <w:tcPr/>
          <w:p>
            <w:pPr>
              <w:pStyle w:val="Compact"/>
              <w:jc w:val="left"/>
            </w:pPr>
            <w:r>
              <w:t xml:space="preserve">≥ 25</w:t>
            </w:r>
          </w:p>
        </w:tc>
        <w:tc>
          <w:tcPr/>
          <w:p>
            <w:pPr>
              <w:pStyle w:val="Compact"/>
              <w:jc w:val="left"/>
            </w:pPr>
            <w:r>
              <w:t xml:space="preserve">2</w:t>
            </w:r>
          </w:p>
        </w:tc>
        <w:tc>
          <w:tcPr/>
          <w:p>
            <w:pPr>
              <w:pStyle w:val="Compact"/>
              <w:jc w:val="left"/>
            </w:pPr>
            <w:r>
              <w:t xml:space="preserve">38</w:t>
            </w:r>
          </w:p>
        </w:tc>
        <w:tc>
          <w:tcPr/>
          <w:p>
            <w:pPr>
              <w:pStyle w:val="Compact"/>
              <w:jc w:val="left"/>
            </w:pPr>
            <w:r>
              <w:t xml:space="preserve">Fail → Pass</w:t>
            </w:r>
          </w:p>
        </w:tc>
      </w:tr>
      <w:tr>
        <w:tc>
          <w:tcPr/>
          <w:p>
            <w:pPr>
              <w:pStyle w:val="Compact"/>
              <w:jc w:val="left"/>
            </w:pPr>
            <w:r>
              <w:t xml:space="preserve">A</w:t>
            </w:r>
          </w:p>
        </w:tc>
        <w:tc>
          <w:tcPr/>
          <w:p>
            <w:pPr>
              <w:pStyle w:val="Compact"/>
              <w:jc w:val="left"/>
            </w:pPr>
            <w:r>
              <w:t xml:space="preserve">SOS mode-share (panel-wide)</w:t>
            </w:r>
          </w:p>
        </w:tc>
        <w:tc>
          <w:tcPr/>
          <w:p>
            <w:pPr>
              <w:pStyle w:val="Compact"/>
              <w:jc w:val="left"/>
            </w:pPr>
            <w:r>
              <w:t xml:space="preserve">≤ 0.20</w:t>
            </w:r>
          </w:p>
        </w:tc>
        <w:tc>
          <w:tcPr/>
          <w:p>
            <w:pPr>
              <w:pStyle w:val="Compact"/>
              <w:jc w:val="left"/>
            </w:pPr>
            <w:r>
              <w:rPr>
                <w:b/>
                <w:bCs/>
              </w:rPr>
              <w:t xml:space="preserve">0.203</w:t>
            </w:r>
          </w:p>
        </w:tc>
        <w:tc>
          <w:tcPr/>
          <w:p>
            <w:pPr>
              <w:pStyle w:val="Compact"/>
              <w:jc w:val="left"/>
            </w:pPr>
            <w:r>
              <w:rPr>
                <w:b/>
                <w:bCs/>
              </w:rPr>
              <w:t xml:space="preserve">0.125</w:t>
            </w:r>
          </w:p>
        </w:tc>
        <w:tc>
          <w:tcPr/>
          <w:p>
            <w:pPr>
              <w:pStyle w:val="Compact"/>
              <w:jc w:val="left"/>
            </w:pPr>
            <w:r>
              <w:rPr>
                <w:b/>
                <w:bCs/>
              </w:rPr>
              <w:t xml:space="preserve">Fail → Pass</w:t>
            </w:r>
          </w:p>
        </w:tc>
      </w:tr>
      <w:tr>
        <w:tc>
          <w:tcPr/>
          <w:p>
            <w:pPr>
              <w:pStyle w:val="Compact"/>
              <w:jc w:val="left"/>
            </w:pPr>
            <w:r>
              <w:t xml:space="preserve">A</w:t>
            </w:r>
          </w:p>
        </w:tc>
        <w:tc>
          <w:tcPr/>
          <w:p>
            <w:pPr>
              <w:pStyle w:val="Compact"/>
              <w:jc w:val="left"/>
            </w:pPr>
            <w:r>
              <w:t xml:space="preserve">POS mode-share (panel-wide)</w:t>
            </w:r>
          </w:p>
        </w:tc>
        <w:tc>
          <w:tcPr/>
          <w:p>
            <w:pPr>
              <w:pStyle w:val="Compact"/>
              <w:jc w:val="left"/>
            </w:pPr>
            <w:r>
              <w:t xml:space="preserve">≤ 0.20</w:t>
            </w:r>
          </w:p>
        </w:tc>
        <w:tc>
          <w:tcPr/>
          <w:p>
            <w:pPr>
              <w:pStyle w:val="Compact"/>
              <w:jc w:val="left"/>
            </w:pPr>
            <w:r>
              <w:rPr>
                <w:b/>
                <w:bCs/>
              </w:rPr>
              <w:t xml:space="preserve">0.656</w:t>
            </w:r>
          </w:p>
        </w:tc>
        <w:tc>
          <w:tcPr/>
          <w:p>
            <w:pPr>
              <w:pStyle w:val="Compact"/>
              <w:jc w:val="left"/>
            </w:pPr>
            <w:r>
              <w:rPr>
                <w:b/>
                <w:bCs/>
              </w:rPr>
              <w:t xml:space="preserve">0.083</w:t>
            </w:r>
          </w:p>
        </w:tc>
        <w:tc>
          <w:tcPr/>
          <w:p>
            <w:pPr>
              <w:pStyle w:val="Compact"/>
              <w:jc w:val="left"/>
            </w:pPr>
            <w:r>
              <w:rPr>
                <w:b/>
                <w:bCs/>
              </w:rPr>
              <w:t xml:space="preserve">Fail → Pass</w:t>
            </w:r>
          </w:p>
        </w:tc>
      </w:tr>
      <w:tr>
        <w:tc>
          <w:tcPr/>
          <w:p>
            <w:pPr>
              <w:pStyle w:val="Compact"/>
              <w:jc w:val="left"/>
            </w:pPr>
            <w:r>
              <w:t xml:space="preserve">A</w:t>
            </w:r>
          </w:p>
        </w:tc>
        <w:tc>
          <w:tcPr/>
          <w:p>
            <w:pPr>
              <w:pStyle w:val="Compact"/>
              <w:jc w:val="left"/>
            </w:pPr>
            <w:r>
              <w:t xml:space="preserve">EOS mode-share (panel-wide)</w:t>
            </w:r>
          </w:p>
        </w:tc>
        <w:tc>
          <w:tcPr/>
          <w:p>
            <w:pPr>
              <w:pStyle w:val="Compact"/>
              <w:jc w:val="left"/>
            </w:pPr>
            <w:r>
              <w:t xml:space="preserve">≤ 0.20</w:t>
            </w:r>
          </w:p>
        </w:tc>
        <w:tc>
          <w:tcPr/>
          <w:p>
            <w:pPr>
              <w:pStyle w:val="Compact"/>
              <w:jc w:val="left"/>
            </w:pPr>
            <w:r>
              <w:rPr>
                <w:b/>
                <w:bCs/>
              </w:rPr>
              <w:t xml:space="preserve">0.727</w:t>
            </w:r>
          </w:p>
        </w:tc>
        <w:tc>
          <w:tcPr/>
          <w:p>
            <w:pPr>
              <w:pStyle w:val="Compact"/>
              <w:jc w:val="left"/>
            </w:pPr>
            <w:r>
              <w:rPr>
                <w:b/>
                <w:bCs/>
              </w:rPr>
              <w:t xml:space="preserve">0.083</w:t>
            </w:r>
          </w:p>
        </w:tc>
        <w:tc>
          <w:tcPr/>
          <w:p>
            <w:pPr>
              <w:pStyle w:val="Compact"/>
              <w:jc w:val="left"/>
            </w:pPr>
            <w:r>
              <w:rPr>
                <w:b/>
                <w:bCs/>
              </w:rPr>
              <w:t xml:space="preserve">Fail → Pass</w:t>
            </w:r>
          </w:p>
        </w:tc>
      </w:tr>
      <w:tr>
        <w:tc>
          <w:tcPr/>
          <w:p>
            <w:pPr>
              <w:pStyle w:val="Compact"/>
              <w:jc w:val="left"/>
            </w:pPr>
            <w:r>
              <w:t xml:space="preserve">B</w:t>
            </w:r>
          </w:p>
        </w:tc>
        <w:tc>
          <w:tcPr/>
          <w:p>
            <w:pPr>
              <w:pStyle w:val="Compact"/>
              <w:jc w:val="left"/>
            </w:pPr>
            <w:r>
              <w:t xml:space="preserve">Median SOS in plausible window</w:t>
            </w:r>
          </w:p>
        </w:tc>
        <w:tc>
          <w:tcPr/>
          <w:p>
            <w:pPr>
              <w:pStyle w:val="Compact"/>
              <w:jc w:val="left"/>
            </w:pPr>
            <w:r>
              <w:t xml:space="preserve">DOY 155–240</w:t>
            </w:r>
          </w:p>
        </w:tc>
        <w:tc>
          <w:tcPr/>
          <w:p>
            <w:pPr>
              <w:pStyle w:val="Compact"/>
              <w:jc w:val="left"/>
            </w:pPr>
            <w:r>
              <w:t xml:space="preserve">DOY 196 (pass)</w:t>
            </w:r>
          </w:p>
        </w:tc>
        <w:tc>
          <w:tcPr/>
          <w:p>
            <w:pPr>
              <w:pStyle w:val="Compact"/>
              <w:jc w:val="left"/>
            </w:pPr>
            <w:r>
              <w:t xml:space="preserve">DOY 203 (range 168–241)</w:t>
            </w:r>
          </w:p>
        </w:tc>
        <w:tc>
          <w:tcPr/>
          <w:p>
            <w:pPr>
              <w:pStyle w:val="Compact"/>
              <w:jc w:val="left"/>
            </w:pPr>
            <w:r>
              <w:t xml:space="preserve">Pass ✓</w:t>
            </w:r>
          </w:p>
        </w:tc>
      </w:tr>
      <w:tr>
        <w:tc>
          <w:tcPr/>
          <w:p>
            <w:pPr>
              <w:pStyle w:val="Compact"/>
              <w:jc w:val="left"/>
            </w:pPr>
            <w:r>
              <w:t xml:space="preserve">B</w:t>
            </w:r>
          </w:p>
        </w:tc>
        <w:tc>
          <w:tcPr/>
          <w:p>
            <w:pPr>
              <w:pStyle w:val="Compact"/>
              <w:jc w:val="left"/>
            </w:pPr>
            <w:r>
              <w:t xml:space="preserve">Median POS in plausible window</w:t>
            </w:r>
          </w:p>
        </w:tc>
        <w:tc>
          <w:tcPr/>
          <w:p>
            <w:pPr>
              <w:pStyle w:val="Compact"/>
              <w:jc w:val="left"/>
            </w:pPr>
            <w:r>
              <w:t xml:space="preserve">DOY 240–320</w:t>
            </w:r>
          </w:p>
        </w:tc>
        <w:tc>
          <w:tcPr/>
          <w:p>
            <w:pPr>
              <w:pStyle w:val="Compact"/>
              <w:jc w:val="left"/>
            </w:pPr>
            <w:r>
              <w:t xml:space="preserve">DOY 288 (pass)</w:t>
            </w:r>
          </w:p>
        </w:tc>
        <w:tc>
          <w:tcPr/>
          <w:p>
            <w:pPr>
              <w:pStyle w:val="Compact"/>
              <w:jc w:val="left"/>
            </w:pPr>
            <w:r>
              <w:t xml:space="preserve">DOY 287 (range 256–304)</w:t>
            </w:r>
          </w:p>
        </w:tc>
        <w:tc>
          <w:tcPr/>
          <w:p>
            <w:pPr>
              <w:pStyle w:val="Compact"/>
              <w:jc w:val="left"/>
            </w:pPr>
            <w:r>
              <w:t xml:space="preserve">Pass ✓</w:t>
            </w:r>
          </w:p>
        </w:tc>
      </w:tr>
      <w:tr>
        <w:tc>
          <w:tcPr/>
          <w:p>
            <w:pPr>
              <w:pStyle w:val="Compact"/>
              <w:jc w:val="left"/>
            </w:pPr>
            <w:r>
              <w:t xml:space="preserve">B</w:t>
            </w:r>
          </w:p>
        </w:tc>
        <w:tc>
          <w:tcPr/>
          <w:p>
            <w:pPr>
              <w:pStyle w:val="Compact"/>
              <w:jc w:val="left"/>
            </w:pPr>
            <w:r>
              <w:t xml:space="preserve">Median EOS in plausible window</w:t>
            </w:r>
          </w:p>
        </w:tc>
        <w:tc>
          <w:tcPr/>
          <w:p>
            <w:pPr>
              <w:pStyle w:val="Compact"/>
              <w:jc w:val="left"/>
            </w:pPr>
            <w:r>
              <w:t xml:space="preserve">DOY 280–380</w:t>
            </w:r>
          </w:p>
        </w:tc>
        <w:tc>
          <w:tcPr/>
          <w:p>
            <w:pPr>
              <w:pStyle w:val="Compact"/>
              <w:jc w:val="left"/>
            </w:pPr>
            <w:r>
              <w:t xml:space="preserve">DOY 349 (pass)</w:t>
            </w:r>
          </w:p>
        </w:tc>
        <w:tc>
          <w:tcPr/>
          <w:p>
            <w:pPr>
              <w:pStyle w:val="Compact"/>
              <w:jc w:val="left"/>
            </w:pPr>
            <w:r>
              <w:t xml:space="preserve">DOY 342 (range 320–374)</w:t>
            </w:r>
          </w:p>
        </w:tc>
        <w:tc>
          <w:tcPr/>
          <w:p>
            <w:pPr>
              <w:pStyle w:val="Compact"/>
              <w:jc w:val="left"/>
            </w:pPr>
            <w:r>
              <w:t xml:space="preserve">Pass ✓</w:t>
            </w:r>
          </w:p>
        </w:tc>
      </w:tr>
      <w:tr>
        <w:tc>
          <w:tcPr/>
          <w:p>
            <w:pPr>
              <w:pStyle w:val="Compact"/>
              <w:jc w:val="left"/>
            </w:pPr>
            <w:r>
              <w:t xml:space="preserve">C</w:t>
            </w:r>
          </w:p>
        </w:tc>
        <w:tc>
          <w:tcPr/>
          <w:p>
            <w:pPr>
              <w:pStyle w:val="Compact"/>
              <w:jc w:val="left"/>
            </w:pPr>
            <w:r>
              <w:t xml:space="preserve">Fit-fail rate across panel</w:t>
            </w:r>
          </w:p>
        </w:tc>
        <w:tc>
          <w:tcPr/>
          <w:p>
            <w:pPr>
              <w:pStyle w:val="Compact"/>
              <w:jc w:val="left"/>
            </w:pPr>
            <w:r>
              <w:t xml:space="preserve">≤ 0.80</w:t>
            </w:r>
          </w:p>
        </w:tc>
        <w:tc>
          <w:tcPr/>
          <w:p>
            <w:pPr>
              <w:pStyle w:val="Compact"/>
              <w:jc w:val="left"/>
            </w:pPr>
            <w:r>
              <w:t xml:space="preserve">not reported</w:t>
            </w:r>
          </w:p>
        </w:tc>
        <w:tc>
          <w:tcPr/>
          <w:p>
            <w:pPr>
              <w:pStyle w:val="Compact"/>
              <w:jc w:val="left"/>
            </w:pPr>
            <w:r>
              <w:t xml:space="preserve">0.606 avg</w:t>
            </w:r>
          </w:p>
        </w:tc>
        <w:tc>
          <w:tcPr/>
          <w:p>
            <w:pPr>
              <w:pStyle w:val="Compact"/>
              <w:jc w:val="left"/>
            </w:pPr>
            <w:r>
              <w:t xml:space="preserve">Pass ✓</w:t>
            </w:r>
          </w:p>
        </w:tc>
      </w:tr>
    </w:tbl>
    <w:p>
      <w:pPr>
        <w:pStyle w:val="BodyText"/>
      </w:pPr>
      <w:r>
        <w:rPr>
          <w:i/>
          <w:iCs/>
        </w:rPr>
        <w:t xml:space="preserve">Sources: QC gate thresholds from pre-registration (OSF 10.17605/OSF.IO/C4MP8); panel statistics from analysis/baci_panel_real_v1.csv (v1.0.2 raw pipeline) and analysis/baci_panel_real_v22.csv (v2.0). Abbreviations: QC = quality control; DOY = day of year; SOS = start of season; POS = peak of season; EOS = end of season; NDVI = Normalized Difference Vegetation Index; RMSR = root-mean-square residual of the double-logistic fit; OSF = Open Science Framework. The headline diagnostic is the collapse of EOS mode-share from 0.727 → 0.083 and the parallel collapse of POS mode-share from 0.656 → 0.083, both of which trivially fail Gate A in v1.0.2; the SOS mode-share falls from 0.203 → 0.125, also passing Gate A.</w:t>
      </w:r>
    </w:p>
    <w:bookmarkEnd w:id="43"/>
    <w:bookmarkStart w:id="47" w:name="did-specification-with-inland-controls"/>
    <w:p>
      <w:pPr>
        <w:pStyle w:val="Heading3"/>
      </w:pPr>
      <w:r>
        <w:t xml:space="preserve">3.5 DiD specification with inland controls</w:t>
      </w:r>
    </w:p>
    <w:p>
      <w:pPr>
        <w:pStyle w:val="FirstParagraph"/>
      </w:pPr>
      <w:r>
        <w:rPr>
          <w:b/>
          <w:bCs/>
        </w:rPr>
        <w:t xml:space="preserve">Estimating equation (Model 1: district-median panel).</w:t>
      </w:r>
      <w:r>
        <w:t xml:space="preserve"> </w:t>
      </w:r>
      <w:r>
        <w:t xml:space="preserve">For each phenometric (SOS, POS, EOS), we estimate the canonical two-way fixed-effects difference-in-differences specification on the district × year panel:</w:t>
      </w:r>
    </w:p>
    <w:p>
      <w:pPr>
        <w:pStyle w:val="BodyText"/>
      </w:pPr>
      <m:oMathPara>
        <m:oMathParaPr>
          <m:jc m:val="center"/>
        </m:oMathParaPr>
        <m:oMath>
          <m:sSub>
            <m:e>
              <m:r>
                <m:t>Y</m:t>
              </m:r>
            </m:e>
            <m:sub>
              <m:r>
                <m:t>d</m:t>
              </m:r>
              <m:r>
                <m:t>t</m:t>
              </m:r>
            </m:sub>
          </m:sSub>
          <m:r>
            <m:rPr>
              <m:sty m:val="p"/>
            </m:rPr>
            <m:t>=</m:t>
          </m:r>
          <m:sSub>
            <m:e>
              <m:r>
                <m:t>α</m:t>
              </m:r>
            </m:e>
            <m:sub>
              <m:r>
                <m:t>d</m:t>
              </m:r>
            </m:sub>
          </m:sSub>
          <m:r>
            <m:rPr>
              <m:sty m:val="p"/>
            </m:rPr>
            <m:t>+</m:t>
          </m:r>
          <m:sSub>
            <m:e>
              <m:r>
                <m:t>γ</m:t>
              </m:r>
            </m:e>
            <m:sub>
              <m:r>
                <m:t>t</m:t>
              </m:r>
            </m:sub>
          </m:sSub>
          <m:r>
            <m:rPr>
              <m:sty m:val="p"/>
            </m:rPr>
            <m:t>+</m:t>
          </m:r>
          <m:r>
            <m:t>τ</m:t>
          </m:r>
          <m:r>
            <m:rPr>
              <m:sty m:val="p"/>
            </m:rPr>
            <m:t>⋅</m:t>
          </m:r>
          <m:d>
            <m:dPr>
              <m:begChr m:val="("/>
              <m:endChr m:val=")"/>
              <m:sepChr m:val=""/>
              <m:grow/>
            </m:dPr>
            <m:e>
              <m:sSub>
                <m:e>
                  <m:r>
                    <m:rPr>
                      <m:nor/>
                      <m:sty m:val="p"/>
                    </m:rPr>
                    <m:t>Treat</m:t>
                  </m:r>
                </m:e>
                <m:sub>
                  <m:r>
                    <m:t>d</m:t>
                  </m:r>
                </m:sub>
              </m:sSub>
              <m:r>
                <m:rPr>
                  <m:sty m:val="p"/>
                </m:rPr>
                <m:t>×</m:t>
              </m:r>
              <m:sSub>
                <m:e>
                  <m:r>
                    <m:rPr>
                      <m:nor/>
                      <m:sty m:val="p"/>
                    </m:rPr>
                    <m:t>Post</m:t>
                  </m:r>
                </m:e>
                <m:sub>
                  <m:r>
                    <m:t>t</m:t>
                  </m:r>
                </m:sub>
              </m:sSub>
            </m:e>
          </m:d>
          <m:r>
            <m:rPr>
              <m:sty m:val="p"/>
            </m:rPr>
            <m:t>+</m:t>
          </m:r>
          <m:sSub>
            <m:e>
              <m:r>
                <m:t>ε</m:t>
              </m:r>
            </m:e>
            <m:sub>
              <m:r>
                <m:t>d</m:t>
              </m:r>
              <m:r>
                <m:t>t</m:t>
              </m:r>
            </m:sub>
          </m:sSub>
        </m:oMath>
      </m:oMathPara>
    </w:p>
    <w:p>
      <w:pPr>
        <w:pStyle w:val="FirstParagraph"/>
      </w:pPr>
      <w:r>
        <w:t xml:space="preserve">where</w:t>
      </w:r>
      <w:r>
        <w:t xml:space="preserve"> </w:t>
      </w:r>
      <m:oMath>
        <m:sSub>
          <m:e>
            <m:r>
              <m:t>Y</m:t>
            </m:r>
          </m:e>
          <m:sub>
            <m:r>
              <m:t>d</m:t>
            </m:r>
            <m:r>
              <m:t>t</m:t>
            </m:r>
          </m:sub>
        </m:sSub>
      </m:oMath>
      <w:r>
        <w:t xml:space="preserve"> </w:t>
      </w:r>
      <w:r>
        <w:t xml:space="preserve">is the district-median pixel-level phenometric (in DOY) for district</w:t>
      </w:r>
      <w:r>
        <w:t xml:space="preserve"> </w:t>
      </w:r>
      <m:oMath>
        <m:r>
          <m:t>d</m:t>
        </m:r>
      </m:oMath>
      <w:r>
        <w:t xml:space="preserve"> </w:t>
      </w:r>
      <w:r>
        <w:t xml:space="preserve">in year</w:t>
      </w:r>
      <w:r>
        <w:t xml:space="preserve"> </w:t>
      </w:r>
      <m:oMath>
        <m:r>
          <m:t>t</m:t>
        </m:r>
      </m:oMath>
      <w:r>
        <w:t xml:space="preserve">;</w:t>
      </w:r>
      <w:r>
        <w:t xml:space="preserve"> </w:t>
      </w:r>
      <m:oMath>
        <m:sSub>
          <m:e>
            <m:r>
              <m:t>α</m:t>
            </m:r>
          </m:e>
          <m:sub>
            <m:r>
              <m:t>d</m:t>
            </m:r>
          </m:sub>
        </m:sSub>
      </m:oMath>
      <w:r>
        <w:t xml:space="preserve"> </w:t>
      </w:r>
      <w:r>
        <w:t xml:space="preserve">is a district fixed effect absorbing all time-invariant district heterogeneity (baseline rainfall, soil type, elevation, cropping calendar);</w:t>
      </w:r>
      <w:r>
        <w:t xml:space="preserve"> </w:t>
      </w:r>
      <m:oMath>
        <m:sSub>
          <m:e>
            <m:r>
              <m:t>γ</m:t>
            </m:r>
          </m:e>
          <m:sub>
            <m:r>
              <m:t>t</m:t>
            </m:r>
          </m:sub>
        </m:sSub>
      </m:oMath>
      <w:r>
        <w:t xml:space="preserve"> </w:t>
      </w:r>
      <w:r>
        <w:t xml:space="preserve">is a year fixed effect absorbing common shocks (monsoon-onset anomalies, El Niño–Southern Oscillation (ENSO) state, pan-Odisha policy changes);</w:t>
      </w:r>
      <w:r>
        <w:t xml:space="preserve"> </w:t>
      </w:r>
      <m:oMath>
        <m:sSub>
          <m:e>
            <m:r>
              <m:rPr>
                <m:nor/>
                <m:sty m:val="p"/>
              </m:rPr>
              <m:t>Treat</m:t>
            </m:r>
          </m:e>
          <m:sub>
            <m:r>
              <m:t>d</m:t>
            </m:r>
          </m:sub>
        </m:sSub>
        <m:r>
          <m:rPr>
            <m:sty m:val="p"/>
          </m:rPr>
          <m:t>∈</m:t>
        </m:r>
        <m:r>
          <m:rPr>
            <m:sty m:val="p"/>
          </m:rPr>
          <m:t>{</m:t>
        </m:r>
        <m:r>
          <m:t>0</m:t>
        </m:r>
        <m:r>
          <m:rPr>
            <m:sty m:val="p"/>
          </m:rPr>
          <m:t>,</m:t>
        </m:r>
        <m:r>
          <m:t>1</m:t>
        </m:r>
        <m:r>
          <m:rPr>
            <m:sty m:val="p"/>
          </m:rPr>
          <m:t>}</m:t>
        </m:r>
      </m:oMath>
      <w:r>
        <w:t xml:space="preserve"> </w:t>
      </w:r>
      <w:r>
        <w:t xml:space="preserve">flags the five coastal treatment districts (BLS, BHA, KDP, JGS, PUR);</w:t>
      </w:r>
      <w:r>
        <w:t xml:space="preserve"> </w:t>
      </w:r>
      <m:oMath>
        <m:sSub>
          <m:e>
            <m:r>
              <m:rPr>
                <m:nor/>
                <m:sty m:val="p"/>
              </m:rPr>
              <m:t>Post</m:t>
            </m:r>
          </m:e>
          <m:sub>
            <m:r>
              <m:t>t</m:t>
            </m:r>
          </m:sub>
        </m:sSub>
        <m:r>
          <m:rPr>
            <m:sty m:val="p"/>
          </m:rPr>
          <m:t>∈</m:t>
        </m:r>
        <m:r>
          <m:rPr>
            <m:sty m:val="p"/>
          </m:rPr>
          <m:t>{</m:t>
        </m:r>
        <m:r>
          <m:t>0</m:t>
        </m:r>
        <m:r>
          <m:rPr>
            <m:sty m:val="p"/>
          </m:rPr>
          <m:t>,</m:t>
        </m:r>
        <m:r>
          <m:t>1</m:t>
        </m:r>
        <m:r>
          <m:rPr>
            <m:sty m:val="p"/>
          </m:rPr>
          <m:t>}</m:t>
        </m:r>
      </m:oMath>
      <w:r>
        <w:t xml:space="preserve"> </w:t>
      </w:r>
      <w:r>
        <w:t xml:space="preserve">flags the three pre-Kharif cyclone years (2019, 2020, 2021); and</w:t>
      </w:r>
      <w:r>
        <w:t xml:space="preserve"> </w:t>
      </w:r>
      <m:oMath>
        <m:r>
          <m:t>τ</m:t>
        </m:r>
      </m:oMath>
      <w:r>
        <w:t xml:space="preserve"> </w:t>
      </w:r>
      <w:r>
        <w:t xml:space="preserve">is the average treatment effect on the treated (ATT), expressed in days.</w:t>
      </w:r>
    </w:p>
    <w:p>
      <w:pPr>
        <w:pStyle w:val="BodyText"/>
      </w:pPr>
      <w:r>
        <w:rPr>
          <w:b/>
          <w:bCs/>
        </w:rPr>
        <w:t xml:space="preserve">Pixel-level specification (Model 2).</w:t>
      </w:r>
      <w:r>
        <w:t xml:space="preserve"> </w:t>
      </w:r>
      <w:r>
        <w:t xml:space="preserve">To probe within-district heterogeneity in cyclone exposure, we additionally estimate the same equation at cell-year resolution — with</w:t>
      </w:r>
      <w:r>
        <w:t xml:space="preserve"> </w:t>
      </w:r>
      <m:oMath>
        <m:sSub>
          <m:e>
            <m:r>
              <m:t>Y</m:t>
            </m:r>
          </m:e>
          <m:sub>
            <m:r>
              <m:t>c</m:t>
            </m:r>
            <m:r>
              <m:t>d</m:t>
            </m:r>
            <m:r>
              <m:t>t</m:t>
            </m:r>
          </m:sub>
        </m:sSub>
      </m:oMath>
      <w:r>
        <w:t xml:space="preserve"> </w:t>
      </w:r>
      <w:r>
        <w:t xml:space="preserve">the cell-level phenometric for cell</w:t>
      </w:r>
      <w:r>
        <w:t xml:space="preserve"> </w:t>
      </w:r>
      <m:oMath>
        <m:r>
          <m:t>c</m:t>
        </m:r>
      </m:oMath>
      <w:r>
        <w:t xml:space="preserve"> </w:t>
      </w:r>
      <w:r>
        <w:t xml:space="preserve">in district</w:t>
      </w:r>
      <w:r>
        <w:t xml:space="preserve"> </w:t>
      </w:r>
      <m:oMath>
        <m:r>
          <m:t>d</m:t>
        </m:r>
      </m:oMath>
      <w:r>
        <w:t xml:space="preserve"> </w:t>
      </w:r>
      <w:r>
        <w:t xml:space="preserve">in year</w:t>
      </w:r>
      <w:r>
        <w:t xml:space="preserve"> </w:t>
      </w:r>
      <m:oMath>
        <m:r>
          <m:t>t</m:t>
        </m:r>
      </m:oMath>
      <w:r>
        <w:t xml:space="preserve">,</w:t>
      </w:r>
      <w:r>
        <w:t xml:space="preserve"> </w:t>
      </w:r>
      <m:oMath>
        <m:sSub>
          <m:e>
            <m:r>
              <m:t>α</m:t>
            </m:r>
          </m:e>
          <m:sub>
            <m:r>
              <m:t>d</m:t>
            </m:r>
          </m:sub>
        </m:sSub>
      </m:oMath>
      <w:r>
        <w:t xml:space="preserve"> </w:t>
      </w:r>
      <w:r>
        <w:t xml:space="preserve">retained as a district fixed effect (cell-level fixed effects are not identified given the cell-year sample),</w:t>
      </w:r>
      <w:r>
        <w:t xml:space="preserve"> </w:t>
      </w:r>
      <m:oMath>
        <m:sSub>
          <m:e>
            <m:r>
              <m:t>γ</m:t>
            </m:r>
          </m:e>
          <m:sub>
            <m:r>
              <m:t>t</m:t>
            </m:r>
          </m:sub>
        </m:sSub>
      </m:oMath>
      <w:r>
        <w:t xml:space="preserve"> </w:t>
      </w:r>
      <w:r>
        <w:t xml:space="preserve">retained as a year fixed effect, and standard errors clustered at the district level (G = 8). Model 2 has effective sample n = 1,223 cell-years across 436 unique cells. Estimates are reported in §4.4 alongside Model 1; the pixel-level minimum-detectable effects are reported in §4.1 and Table S8.</w:t>
      </w:r>
    </w:p>
    <w:p>
      <w:pPr>
        <w:pStyle w:val="BodyText"/>
      </w:pPr>
      <w:r>
        <w:rPr>
          <w:b/>
          <w:bCs/>
        </w:rPr>
        <w:t xml:space="preserve">Sample.</w:t>
      </w:r>
      <w:r>
        <w:t xml:space="preserve"> </w:t>
      </w:r>
      <w:r>
        <w:t xml:space="preserve">The Model 1 estimation sample is the 48-row panel (8 districts × 6 years: 2019–2024). Treatment × post cell count: 15 district-year observations (5 coastal districts × 3 cyclone years 2019–2021).</w:t>
      </w:r>
    </w:p>
    <w:p>
      <w:pPr>
        <w:pStyle w:val="BodyText"/>
      </w:pPr>
      <w:r>
        <w:rPr>
          <w:b/>
          <w:bCs/>
        </w:rPr>
        <w:t xml:space="preserve">Treatment definition: intent-to-treat (ITT).</w:t>
      </w:r>
      <w:r>
        <w:t xml:space="preserve"> </w:t>
      </w:r>
      <w:r>
        <w:t xml:space="preserve">The Treat_d × Post_t indicator is coded one for all five coastal districts in all three cyclone years, regardless of whether an individual district fell inside the IBTrACS 50-km landfall buffer for the named cyclone in that specific year. Table 1 lists the named-cyclone exposures by district (nine unique district-cyclone exposures across the five coastal units, e.g., Baleshwar is exposed to Fani 2019 and Yaas 2021 but not to Amphan 2020); the 5 × 3 = 15 treat × post cells therefore include six district-year cells in which the coastal unit was outside the 50-km buffer of the named storm of that year. We retain the symmetric 5 × 3 ITT coding because (i) coastal districts share the broader pre-Kharif synoptic environment of each cyclone (heavy rainfall, surge-adjacent inland flooding, regional agricultural disruption) even when the IBTrACS centre track passes outside their 50-km buffer, and (ii) restricting τ to the nine treatment-on-treated (TOT) cells would force unbalanced cluster sizes that are problematic for cluster-robust inference at G = 8. The reported τ̂ should therefore be read as an ITT estimate; the corresponding TOT estimate would scale up by approximately the inverse exposure rate (15 / 9 ≈ 1.67), but the null finding does not depend on this distinction because the ITT estimate is itself not distinguishable from zero.</w:t>
      </w:r>
    </w:p>
    <w:p>
      <w:pPr>
        <w:pStyle w:val="BodyText"/>
      </w:pPr>
      <w:r>
        <w:rPr>
          <w:b/>
          <w:bCs/>
        </w:rPr>
        <w:t xml:space="preserve">Inland-control design rationale.</w:t>
      </w:r>
      <w:r>
        <w:t xml:space="preserve"> </w:t>
      </w:r>
      <w:r>
        <w:t xml:space="preserve">The choice of three inland control districts — Angul, Dhenkanal, and Cuttack — rather than synthetic or matched controls is motivated by the following considerations. First, inland districts share the same monsoon system but are categorically outside the IBTrACS 50-km landfall buffer for any of the three treatment cyclones, providing a clean unexposed comparison group for the DiD design. Second, all three inland districts are established Kharif rice cultivating areas with similar agronomy and input availability, making the parallel-trends assumption plausible. Third, using real contemporaneous controls rather than synthetic ones avoids the auxiliary model uncertainty associated with synthetic control methods in short panels (G = 8). The identification assumption is that, absent the cyclone treatment, coastal and inland districts would have followed the same year-to-year pattern in median phenometric values. This assumption is supported by the geographic continuity of the South-West monsoon onset across the eight districts and the similar varietal composition of Kharif rice.</w:t>
      </w:r>
    </w:p>
    <w:p>
      <w:pPr>
        <w:pStyle w:val="BodyText"/>
      </w:pPr>
      <w:r>
        <w:rPr>
          <w:b/>
          <w:bCs/>
        </w:rPr>
        <w:t xml:space="preserve">Inference.</w:t>
      </w:r>
      <w:r>
        <w:t xml:space="preserve"> </w:t>
      </w:r>
      <w:r>
        <w:t xml:space="preserve">Standard errors are clustered at the district level using the cluster-robust variance estimator with the standard small-sample correction (CR1, G = 8 clusters, degrees of freedom = G − 1 = 7). Because G = 8 is below the rule-of-thumb threshold for asymptotic cluster-robust inference, the preferred small-cluster inference is the Rademacher wild-cluster bootstrap (WCB) of Cameron, Gelbach &amp; Miller (2008), implemented with 499 bootstrap draws and confidence-interval (CI) inversion at p = 0.05. Both cluster-robust and WCB p-values are reported; WCB is the inferential ground truth.</w:t>
      </w:r>
    </w:p>
    <w:p>
      <w:pPr>
        <w:pStyle w:val="BodyText"/>
      </w:pPr>
      <w:r>
        <w:rPr>
          <w:b/>
          <w:bCs/>
        </w:rPr>
        <w:t xml:space="preserve">Parallel-trends evidence.</w:t>
      </w:r>
      <w:r>
        <w:t xml:space="preserve"> </w:t>
      </w:r>
      <w:r>
        <w:t xml:space="preserve">The v2.0 Sentinel-2 QC-passing panel begins in 2019 (the year of the first treatment event, Cyclone Fani). To probe the parallel-trends assumption directly, we re-estimate the event-study specification (Equation 2) with 2018 as the reference year and 2017 entering as a pre-period lead, using the SOS and POS distributions extracted from the unfiltered v1.0.2 panel for 2017–2018 with relaxed Gate-C tolerance (Gate B retained as-is). The resulting pre-period lead coefficients are reported in Figure 3 and Table S3. The 2017 SOS lead is +63.6 d (95% CI [−29, +157], Wald χ²(1) = 1.80, p = 0.18); the 2017 POS lead is +2.4 d (95% CI [−25, +30], Wald χ²(1) = 0.03, p = 0.86). Neither rejects the parallel-trends null at conventional levels. We do not interpret this as a passed test in the usual sense — with a single pre-period lead the test is severely underpowered — but it does establish that the only directly observable pre-period coefficient is statistically indistinguishable from zero. The EOS pre-period coefficient cannot be estimated because EOS in the v2.0 panel takes only two distinct values (DOY 349 and 350), a residual upper-boundary saturation we document in §4.6 and §5.4; consequently EOS is omitted from Figure 3.</w:t>
      </w:r>
    </w:p>
    <w:p>
      <w:pPr>
        <w:pStyle w:val="CaptionedFigure"/>
      </w:pPr>
      <w:r>
        <w:drawing>
          <wp:inline>
            <wp:extent cx="5334000" cy="2724092"/>
            <wp:effectExtent b="0" l="0" r="0" t="0"/>
            <wp:docPr descr="Figure 3. Parallel-trends evidence: event-study coefficients with 2018 as the reference year, showing 2017 as a single pre-period lead and 2019–2024 as post-period lags, for start of season (SOS, left panel) and peak of season (POS, right panel). Filled circles are point estimates \hat\beta_k in days; vertical lines with caps are 95% confidence intervals (CIs). The red point in each panel is the 2017 pre-period lead (extracted from the unfiltered v1.0.2 panel with relaxed Gate-C tolerance and Gate B retained); blue points are post-period lags (the QC-passing v2.0 panel coefficients re-estimated under the 2018-anchored specification). The hollow circle at year 2018 marks the reference year (\hat\beta_{2018} \equiv 0). The horizontal dotted line marks the null effect (\beta = 0). Pale-orange vertical bands mark the three cyclone treatment years (2019 Cyclone Fani; 2020 Cyclone Amphan; 2021 Cyclone Yaas); the darker orange band at 2017 highlights the single available pre-period lead. The vertical dashed line at 2018 marks the reference year. The 2017 pre-period lead is statistically indistinguishable from zero for both metrics: \hat\beta_{2017}^{\mathrm{SOS}} = +63.6 d (95% CI [−29.4, +156.6], Wald \chi^2(1) = 1.80, p = 0.18); \hat\beta_{2017}^{\mathrm{POS}} = +2.4 d (95% CI [−24.9, +29.7], Wald \chi^2(1) = 0.03, p = 0.86). With only one pre-period observation per metric, this test is severely underpowered — the SOS CI spans ±90 d — but the result establishes that the only directly observable pre-period coefficient does not reject the parallel-trends null at conventional levels. Post-period lag coefficients (k = 1, \ldots, 6, corresponding to years 2019–2024) are shown for completeness; their interpretation under the 2018-anchored specification differs from the 2019-anchored event study in Figure 6 because the QC-passing v2.0 panel has only one pre-event observation. The end of season (EOS) panel is omitted because the EOS distribution in the v2.0 panel outside 2019–2024 takes only two distinct values (DOY 349 and 350), an upper-boundary saturation that prevents identification of any EOS event-study coefficient. The static EOS DiD reported in §4.4 is unaffected by this limitation because it relies on the panel mean shift across district-years rather than within-year variance. A four-lead pre-trends test using the Landsat-5/7/8 harmonised extension (Module 13, §3.5) is reported in Tables S4a, S4b and visualised in Figure S2. Standard errors are district-clustered using the cluster-robust variance estimator with the standard small-sample correction (CR1; G = 8 clusters, df = 7); n = 56 district-year observations (8 districts × 7 years 2017–2024); DiD = difference-in-differences; QC = quality control; DOY = day-of-year. Source script: build_fig3_parallel_trends.py; embedded raster: figures/fig3_parallel_trends.jpg (1000 dpi); vector archive: figures/fig3_parallel_trends.pdf; underlying data: /home/user/workspace/rse_final/reviewer_rebuttal/table_S10_event_study.csv (also released as Table S3 of the supplement)." title="" id="45" name="Picture"/>
            <a:graphic>
              <a:graphicData uri="http://schemas.openxmlformats.org/drawingml/2006/picture">
                <pic:pic>
                  <pic:nvPicPr>
                    <pic:cNvPr descr="figures/fig3_parallel_trends.jpg" id="46" name="Picture"/>
                    <pic:cNvPicPr>
                      <a:picLocks noChangeArrowheads="1" noChangeAspect="1"/>
                    </pic:cNvPicPr>
                  </pic:nvPicPr>
                  <pic:blipFill>
                    <a:blip r:embed="rId44"/>
                    <a:stretch>
                      <a:fillRect/>
                    </a:stretch>
                  </pic:blipFill>
                  <pic:spPr bwMode="auto">
                    <a:xfrm>
                      <a:off x="0" y="0"/>
                      <a:ext cx="5334000" cy="2724092"/>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Parallel-trends evidence: event-study coefficients with 2018 as the reference year, showing 2017 as a single pre-period lead and 2019–2024 as post-period lags, for start of season (SOS, left panel) and peak of season (POS, right panel). Filled circles are point estimates</w:t>
      </w:r>
      <w:r>
        <w:t xml:space="preserve"> </w:t>
      </w:r>
      <m:oMath>
        <m:sSub>
          <m:e>
            <m:acc>
              <m:accPr>
                <m:chr m:val="̂"/>
              </m:accPr>
              <m:e>
                <m:r>
                  <m:t>β</m:t>
                </m:r>
              </m:e>
            </m:acc>
          </m:e>
          <m:sub>
            <m:r>
              <m:t>k</m:t>
            </m:r>
          </m:sub>
        </m:sSub>
      </m:oMath>
      <w:r>
        <w:t xml:space="preserve"> </w:t>
      </w:r>
      <w:r>
        <w:t xml:space="preserve">in days; vertical lines with caps are 95% confidence intervals (CIs). The red point in each panel is the 2017 pre-period lead (extracted from the unfiltered v1.0.2 panel with relaxed Gate-C tolerance and Gate B retained); blue points are post-period lags (the QC-passing v2.0 panel coefficients re-estimated under the 2018-anchored specification). The hollow circle at year 2018 marks the reference year (</w:t>
      </w:r>
      <m:oMath>
        <m:sSub>
          <m:e>
            <m:acc>
              <m:accPr>
                <m:chr m:val="̂"/>
              </m:accPr>
              <m:e>
                <m:r>
                  <m:t>β</m:t>
                </m:r>
              </m:e>
            </m:acc>
          </m:e>
          <m:sub>
            <m:r>
              <m:t>2018</m:t>
            </m:r>
          </m:sub>
        </m:sSub>
        <m:r>
          <m:rPr>
            <m:sty m:val="p"/>
          </m:rPr>
          <m:t>≡</m:t>
        </m:r>
        <m:r>
          <m:t>0</m:t>
        </m:r>
      </m:oMath>
      <w:r>
        <w:t xml:space="preserve">). The horizontal dotted line marks the null effect (</w:t>
      </w:r>
      <m:oMath>
        <m:r>
          <m:t>β</m:t>
        </m:r>
        <m:r>
          <m:rPr>
            <m:sty m:val="p"/>
          </m:rPr>
          <m:t>=</m:t>
        </m:r>
        <m:r>
          <m:t>0</m:t>
        </m:r>
      </m:oMath>
      <w:r>
        <w:t xml:space="preserve">). Pale-orange vertical bands mark the three cyclone treatment years (2019 Cyclone Fani; 2020 Cyclone Amphan; 2021 Cyclone Yaas); the darker orange band at 2017 highlights the single available pre-period lead. The vertical dashed line at 2018 marks the reference year. The 2017 pre-period lead is statistically indistinguishable from zero for both metrics:</w:t>
      </w:r>
      <w:r>
        <w:t xml:space="preserve"> </w:t>
      </w:r>
      <m:oMath>
        <m:sSubSup>
          <m:e>
            <m:acc>
              <m:accPr>
                <m:chr m:val="̂"/>
              </m:accPr>
              <m:e>
                <m:r>
                  <m:t>β</m:t>
                </m:r>
              </m:e>
            </m:acc>
          </m:e>
          <m:sub>
            <m:r>
              <m:t>2017</m:t>
            </m:r>
          </m:sub>
          <m:sup>
            <m:r>
              <m:rPr>
                <m:sty m:val="p"/>
              </m:rPr>
              <m:t>S</m:t>
            </m:r>
            <m:r>
              <m:rPr>
                <m:sty m:val="p"/>
              </m:rPr>
              <m:t>O</m:t>
            </m:r>
            <m:r>
              <m:rPr>
                <m:sty m:val="p"/>
              </m:rPr>
              <m:t>S</m:t>
            </m:r>
          </m:sup>
        </m:sSubSup>
      </m:oMath>
      <w:r>
        <w:t xml:space="preserve"> </w:t>
      </w:r>
      <w:r>
        <w:t xml:space="preserve">= +63.6 d (95% CI [−29.4, +156.6], Wald</w:t>
      </w:r>
      <w:r>
        <w:t xml:space="preserve"> </w:t>
      </w:r>
      <m:oMath>
        <m:sSup>
          <m:e>
            <m:r>
              <m:t>χ</m:t>
            </m:r>
          </m:e>
          <m:sup>
            <m:r>
              <m:t>2</m:t>
            </m:r>
          </m:sup>
        </m:sSup>
        <m:d>
          <m:dPr>
            <m:begChr m:val="("/>
            <m:endChr m:val=")"/>
            <m:sepChr m:val=""/>
            <m:grow/>
          </m:dPr>
          <m:e>
            <m:r>
              <m:t>1</m:t>
            </m:r>
          </m:e>
        </m:d>
      </m:oMath>
      <w:r>
        <w:t xml:space="preserve"> </w:t>
      </w:r>
      <w:r>
        <w:t xml:space="preserve">= 1.80, p = 0.18);</w:t>
      </w:r>
      <w:r>
        <w:t xml:space="preserve"> </w:t>
      </w:r>
      <m:oMath>
        <m:sSubSup>
          <m:e>
            <m:acc>
              <m:accPr>
                <m:chr m:val="̂"/>
              </m:accPr>
              <m:e>
                <m:r>
                  <m:t>β</m:t>
                </m:r>
              </m:e>
            </m:acc>
          </m:e>
          <m:sub>
            <m:r>
              <m:t>2017</m:t>
            </m:r>
          </m:sub>
          <m:sup>
            <m:r>
              <m:rPr>
                <m:sty m:val="p"/>
              </m:rPr>
              <m:t>P</m:t>
            </m:r>
            <m:r>
              <m:rPr>
                <m:sty m:val="p"/>
              </m:rPr>
              <m:t>O</m:t>
            </m:r>
            <m:r>
              <m:rPr>
                <m:sty m:val="p"/>
              </m:rPr>
              <m:t>S</m:t>
            </m:r>
          </m:sup>
        </m:sSubSup>
      </m:oMath>
      <w:r>
        <w:t xml:space="preserve"> </w:t>
      </w:r>
      <w:r>
        <w:t xml:space="preserve">= +2.4 d (95% CI [−24.9, +29.7], Wald</w:t>
      </w:r>
      <w:r>
        <w:t xml:space="preserve"> </w:t>
      </w:r>
      <m:oMath>
        <m:sSup>
          <m:e>
            <m:r>
              <m:t>χ</m:t>
            </m:r>
          </m:e>
          <m:sup>
            <m:r>
              <m:t>2</m:t>
            </m:r>
          </m:sup>
        </m:sSup>
        <m:d>
          <m:dPr>
            <m:begChr m:val="("/>
            <m:endChr m:val=")"/>
            <m:sepChr m:val=""/>
            <m:grow/>
          </m:dPr>
          <m:e>
            <m:r>
              <m:t>1</m:t>
            </m:r>
          </m:e>
        </m:d>
      </m:oMath>
      <w:r>
        <w:t xml:space="preserve"> </w:t>
      </w:r>
      <w:r>
        <w:t xml:space="preserve">= 0.03, p = 0.86). With only one pre-period observation per metric, this test is severely underpowered — the SOS CI spans ±90 d — but the result establishes that the only directly observable pre-period coefficient does not reject the parallel-trends null at conventional levels. Post-period lag coefficients (</w:t>
      </w:r>
      <m:oMath>
        <m:r>
          <m:t>k</m:t>
        </m:r>
        <m:r>
          <m:rPr>
            <m:sty m:val="p"/>
          </m:rPr>
          <m:t>=</m:t>
        </m:r>
        <m:r>
          <m:t>1</m:t>
        </m:r>
        <m:r>
          <m:rPr>
            <m:sty m:val="p"/>
          </m:rPr>
          <m:t>,</m:t>
        </m:r>
        <m:r>
          <m:rPr>
            <m:sty m:val="p"/>
          </m:rPr>
          <m:t>…</m:t>
        </m:r>
        <m:r>
          <m:rPr>
            <m:sty m:val="p"/>
          </m:rPr>
          <m:t>,</m:t>
        </m:r>
        <m:r>
          <m:t>6</m:t>
        </m:r>
      </m:oMath>
      <w:r>
        <w:t xml:space="preserve">, corresponding to years 2019–2024) are shown for completeness; their interpretation under the 2018-anchored specification differs from the 2019-anchored event study in Figure 6 because the QC-passing v2.0 panel has only one pre-event observation. The end of season (EOS) panel is omitted because the EOS distribution in the v2.0 panel outside 2019–2024 takes only two distinct values (DOY 349 and 350), an upper-boundary saturation that prevents identification of any EOS event-study coefficient. The static EOS DiD reported in §4.4 is unaffected by this limitation because it relies on the panel mean shift across district-years rather than within-year variance. A four-lead pre-trends test using the Landsat-5/7/8 harmonised extension (Module 13, §3.5) is reported in Tables S4a, S4b and visualised in Figure S2. Standard errors are district-clustered using the cluster-robust variance estimator with the standard small-sample correction (CR1;</w:t>
      </w:r>
      <w:r>
        <w:t xml:space="preserve"> </w:t>
      </w:r>
      <m:oMath>
        <m:r>
          <m:t>G</m:t>
        </m:r>
      </m:oMath>
      <w:r>
        <w:t xml:space="preserve"> </w:t>
      </w:r>
      <w:r>
        <w:t xml:space="preserve">= 8 clusters, df = 7);</w:t>
      </w:r>
      <w:r>
        <w:t xml:space="preserve"> </w:t>
      </w:r>
      <m:oMath>
        <m:r>
          <m:t>n</m:t>
        </m:r>
      </m:oMath>
      <w:r>
        <w:t xml:space="preserve"> </w:t>
      </w:r>
      <w:r>
        <w:t xml:space="preserve">= 56 district-year observations (8 districts × 7 years 2017–2024); DiD = difference-in-differences; QC = quality control; DOY = day-of-year. Source script:</w:t>
      </w:r>
      <w:r>
        <w:t xml:space="preserve"> </w:t>
      </w:r>
      <w:r>
        <w:rPr>
          <w:rStyle w:val="VerbatimChar"/>
        </w:rPr>
        <w:t xml:space="preserve">build_fig3_parallel_trends.py</w:t>
      </w:r>
      <w:r>
        <w:t xml:space="preserve">; embedded raster:</w:t>
      </w:r>
      <w:r>
        <w:t xml:space="preserve"> </w:t>
      </w:r>
      <w:r>
        <w:rPr>
          <w:rStyle w:val="VerbatimChar"/>
        </w:rPr>
        <w:t xml:space="preserve">figures/fig3_parallel_trends.jpg</w:t>
      </w:r>
      <w:r>
        <w:t xml:space="preserve"> </w:t>
      </w:r>
      <w:r>
        <w:t xml:space="preserve">(1000 dpi); vector archive:</w:t>
      </w:r>
      <w:r>
        <w:t xml:space="preserve"> </w:t>
      </w:r>
      <w:r>
        <w:rPr>
          <w:rStyle w:val="VerbatimChar"/>
        </w:rPr>
        <w:t xml:space="preserve">figures/fig3_parallel_trends.pdf</w:t>
      </w:r>
      <w:r>
        <w:t xml:space="preserve">; underlying data:</w:t>
      </w:r>
      <w:r>
        <w:t xml:space="preserve"> </w:t>
      </w:r>
      <w:r>
        <w:rPr>
          <w:rStyle w:val="VerbatimChar"/>
        </w:rPr>
        <w:t xml:space="preserve">/home/user/workspace/rse_final/reviewer_rebuttal/table_S10_event_study.csv</w:t>
      </w:r>
      <w:r>
        <w:t xml:space="preserve"> </w:t>
      </w:r>
      <w:r>
        <w:t xml:space="preserve">(also released as Table S3 of the supplement).</w:t>
      </w:r>
    </w:p>
    <w:p>
      <w:pPr>
        <w:pStyle w:val="BodyText"/>
      </w:pPr>
      <w:r>
        <w:rPr>
          <w:b/>
          <w:bCs/>
        </w:rPr>
        <w:t xml:space="preserve">Landsat-5/7/8 harmonised pre-period extension.</w:t>
      </w:r>
      <w:r>
        <w:t xml:space="preserve"> </w:t>
      </w:r>
      <w:r>
        <w:t xml:space="preserve">To strengthen the pre-trends evidence beyond a single lead, we integrate a Landsat-5/7/8 harmonised pre-period extension module (</w:t>
      </w:r>
      <w:r>
        <w:rPr>
          <w:rStyle w:val="VerbatimChar"/>
        </w:rPr>
        <w:t xml:space="preserve">gee/Module_13_Landsat_Pretrends.js</w:t>
      </w:r>
      <w:r>
        <w:t xml:space="preserve">) into the released codebase that applies the Roy et al. (2016) Landsat–Sentinel-2 NDVI cross-calibration coefficients and runs the identical dekadal-NDVI / double-logistic / QC pipeline on the 2014–2018 archive. This produces a five-year pre-period extension of the panel and supports a four-lead pre-trends Wald test (consumed by</w:t>
      </w:r>
      <w:r>
        <w:t xml:space="preserve"> </w:t>
      </w:r>
      <w:r>
        <w:rPr>
          <w:rStyle w:val="VerbatimChar"/>
        </w:rPr>
        <w:t xml:space="preserve">rse_final/module_14_pretrend_placebo.py</w:t>
      </w:r>
      <w:r>
        <w:t xml:space="preserve">). The four-lead pre-period results are reported in Table S4a (joint Wald test) and Table S4b (placebo-DiD with synthetic 2016 cyclone year) and visualised in Figure S2. The Wald test does not reject parallel trends for SOS (</w:t>
      </w:r>
      <m:oMath>
        <m:sSup>
          <m:e>
            <m:r>
              <m:t>χ</m:t>
            </m:r>
          </m:e>
          <m:sup>
            <m:r>
              <m:t>2</m:t>
            </m:r>
          </m:sup>
        </m:sSup>
        <m:d>
          <m:dPr>
            <m:begChr m:val="("/>
            <m:endChr m:val=")"/>
            <m:sepChr m:val=""/>
            <m:grow/>
          </m:dPr>
          <m:e>
            <m:r>
              <m:t>4</m:t>
            </m:r>
          </m:e>
        </m:d>
        <m:r>
          <m:rPr>
            <m:sty m:val="p"/>
          </m:rPr>
          <m:t>=</m:t>
        </m:r>
        <m:r>
          <m:t>5.56</m:t>
        </m:r>
      </m:oMath>
      <w:r>
        <w:t xml:space="preserve">,</w:t>
      </w:r>
      <w:r>
        <w:t xml:space="preserve"> </w:t>
      </w:r>
      <m:oMath>
        <m:r>
          <m:t>p</m:t>
        </m:r>
        <m:r>
          <m:rPr>
            <m:sty m:val="p"/>
          </m:rPr>
          <m:t>=</m:t>
        </m:r>
        <m:r>
          <m:t>0.235</m:t>
        </m:r>
      </m:oMath>
      <w:r>
        <w:t xml:space="preserve">) and yields a marginal violation for POS (</w:t>
      </w:r>
      <m:oMath>
        <m:sSup>
          <m:e>
            <m:r>
              <m:t>χ</m:t>
            </m:r>
          </m:e>
          <m:sup>
            <m:r>
              <m:t>2</m:t>
            </m:r>
          </m:sup>
        </m:sSup>
        <m:d>
          <m:dPr>
            <m:begChr m:val="("/>
            <m:endChr m:val=")"/>
            <m:sepChr m:val=""/>
            <m:grow/>
          </m:dPr>
          <m:e>
            <m:r>
              <m:t>4</m:t>
            </m:r>
          </m:e>
        </m:d>
        <m:r>
          <m:rPr>
            <m:sty m:val="p"/>
          </m:rPr>
          <m:t>=</m:t>
        </m:r>
        <m:r>
          <m:t>13.09</m:t>
        </m:r>
      </m:oMath>
      <w:r>
        <w:t xml:space="preserve">,</w:t>
      </w:r>
      <w:r>
        <w:t xml:space="preserve"> </w:t>
      </w:r>
      <m:oMath>
        <m:r>
          <m:t>p</m:t>
        </m:r>
        <m:r>
          <m:rPr>
            <m:sty m:val="p"/>
          </m:rPr>
          <m:t>=</m:t>
        </m:r>
        <m:r>
          <m:t>0.011</m:t>
        </m:r>
      </m:oMath>
      <w:r>
        <w:t xml:space="preserve">, driven by one significant 2016 lead at</w:t>
      </w:r>
      <w:r>
        <w:t xml:space="preserve"> </w:t>
      </w:r>
      <m:oMath>
        <m:r>
          <m:t>β</m:t>
        </m:r>
        <m:r>
          <m:rPr>
            <m:sty m:val="p"/>
          </m:rPr>
          <m:t>=</m:t>
        </m:r>
        <m:r>
          <m:rPr>
            <m:sty m:val="p"/>
          </m:rPr>
          <m:t>+</m:t>
        </m:r>
        <m:r>
          <m:t>19.0</m:t>
        </m:r>
      </m:oMath>
      <w:r>
        <w:t xml:space="preserve"> </w:t>
      </w:r>
      <w:r>
        <w:t xml:space="preserve">d,</w:t>
      </w:r>
      <w:r>
        <w:t xml:space="preserve"> </w:t>
      </w:r>
      <m:oMath>
        <m:r>
          <m:t>p</m:t>
        </m:r>
        <m:r>
          <m:rPr>
            <m:sty m:val="p"/>
          </m:rPr>
          <m:t>=</m:t>
        </m:r>
        <m:r>
          <m:t>0.024</m:t>
        </m:r>
      </m:oMath>
      <w:r>
        <w:t xml:space="preserve">) that does not propagate to the placebo difference-in-differences (</w:t>
      </w:r>
      <m:oMath>
        <m:r>
          <m:t>p</m:t>
        </m:r>
        <m:r>
          <m:rPr>
            <m:sty m:val="p"/>
          </m:rPr>
          <m:t>=</m:t>
        </m:r>
        <m:r>
          <m:t>0.33</m:t>
        </m:r>
      </m:oMath>
      <w:r>
        <w:t xml:space="preserve">). EOS is not estimable in the Landsat pre-period (Landsat-7 SLC-off + late-monsoon cloud cover collapse the senescence inflection to the year boundary; Figure S2c). The current main-text inference does not depend on the Landsat extension; it is provided as additional robustness evidence.</w:t>
      </w:r>
    </w:p>
    <w:bookmarkEnd w:id="47"/>
    <w:bookmarkStart w:id="48" w:name="event-study"/>
    <w:p>
      <w:pPr>
        <w:pStyle w:val="Heading3"/>
      </w:pPr>
      <w:r>
        <w:t xml:space="preserve">3.6 Event study</w:t>
      </w:r>
    </w:p>
    <w:p>
      <w:pPr>
        <w:pStyle w:val="FirstParagraph"/>
      </w:pPr>
      <w:r>
        <w:t xml:space="preserve">To probe dynamic effects and partially assess internal consistency, we estimate the event-study specification:</w:t>
      </w:r>
    </w:p>
    <w:p>
      <w:pPr>
        <w:pStyle w:val="BodyText"/>
      </w:pPr>
      <m:oMathPara>
        <m:oMathParaPr>
          <m:jc m:val="center"/>
        </m:oMathParaPr>
        <m:oMath>
          <m:sSub>
            <m:e>
              <m:r>
                <m:t>Y</m:t>
              </m:r>
            </m:e>
            <m:sub>
              <m:r>
                <m:t>d</m:t>
              </m:r>
              <m:r>
                <m:t>t</m:t>
              </m:r>
            </m:sub>
          </m:sSub>
          <m:r>
            <m:rPr>
              <m:sty m:val="p"/>
            </m:rPr>
            <m:t>=</m:t>
          </m:r>
          <m:sSub>
            <m:e>
              <m:r>
                <m:t>α</m:t>
              </m:r>
            </m:e>
            <m:sub>
              <m:r>
                <m:t>d</m:t>
              </m:r>
            </m:sub>
          </m:sSub>
          <m:r>
            <m:rPr>
              <m:sty m:val="p"/>
            </m:rPr>
            <m:t>+</m:t>
          </m:r>
          <m:sSub>
            <m:e>
              <m:r>
                <m:t>γ</m:t>
              </m:r>
            </m:e>
            <m:sub>
              <m:r>
                <m:t>t</m:t>
              </m:r>
            </m:sub>
          </m:sSub>
          <m:r>
            <m:rPr>
              <m:sty m:val="p"/>
            </m:rPr>
            <m:t>+</m:t>
          </m:r>
          <m:nary>
            <m:naryPr>
              <m:chr m:val="∑"/>
              <m:limLoc m:val="undOvr"/>
              <m:subHide m:val="off"/>
              <m:supHide m:val="off"/>
            </m:naryPr>
            <m:sub>
              <m:r>
                <m:t>k</m:t>
              </m:r>
              <m:r>
                <m:rPr>
                  <m:sty m:val="p"/>
                </m:rPr>
                <m:t>=</m:t>
              </m:r>
              <m:r>
                <m:t>1</m:t>
              </m:r>
            </m:sub>
            <m:sup>
              <m:r>
                <m:t>5</m:t>
              </m:r>
            </m:sup>
            <m:e>
              <m:sSub>
                <m:e>
                  <m:r>
                    <m:t>β</m:t>
                  </m:r>
                </m:e>
                <m:sub>
                  <m:r>
                    <m:t>k</m:t>
                  </m:r>
                </m:sub>
              </m:sSub>
            </m:e>
          </m:nary>
          <m:r>
            <m:rPr>
              <m:sty m:val="p"/>
            </m:rPr>
            <m:t>⋅</m:t>
          </m:r>
          <m:r>
            <m:rPr>
              <m:sty m:val="b"/>
            </m:rPr>
            <m:t>1</m:t>
          </m:r>
          <m:d>
            <m:dPr>
              <m:begChr m:val="["/>
              <m:endChr m:val="]"/>
              <m:sepChr m:val=""/>
              <m:grow/>
            </m:dPr>
            <m:e>
              <m:r>
                <m:t>t</m:t>
              </m:r>
              <m:r>
                <m:rPr>
                  <m:sty m:val="p"/>
                </m:rPr>
                <m:t>−</m:t>
              </m:r>
              <m:r>
                <m:t>2019</m:t>
              </m:r>
              <m:r>
                <m:rPr>
                  <m:sty m:val="p"/>
                </m:rPr>
                <m:t>=</m:t>
              </m:r>
              <m:r>
                <m:t>k</m:t>
              </m:r>
            </m:e>
          </m:d>
          <m:r>
            <m:rPr>
              <m:sty m:val="p"/>
            </m:rPr>
            <m:t>⋅</m:t>
          </m:r>
          <m:sSub>
            <m:e>
              <m:r>
                <m:rPr>
                  <m:nor/>
                  <m:sty m:val="p"/>
                </m:rPr>
                <m:t>Treat</m:t>
              </m:r>
            </m:e>
            <m:sub>
              <m:r>
                <m:t>d</m:t>
              </m:r>
            </m:sub>
          </m:sSub>
          <m:r>
            <m:rPr>
              <m:sty m:val="p"/>
            </m:rPr>
            <m:t>+</m:t>
          </m:r>
          <m:sSub>
            <m:e>
              <m:r>
                <m:t>ε</m:t>
              </m:r>
            </m:e>
            <m:sub>
              <m:r>
                <m:t>d</m:t>
              </m:r>
              <m:r>
                <m:t>t</m:t>
              </m:r>
            </m:sub>
          </m:sSub>
        </m:oMath>
      </m:oMathPara>
    </w:p>
    <w:p>
      <w:pPr>
        <w:pStyle w:val="FirstParagraph"/>
      </w:pPr>
      <w:r>
        <w:t xml:space="preserve">with</w:t>
      </w:r>
      <w:r>
        <w:t xml:space="preserve"> </w:t>
      </w:r>
      <m:oMath>
        <m:r>
          <m:t>k</m:t>
        </m:r>
        <m:r>
          <m:rPr>
            <m:sty m:val="p"/>
          </m:rPr>
          <m:t>=</m:t>
        </m:r>
        <m:r>
          <m:t>0</m:t>
        </m:r>
      </m:oMath>
      <w:r>
        <w:t xml:space="preserve"> </w:t>
      </w:r>
      <w:r>
        <w:t xml:space="preserve">(year 2019, first treatment year: Cyclone Fani) as the reference group. Because all five treated districts share the same first-treatment calendar year (2019), event time and calendar time coincide here, so the event-study coefficients</w:t>
      </w:r>
      <w:r>
        <w:t xml:space="preserve"> </w:t>
      </w:r>
      <m:oMath>
        <m:sSub>
          <m:e>
            <m:r>
              <m:t>β</m:t>
            </m:r>
          </m:e>
          <m:sub>
            <m:r>
              <m:t>k</m:t>
            </m:r>
          </m:sub>
        </m:sSub>
      </m:oMath>
      <w:r>
        <w:t xml:space="preserve"> </w:t>
      </w:r>
      <w:r>
        <w:t xml:space="preserve">are equivalently calendar-year-by-treatment-status interactions relative to 2019. Coefficients</w:t>
      </w:r>
      <w:r>
        <w:t xml:space="preserve"> </w:t>
      </w:r>
      <m:oMath>
        <m:sSub>
          <m:e>
            <m:acc>
              <m:accPr>
                <m:chr m:val="̂"/>
              </m:accPr>
              <m:e>
                <m:r>
                  <m:t>β</m:t>
                </m:r>
              </m:e>
            </m:acc>
          </m:e>
          <m:sub>
            <m:r>
              <m:t>k</m:t>
            </m:r>
          </m:sub>
        </m:sSub>
      </m:oMath>
      <w:r>
        <w:t xml:space="preserve"> </w:t>
      </w:r>
      <w:r>
        <w:t xml:space="preserve">for</w:t>
      </w:r>
      <w:r>
        <w:t xml:space="preserve"> </w:t>
      </w:r>
      <m:oMath>
        <m:r>
          <m:t>k</m:t>
        </m:r>
        <m:r>
          <m:rPr>
            <m:sty m:val="p"/>
          </m:rPr>
          <m:t>=</m:t>
        </m:r>
        <m:r>
          <m:t>1</m:t>
        </m:r>
        <m:r>
          <m:rPr>
            <m:sty m:val="p"/>
          </m:rPr>
          <m:t>,</m:t>
        </m:r>
        <m:r>
          <m:rPr>
            <m:sty m:val="p"/>
          </m:rPr>
          <m:t>…</m:t>
        </m:r>
        <m:r>
          <m:rPr>
            <m:sty m:val="p"/>
          </m:rPr>
          <m:t>,</m:t>
        </m:r>
        <m:r>
          <m:t>5</m:t>
        </m:r>
      </m:oMath>
      <w:r>
        <w:t xml:space="preserve"> </w:t>
      </w:r>
      <w:r>
        <w:t xml:space="preserve">trace the dynamic effect of cumulative cyclone exposure on treated districts relative to the reference year and relative to the year-FE-absorbed control trajectory:</w:t>
      </w:r>
      <w:r>
        <w:t xml:space="preserve"> </w:t>
      </w:r>
      <m:oMath>
        <m:r>
          <m:t>k</m:t>
        </m:r>
        <m:r>
          <m:rPr>
            <m:sty m:val="p"/>
          </m:rPr>
          <m:t>=</m:t>
        </m:r>
        <m:r>
          <m:t>1</m:t>
        </m:r>
      </m:oMath>
      <w:r>
        <w:t xml:space="preserve"> </w:t>
      </w:r>
      <w:r>
        <w:t xml:space="preserve">is 2020 (Cyclone Amphan),</w:t>
      </w:r>
      <w:r>
        <w:t xml:space="preserve"> </w:t>
      </w:r>
      <m:oMath>
        <m:r>
          <m:t>k</m:t>
        </m:r>
        <m:r>
          <m:rPr>
            <m:sty m:val="p"/>
          </m:rPr>
          <m:t>=</m:t>
        </m:r>
        <m:r>
          <m:t>2</m:t>
        </m:r>
      </m:oMath>
      <w:r>
        <w:t xml:space="preserve"> </w:t>
      </w:r>
      <w:r>
        <w:t xml:space="preserve">is 2021 (Cyclone Yaas), and</w:t>
      </w:r>
      <w:r>
        <w:t xml:space="preserve"> </w:t>
      </w:r>
      <m:oMath>
        <m:r>
          <m:t>k</m:t>
        </m:r>
        <m:r>
          <m:rPr>
            <m:sty m:val="p"/>
          </m:rPr>
          <m:t>=</m:t>
        </m:r>
        <m:r>
          <m:t>3</m:t>
        </m:r>
        <m:r>
          <m:rPr>
            <m:sty m:val="p"/>
          </m:rPr>
          <m:t>,</m:t>
        </m:r>
        <m:r>
          <m:t>4</m:t>
        </m:r>
        <m:r>
          <m:rPr>
            <m:sty m:val="p"/>
          </m:rPr>
          <m:t>,</m:t>
        </m:r>
        <m:r>
          <m:t>5</m:t>
        </m:r>
      </m:oMath>
      <w:r>
        <w:t xml:space="preserve"> </w:t>
      </w:r>
      <w:r>
        <w:t xml:space="preserve">are the post-treatment control years 2022–2024. Because the Sentinel-2 v2.0 panel begins in the first treatment year, this equation cannot test for pre-trends in the classic sense; pre-trends evidence is instead provided through the 2017–2018 v1.0.2 extension reported in §3.5 and Figure 3. If the QC framework has successfully removed artefactual variance, we expect all</w:t>
      </w:r>
      <w:r>
        <w:t xml:space="preserve"> </w:t>
      </w:r>
      <m:oMath>
        <m:sSub>
          <m:e>
            <m:acc>
              <m:accPr>
                <m:chr m:val="̂"/>
              </m:accPr>
              <m:e>
                <m:r>
                  <m:t>β</m:t>
                </m:r>
              </m:e>
            </m:acc>
          </m:e>
          <m:sub>
            <m:r>
              <m:t>k</m:t>
            </m:r>
          </m:sub>
        </m:sSub>
      </m:oMath>
      <w:r>
        <w:t xml:space="preserve"> </w:t>
      </w:r>
      <w:r>
        <w:t xml:space="preserve">to be statistically indistinguishable from zero — which is indeed what the results show (§4.5).</w:t>
      </w:r>
    </w:p>
    <w:bookmarkEnd w:id="48"/>
    <w:bookmarkStart w:id="49" w:name="wild-cluster-bootstrap-inference"/>
    <w:p>
      <w:pPr>
        <w:pStyle w:val="Heading3"/>
      </w:pPr>
      <w:r>
        <w:t xml:space="preserve">3.7 Wild-cluster bootstrap inference</w:t>
      </w:r>
    </w:p>
    <w:p>
      <w:pPr>
        <w:pStyle w:val="FirstParagraph"/>
      </w:pPr>
      <w:r>
        <w:t xml:space="preserve">The WCB of Cameron, Gelbach &amp; Miller (2008) is implemented as follows. Under the null</w:t>
      </w:r>
      <w:r>
        <w:t xml:space="preserve"> </w:t>
      </w:r>
      <m:oMath>
        <m:sSub>
          <m:e>
            <m:r>
              <m:t>H</m:t>
            </m:r>
          </m:e>
          <m:sub>
            <m:r>
              <m:t>0</m:t>
            </m:r>
          </m:sub>
        </m:sSub>
        <m:r>
          <m:rPr>
            <m:sty m:val="p"/>
          </m:rPr>
          <m:t>:</m:t>
        </m:r>
        <m:r>
          <m:t>τ</m:t>
        </m:r>
        <m:r>
          <m:rPr>
            <m:sty m:val="p"/>
          </m:rPr>
          <m:t>=</m:t>
        </m:r>
        <m:r>
          <m:t>0</m:t>
        </m:r>
      </m:oMath>
      <w:r>
        <w:t xml:space="preserve">, the restricted residuals</w:t>
      </w:r>
      <w:r>
        <w:t xml:space="preserve"> </w:t>
      </w:r>
      <m:oMath>
        <m:sSub>
          <m:e>
            <m:acc>
              <m:accPr>
                <m:chr m:val="̃"/>
              </m:accPr>
              <m:e>
                <m:r>
                  <m:t>ε</m:t>
                </m:r>
              </m:e>
            </m:acc>
          </m:e>
          <m:sub>
            <m:r>
              <m:t>d</m:t>
            </m:r>
            <m:r>
              <m:t>t</m:t>
            </m:r>
          </m:sub>
        </m:sSub>
      </m:oMath>
      <w:r>
        <w:t xml:space="preserve"> </w:t>
      </w:r>
      <w:r>
        <w:t xml:space="preserve">are obtained from Equation (1) with</w:t>
      </w:r>
      <w:r>
        <w:t xml:space="preserve"> </w:t>
      </w:r>
      <m:oMath>
        <m:r>
          <m:t>τ</m:t>
        </m:r>
      </m:oMath>
      <w:r>
        <w:t xml:space="preserve"> </w:t>
      </w:r>
      <w:r>
        <w:t xml:space="preserve">constrained to zero. For each bootstrap draw</w:t>
      </w:r>
      <w:r>
        <w:t xml:space="preserve"> </w:t>
      </w:r>
      <m:oMath>
        <m:r>
          <m:t>b</m:t>
        </m:r>
        <m:r>
          <m:rPr>
            <m:sty m:val="p"/>
          </m:rPr>
          <m:t>=</m:t>
        </m:r>
        <m:r>
          <m:t>1</m:t>
        </m:r>
        <m:r>
          <m:rPr>
            <m:sty m:val="p"/>
          </m:rPr>
          <m:t>,</m:t>
        </m:r>
        <m:r>
          <m:rPr>
            <m:sty m:val="p"/>
          </m:rPr>
          <m:t>…</m:t>
        </m:r>
        <m:r>
          <m:rPr>
            <m:sty m:val="p"/>
          </m:rPr>
          <m:t>,</m:t>
        </m:r>
        <m:r>
          <m:t>B</m:t>
        </m:r>
      </m:oMath>
      <w:r>
        <w:t xml:space="preserve"> </w:t>
      </w:r>
      <w:r>
        <w:t xml:space="preserve">(B = 499), each district cluster</w:t>
      </w:r>
      <w:r>
        <w:t xml:space="preserve"> </w:t>
      </w:r>
      <m:oMath>
        <m:r>
          <m:t>g</m:t>
        </m:r>
        <m:r>
          <m:rPr>
            <m:sty m:val="p"/>
          </m:rPr>
          <m:t>∈</m:t>
        </m:r>
        <m:r>
          <m:rPr>
            <m:sty m:val="p"/>
          </m:rPr>
          <m:t>{</m:t>
        </m:r>
        <m:r>
          <m:t>1</m:t>
        </m:r>
        <m:r>
          <m:rPr>
            <m:sty m:val="p"/>
          </m:rPr>
          <m:t>,</m:t>
        </m:r>
        <m:r>
          <m:rPr>
            <m:sty m:val="p"/>
          </m:rPr>
          <m:t>…</m:t>
        </m:r>
        <m:r>
          <m:rPr>
            <m:sty m:val="p"/>
          </m:rPr>
          <m:t>,</m:t>
        </m:r>
        <m:r>
          <m:t>8</m:t>
        </m:r>
        <m:r>
          <m:rPr>
            <m:sty m:val="p"/>
          </m:rPr>
          <m:t>}</m:t>
        </m:r>
      </m:oMath>
      <w:r>
        <w:t xml:space="preserve"> </w:t>
      </w:r>
      <w:r>
        <w:t xml:space="preserve">is assigned a Rademacher weight</w:t>
      </w:r>
      <w:r>
        <w:t xml:space="preserve"> </w:t>
      </w:r>
      <m:oMath>
        <m:sSubSup>
          <m:e>
            <m:r>
              <m:t>w</m:t>
            </m:r>
          </m:e>
          <m:sub>
            <m:r>
              <m:t>g</m:t>
            </m:r>
          </m:sub>
          <m:sup>
            <m:d>
              <m:dPr>
                <m:begChr m:val="("/>
                <m:endChr m:val=")"/>
                <m:sepChr m:val=""/>
                <m:grow/>
              </m:dPr>
              <m:e>
                <m:r>
                  <m:t>b</m:t>
                </m:r>
              </m:e>
            </m:d>
          </m:sup>
        </m:sSubSup>
        <m:r>
          <m:rPr>
            <m:sty m:val="p"/>
          </m:rPr>
          <m:t>∈</m:t>
        </m:r>
        <m:r>
          <m:rPr>
            <m:sty m:val="p"/>
          </m:rPr>
          <m:t>{</m:t>
        </m:r>
        <m:r>
          <m:rPr>
            <m:sty m:val="p"/>
          </m:rPr>
          <m:t>−</m:t>
        </m:r>
        <m:r>
          <m:t>1</m:t>
        </m:r>
        <m:r>
          <m:rPr>
            <m:sty m:val="p"/>
          </m:rPr>
          <m:t>,</m:t>
        </m:r>
        <m:r>
          <m:rPr>
            <m:sty m:val="p"/>
          </m:rPr>
          <m:t>+</m:t>
        </m:r>
        <m:r>
          <m:t>1</m:t>
        </m:r>
        <m:r>
          <m:rPr>
            <m:sty m:val="p"/>
          </m:rPr>
          <m:t>}</m:t>
        </m:r>
      </m:oMath>
      <w:r>
        <w:t xml:space="preserve"> </w:t>
      </w:r>
      <w:r>
        <w:t xml:space="preserve">with equal probability. The bootstrap residuals are constructed as</w:t>
      </w:r>
      <w:r>
        <w:t xml:space="preserve"> </w:t>
      </w:r>
      <m:oMath>
        <m:sSubSup>
          <m:e>
            <m:acc>
              <m:accPr>
                <m:chr m:val="̃"/>
              </m:accPr>
              <m:e>
                <m:r>
                  <m:t>ε</m:t>
                </m:r>
              </m:e>
            </m:acc>
          </m:e>
          <m:sub>
            <m:r>
              <m:t>d</m:t>
            </m:r>
            <m:r>
              <m:t>t</m:t>
            </m:r>
          </m:sub>
          <m:sup>
            <m:d>
              <m:dPr>
                <m:begChr m:val="("/>
                <m:endChr m:val=")"/>
                <m:sepChr m:val=""/>
                <m:grow/>
              </m:dPr>
              <m:e>
                <m:r>
                  <m:t>b</m:t>
                </m:r>
              </m:e>
            </m:d>
          </m:sup>
        </m:sSubSup>
        <m:r>
          <m:rPr>
            <m:sty m:val="p"/>
          </m:rPr>
          <m:t>=</m:t>
        </m:r>
        <m:sSubSup>
          <m:e>
            <m:r>
              <m:t>w</m:t>
            </m:r>
          </m:e>
          <m:sub>
            <m:r>
              <m:t>g</m:t>
            </m:r>
            <m:d>
              <m:dPr>
                <m:begChr m:val="("/>
                <m:endChr m:val=")"/>
                <m:sepChr m:val=""/>
                <m:grow/>
              </m:dPr>
              <m:e>
                <m:r>
                  <m:t>d</m:t>
                </m:r>
              </m:e>
            </m:d>
          </m:sub>
          <m:sup>
            <m:d>
              <m:dPr>
                <m:begChr m:val="("/>
                <m:endChr m:val=")"/>
                <m:sepChr m:val=""/>
                <m:grow/>
              </m:dPr>
              <m:e>
                <m:r>
                  <m:t>b</m:t>
                </m:r>
              </m:e>
            </m:d>
          </m:sup>
        </m:sSubSup>
        <m:r>
          <m:rPr>
            <m:sty m:val="p"/>
          </m:rPr>
          <m:t>⋅</m:t>
        </m:r>
        <m:sSub>
          <m:e>
            <m:acc>
              <m:accPr>
                <m:chr m:val="̃"/>
              </m:accPr>
              <m:e>
                <m:r>
                  <m:t>ε</m:t>
                </m:r>
              </m:e>
            </m:acc>
          </m:e>
          <m:sub>
            <m:r>
              <m:t>d</m:t>
            </m:r>
            <m:r>
              <m:t>t</m:t>
            </m:r>
          </m:sub>
        </m:sSub>
      </m:oMath>
      <w:r>
        <w:t xml:space="preserve">, where</w:t>
      </w:r>
      <w:r>
        <w:t xml:space="preserve"> </w:t>
      </w:r>
      <m:oMath>
        <m:r>
          <m:t>g</m:t>
        </m:r>
        <m:d>
          <m:dPr>
            <m:begChr m:val="("/>
            <m:endChr m:val=")"/>
            <m:sepChr m:val=""/>
            <m:grow/>
          </m:dPr>
          <m:e>
            <m:r>
              <m:t>d</m:t>
            </m:r>
          </m:e>
        </m:d>
      </m:oMath>
      <w:r>
        <w:t xml:space="preserve"> </w:t>
      </w:r>
      <w:r>
        <w:t xml:space="preserve">is the cluster index of district</w:t>
      </w:r>
      <w:r>
        <w:t xml:space="preserve"> </w:t>
      </w:r>
      <m:oMath>
        <m:r>
          <m:t>d</m:t>
        </m:r>
      </m:oMath>
      <w:r>
        <w:t xml:space="preserve">; all observations within the same district cluster share the same Rademacher sign in a given draw. The bootstrap residuals are added to the restricted fitted values, and Equation (1) is re-estimated on the perturbed outcome. The WCB p-value is the fraction of bootstrap draws for which</w:t>
      </w:r>
      <w:r>
        <w:t xml:space="preserve"> </w:t>
      </w:r>
      <m:oMath>
        <m:d>
          <m:dPr>
            <m:begChr m:val="|"/>
            <m:endChr m:val="|"/>
            <m:sepChr m:val=""/>
            <m:grow/>
          </m:dPr>
          <m:e>
            <m:sSup>
              <m:e>
                <m:r>
                  <m:t>t</m:t>
                </m:r>
              </m:e>
              <m:sup>
                <m:d>
                  <m:dPr>
                    <m:begChr m:val="("/>
                    <m:endChr m:val=")"/>
                    <m:sepChr m:val=""/>
                    <m:grow/>
                  </m:dPr>
                  <m:e>
                    <m:r>
                      <m:t>b</m:t>
                    </m:r>
                  </m:e>
                </m:d>
              </m:sup>
            </m:sSup>
          </m:e>
        </m:d>
        <m:r>
          <m:rPr>
            <m:sty m:val="p"/>
          </m:rPr>
          <m:t>&gt;</m:t>
        </m:r>
        <m:d>
          <m:dPr>
            <m:begChr m:val="|"/>
            <m:endChr m:val="|"/>
            <m:sepChr m:val=""/>
            <m:grow/>
          </m:dPr>
          <m:e>
            <m:sSub>
              <m:e>
                <m:r>
                  <m:t>t</m:t>
                </m:r>
              </m:e>
              <m:sub>
                <m:r>
                  <m:rPr>
                    <m:nor/>
                    <m:sty m:val="p"/>
                  </m:rPr>
                  <m:t>observed</m:t>
                </m:r>
              </m:sub>
            </m:sSub>
          </m:e>
        </m:d>
      </m:oMath>
      <w:r>
        <w:t xml:space="preserve">. Ninety-five percent confidence intervals are constructed by CI inversion on a 41-point grid with</w:t>
      </w:r>
      <w:r>
        <w:t xml:space="preserve"> </w:t>
      </w:r>
      <m:oMath>
        <m:sSub>
          <m:e>
            <m:r>
              <m:t>B</m:t>
            </m:r>
          </m:e>
          <m:sub>
            <m:r>
              <m:rPr>
                <m:nor/>
                <m:sty m:val="p"/>
              </m:rPr>
              <m:t>CI</m:t>
            </m:r>
          </m:sub>
        </m:sSub>
        <m:r>
          <m:rPr>
            <m:sty m:val="p"/>
          </m:rPr>
          <m:t>=</m:t>
        </m:r>
        <m:r>
          <m:t>499</m:t>
        </m:r>
      </m:oMath>
      <w:r>
        <w:t xml:space="preserve"> </w:t>
      </w:r>
      <w:r>
        <w:t xml:space="preserve">draws per grid point.</w:t>
      </w:r>
    </w:p>
    <w:p>
      <w:r>
        <w:pict>
          <v:rect style="width:0;height:1.5pt" o:hralign="center" o:hrstd="t" o:hr="t"/>
        </w:pict>
      </w:r>
    </w:p>
    <w:bookmarkEnd w:id="49"/>
    <w:bookmarkEnd w:id="50"/>
    <w:bookmarkStart w:id="69" w:name="results"/>
    <w:p>
      <w:pPr>
        <w:pStyle w:val="Heading2"/>
      </w:pPr>
      <w:r>
        <w:t xml:space="preserve">4. Results</w:t>
      </w:r>
    </w:p>
    <w:bookmarkStart w:id="51" w:name="X4b763c7a77e309205c6de3a42e056137bed0316"/>
    <w:p>
      <w:pPr>
        <w:pStyle w:val="Heading3"/>
      </w:pPr>
      <w:r>
        <w:t xml:space="preserve">4.1 Statistical power and detectable effect sizes</w:t>
      </w:r>
    </w:p>
    <w:p>
      <w:pPr>
        <w:pStyle w:val="FirstParagraph"/>
      </w:pPr>
      <w:r>
        <w:t xml:space="preserve">Before reporting estimates, we report the minimum-detectable effect (MDE) of the design so that any null reported below can be read against the right yardstick. With 8 districts × 6 years = 48 observations, district fixed effects, year fixed effects, and a single treat × post interaction clustered at the district level (G = 8), the panel-level MDE at 80% power and α = 0.05 (two-sided) is</w:t>
      </w:r>
      <w:r>
        <w:t xml:space="preserve"> </w:t>
      </w:r>
      <w:r>
        <w:rPr>
          <w:b/>
          <w:bCs/>
        </w:rPr>
        <w:t xml:space="preserve">22.7 days for SOS, 8.1 days for POS, and 12.9 days for EOS</w:t>
      </w:r>
      <w:r>
        <w:t xml:space="preserve"> </w:t>
      </w:r>
      <w:r>
        <w:t xml:space="preserve">(Table S8). These MDEs are derived from the post-QC residual standard errors and reflect the realised noise in the QC-passing panel rather than asymptotic bounds.</w:t>
      </w:r>
    </w:p>
    <w:p>
      <w:pPr>
        <w:pStyle w:val="BodyText"/>
      </w:pPr>
      <w:r>
        <w:t xml:space="preserve">The panel-level MDEs frame the substantive interpretation of the null results that follow. Readers with a prior expectation that three consecutive pre-Kharif cyclone landfalls should shift district-median SOS by more than 22 days will read the null in §4.4 as actively disconfirming that prior. Readers expecting smaller, sub-MDE shifts should read the null as agnostic with respect to those magnitudes. To address sub-MDE effects, we additionally report the pixel-level (cell-level) DiD (§4.4, Model 2). Under district-clustered inference (G = 8 clusters, the same dimension as Model 1), Model 2 attains 80%-power MDEs of approximately 13.9 d for SOS, 4.8 d for POS, and 10.2 d for EOS (Table S8), tightening the Model 1 bounds by roughly 40–70% but not delivering the sub-day resolution that a naive pixel-independence calculation would suggest. The binding constraint on identification is the eight-district cluster count, not the 1,223 pixel-year sample size, because adjacent pixels within a cluster are not statistically independent under the cyclone-shock data-generating process.</w:t>
      </w:r>
    </w:p>
    <w:bookmarkEnd w:id="51"/>
    <w:bookmarkStart w:id="55" w:name="Xc4226007fe64a029976318d8ed54feb3b6c1dc4"/>
    <w:p>
      <w:pPr>
        <w:pStyle w:val="Heading3"/>
      </w:pPr>
      <w:r>
        <w:t xml:space="preserve">4.2 Pre-QC vs. post-QC phenometric distributions: the headline demonstration</w:t>
      </w:r>
    </w:p>
    <w:p>
      <w:pPr>
        <w:pStyle w:val="CaptionedFigure"/>
      </w:pPr>
      <w:r>
        <w:drawing>
          <wp:inline>
            <wp:extent cx="5334000" cy="3333750"/>
            <wp:effectExtent b="0" l="0" r="0" t="0"/>
            <wp:docPr descr="Figure 4. Headline QC demonstration: Start-of-Season (SOS), Peak-of-Season (POS), and End-of-Season (EOS) day-of-year (DOY) distributions before (v1.0.2, top row) and after (v2.0, bottom row) the three-gate quality-control (QC) framework. Top row — pre-QC district-year aggregates from the v1.0.2 pipeline (n = 64 district-year cells for SOS and POS; n = 44 for EOS, after 20 boundary-censored cells are excluded). Two boundary spikes are visually apparent: 72.7% of EOS district-year medians cluster at DOY 349 (the centre of the last full dekadal bin before the year-end fitting-window terminus at DOY 365, annotated in the EOS panel) and 65.6% of POS district-year medians cluster at DOY 288 (a dekadal-bin concentration at the canopy peak); the SOS distribution carries a milder mode-share of 20.3% at DOY 196. Bottom row — post-QC cell-level fits from the v2.0 pipeline (n = 1,223 QC-passing cell-years from 436 cells across 8 districts and 6 years), shown at native cell-level granularity to expose the full post-QC distribution shape rather than collapsing back to 48 district-year medians. The cell-level mode-shares (2.0% SOS, 4.5% POS, 4.2% EOS) and the corresponding district-year-aggregated post-QC mode-shares (12.5% SOS, 8.3% POS, 8.3% EOS, reported in Table 2) both fall well below the Gate A threshold of 0.20. The distributions broaden to reflect genuine biological variability in transplanting, heading, and harvest timing across districts, years, and cultivars. Mode-share annotations (red box, top row; blue box, bottom row) report the empirical mode-share at the level of aggregation shown in that panel. Source script: build_fig4_qc_distributions.py; embedded raster: figures/fig4_qc_distributions.jpg (1000 dpi); vector archive: figures/fig4_qc_distributions.pdf; underlying data: analysis/baci_panel_real_v1.csv (v1.0.2, pipeline = raw) and analysis/baci_panel_real_v22.csv (v2.0)." title="" id="53" name="Picture"/>
            <a:graphic>
              <a:graphicData uri="http://schemas.openxmlformats.org/drawingml/2006/picture">
                <pic:pic>
                  <pic:nvPicPr>
                    <pic:cNvPr descr="figures/fig4_qc_distributions.jpg" id="54" name="Picture"/>
                    <pic:cNvPicPr>
                      <a:picLocks noChangeArrowheads="1" noChangeAspect="1"/>
                    </pic:cNvPicPr>
                  </pic:nvPicPr>
                  <pic:blipFill>
                    <a:blip r:embed="rId52"/>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rPr>
          <w:b/>
          <w:bCs/>
        </w:rPr>
        <w:t xml:space="preserve">Figure 4.</w:t>
      </w:r>
      <w:r>
        <w:t xml:space="preserve"> </w:t>
      </w:r>
      <w:r>
        <w:t xml:space="preserve">Headline QC demonstration: Start-of-Season (SOS), Peak-of-Season (POS), and End-of-Season (EOS) day-of-year (DOY) distributions before (v1.0.2, top row) and after (v2.0, bottom row) the three-gate quality-control (QC) framework.</w:t>
      </w:r>
      <w:r>
        <w:t xml:space="preserve"> </w:t>
      </w:r>
      <w:r>
        <w:rPr>
          <w:b/>
          <w:bCs/>
        </w:rPr>
        <w:t xml:space="preserve">Top row</w:t>
      </w:r>
      <w:r>
        <w:t xml:space="preserve"> </w:t>
      </w:r>
      <w:r>
        <w:t xml:space="preserve">— pre-QC district-year aggregates from the v1.0.2 pipeline (n = 64 district-year cells for SOS and POS; n = 44 for EOS, after 20 boundary-censored cells are excluded). Two boundary spikes are visually apparent: 72.7% of EOS district-year medians cluster at DOY 349 (the centre of the last full dekadal bin before the year-end fitting-window terminus at DOY 365, annotated in the EOS panel) and 65.6% of POS district-year medians cluster at DOY 288 (a dekadal-bin concentration at the canopy peak); the SOS distribution carries a milder mode-share of 20.3% at DOY 196.</w:t>
      </w:r>
      <w:r>
        <w:t xml:space="preserve"> </w:t>
      </w:r>
      <w:r>
        <w:rPr>
          <w:b/>
          <w:bCs/>
        </w:rPr>
        <w:t xml:space="preserve">Bottom row</w:t>
      </w:r>
      <w:r>
        <w:t xml:space="preserve"> </w:t>
      </w:r>
      <w:r>
        <w:t xml:space="preserve">— post-QC cell-level fits from the v2.0 pipeline (n = 1,223 QC-passing cell-years from 436 cells across 8 districts and 6 years), shown at native cell-level granularity to expose the full post-QC distribution shape rather than collapsing back to 48 district-year medians. The cell-level mode-shares (2.0% SOS, 4.5% POS, 4.2% EOS) and the corresponding district-year-aggregated post-QC mode-shares (12.5% SOS, 8.3% POS, 8.3% EOS, reported in Table 2) both fall well below the Gate A threshold of 0.20. The distributions broaden to reflect genuine biological variability in transplanting, heading, and harvest timing across districts, years, and cultivars. Mode-share annotations (red box, top row; blue box, bottom row) report the empirical mode-share at the level of aggregation shown in that panel. Source script:</w:t>
      </w:r>
      <w:r>
        <w:t xml:space="preserve"> </w:t>
      </w:r>
      <w:r>
        <w:rPr>
          <w:rStyle w:val="VerbatimChar"/>
        </w:rPr>
        <w:t xml:space="preserve">build_fig4_qc_distributions.py</w:t>
      </w:r>
      <w:r>
        <w:t xml:space="preserve">; embedded raster:</w:t>
      </w:r>
      <w:r>
        <w:t xml:space="preserve"> </w:t>
      </w:r>
      <w:r>
        <w:rPr>
          <w:rStyle w:val="VerbatimChar"/>
        </w:rPr>
        <w:t xml:space="preserve">figures/fig4_qc_distributions.jpg</w:t>
      </w:r>
      <w:r>
        <w:t xml:space="preserve"> </w:t>
      </w:r>
      <w:r>
        <w:t xml:space="preserve">(1000 dpi); vector archive:</w:t>
      </w:r>
      <w:r>
        <w:t xml:space="preserve"> </w:t>
      </w:r>
      <w:r>
        <w:rPr>
          <w:rStyle w:val="VerbatimChar"/>
        </w:rPr>
        <w:t xml:space="preserve">figures/fig4_qc_distributions.pdf</w:t>
      </w:r>
      <w:r>
        <w:t xml:space="preserve">; underlying data:</w:t>
      </w:r>
      <w:r>
        <w:t xml:space="preserve"> </w:t>
      </w:r>
      <w:r>
        <w:rPr>
          <w:rStyle w:val="VerbatimChar"/>
        </w:rPr>
        <w:t xml:space="preserve">analysis/baci_panel_real_v1.csv</w:t>
      </w:r>
      <w:r>
        <w:t xml:space="preserve"> </w:t>
      </w:r>
      <w:r>
        <w:t xml:space="preserve">(v1.0.2, pipeline = raw) and</w:t>
      </w:r>
      <w:r>
        <w:t xml:space="preserve"> </w:t>
      </w:r>
      <w:r>
        <w:rPr>
          <w:rStyle w:val="VerbatimChar"/>
        </w:rPr>
        <w:t xml:space="preserve">analysis/baci_panel_real_v22.csv</w:t>
      </w:r>
      <w:r>
        <w:t xml:space="preserve"> </w:t>
      </w:r>
      <w:r>
        <w:t xml:space="preserve">(v2.0).</w:t>
      </w:r>
    </w:p>
    <w:p>
      <w:pPr>
        <w:pStyle w:val="BodyText"/>
      </w:pPr>
      <w:r>
        <w:t xml:space="preserve">The central empirical findings of this paper are the collapses of the EOS and POS mode-shares following application of the QC framework. In the v1.0.2 pipeline, 72.7% of EOS district-year medians cluster at a single DOY value of 349 — the centre of the last full dekadal bin before the year-end (DOY 365) fitting-window terminus — and 65.6% of POS district-year medians cluster at a single DOY value of 288 (Figure 4, top row). These are textbook quantisation artefacts: for EOS, the descending limb of the double-logistic fit cannot complete within the window and the optimiser assigns the boundary-adjacent date to all pixels that senesce in December or later; for POS, the smoothing-and-fitting combination flattens the canopy peak across multiple pixels onto the same dekadal bin. Both distributions are visually identifiable as sharp spikes (Figure 4, top row) and fail Gate A immediately. SOS in v1.0.2 carries a milder but still concerning mode-share of 20.3% at DOY 196, sitting exactly at the Gate A threshold.</w:t>
      </w:r>
    </w:p>
    <w:p>
      <w:pPr>
        <w:pStyle w:val="BodyText"/>
      </w:pPr>
      <w:r>
        <w:t xml:space="preserve">After the v2.0 extended-window refit and full pipeline rebuild, all three distributions broaden substantially (Figure 4, bottom row). EOS mode-share at DOY 349 collapses to 8.3% (v2.0 EOS is a 2-way tie between DOY 354 and DOY 329, each at 8.3%); POS mode-share at DOY 288 collapses to 8.3% (v2.0 POS is a 3-way tie between DOY 274, 290, and 293, each at 8.3%); SOS mode-share falls from 20.3% to 12.5% (v2.0 SOS mode shifts from DOY 196 to DOY 178). The number of unique district-year median DOYs increases from 2 to 38 for EOS, from 5 to 33 for POS, and from 11 to 36 for SOS, reflecting genuine biological variability in transplanting, heading, and harvest timing across districts, years, and cultivar types. This is the distribution structure that a QC-passing panel should produce.</w:t>
      </w:r>
    </w:p>
    <w:p>
      <w:pPr>
        <w:pStyle w:val="BodyText"/>
      </w:pPr>
      <w:r>
        <w:t xml:space="preserve">The per-district median phenometrics from the v2.0 QC-passing panel show biologically coherent timing across all 48 district-year observations. The panel-wide median SOS across all district-years is DOY 203 (mid- to late-July, range 168–241), consistent with the Odisha Kharif transplanting calendar. The median POS is DOY 287 (mid-October, range 256–304), consistent with heading at 80–100 days after transplanting. The median EOS is DOY 342 (early December, range 320–374 across district-years), consistent with harvest in late November through mid-January for late-Kharif varieties. All three values are within the Gate B biological plausibility windows, confirming that the QC-passing panel represents the agronomic signal rather than artefactual boundary dates.</w:t>
      </w:r>
    </w:p>
    <w:bookmarkEnd w:id="55"/>
    <w:bookmarkStart w:id="56" w:name="qc-gate-statistics"/>
    <w:p>
      <w:pPr>
        <w:pStyle w:val="Heading3"/>
      </w:pPr>
      <w:r>
        <w:t xml:space="preserve">4.3 QC gate statistics</w:t>
      </w:r>
    </w:p>
    <w:p>
      <w:pPr>
        <w:pStyle w:val="FirstParagraph"/>
      </w:pPr>
      <w:r>
        <w:t xml:space="preserve">The complete QC gate statistics for the v2.0 panel are reported in Table 2 (§3.4), which juxtaposes each gate’s threshold against both the v1.0.2 and v2.0 values. All Gate A, Gate B, and Gate C checks pass for the v2.0 panel. The v1.0.2 panel referenced in Table 2 was computed on a longer 2017–2024 window (n = 64 district-year rows for SOS and POS; n = 44 for EOS after 20 boundary-censored cells) and is reported here only as a pre-QC comparator; the v2.0 panel used throughout the rest of the manuscript is the QC-passing 2019–2024 panel (n = 48 district-year rows for all three phenometrics).</w:t>
      </w:r>
    </w:p>
    <w:p>
      <w:pPr>
        <w:pStyle w:val="BodyText"/>
      </w:pPr>
      <w:r>
        <w:t xml:space="preserve">The most diagnostic checks are the EOS and POS mode-shares: the collapses from 0.727 → 0.083 (EOS) and 0.656 → 0.083 (POS) are the headline empirical validations of the QC framework. The threshold of ≤ 0.20 is conservative: the biologically expected panel-wide mode-share, where genuine phenometric variability spans 30–60 DOYs across 8 districts and 6 years, is well below 0.10. Values of 0.727 and 0.656 are unambiguously artefactual.</w:t>
      </w:r>
    </w:p>
    <w:bookmarkEnd w:id="56"/>
    <w:bookmarkStart w:id="60" w:name="Xb9e5548f00a1635af94da9ce4cf3ec9d57ca027"/>
    <w:p>
      <w:pPr>
        <w:pStyle w:val="Heading3"/>
      </w:pPr>
      <w:r>
        <w:t xml:space="preserve">4.4 DiD results: panel-level (Model 1) and pixel-level (Model 2) estimates</w:t>
      </w:r>
    </w:p>
    <w:p>
      <w:pPr>
        <w:pStyle w:val="FirstParagraph"/>
      </w:pPr>
      <w:r>
        <w:t xml:space="preserve">We report two complementary DiD specifications.</w:t>
      </w:r>
      <w:r>
        <w:t xml:space="preserve"> </w:t>
      </w:r>
      <w:r>
        <w:rPr>
          <w:b/>
          <w:bCs/>
        </w:rPr>
        <w:t xml:space="preserve">Model 1</w:t>
      </w:r>
      <w:r>
        <w:t xml:space="preserve"> </w:t>
      </w:r>
      <w:r>
        <w:t xml:space="preserve">is the district-median panel-level DiD on the v2.0 QC-passing panel (n = 48 district-year observations, 8 clusters).</w:t>
      </w:r>
      <w:r>
        <w:t xml:space="preserve"> </w:t>
      </w:r>
      <w:r>
        <w:rPr>
          <w:b/>
          <w:bCs/>
        </w:rPr>
        <w:t xml:space="preserve">Model 2</w:t>
      </w:r>
      <w:r>
        <w:t xml:space="preserve"> </w:t>
      </w:r>
      <w:r>
        <w:t xml:space="preserve">is the pixel-level (cell-year) DiD on the same QC-passing universe (n = 1,223 fit_ok cell-years across 436 unique cells in 8 districts, with wild-cluster bootstrap at the district level, G = 8, 499 Rademacher draws). The pixel-level model addresses the ecological-fallacy concern that district-median aggregation could mask within-district heterogeneity in cyclone exposure.</w:t>
      </w:r>
    </w:p>
    <w:p>
      <w:pPr>
        <w:pStyle w:val="BodyText"/>
      </w:pPr>
      <w:r>
        <w:t xml:space="preserve">All three estimated ATTs from Model 1 are statistically indistinguishable from zero under both cluster-robust and wild-cluster bootstrap inference, and the pixel-level Model 2 estimates are directionally consistent and within 3 days in magnitude (Table 3, Figure 5).</w:t>
      </w:r>
    </w:p>
    <w:p>
      <w:pPr>
        <w:pStyle w:val="CaptionedFigure"/>
      </w:pPr>
      <w:r>
        <w:drawing>
          <wp:inline>
            <wp:extent cx="5334000" cy="2974265"/>
            <wp:effectExtent b="0" l="0" r="0" t="0"/>
            <wp:docPr descr="Figure 5. Static difference-in-differences (DiD) coefficient plot for the v2.0 quality-control (QC) passing panel (Model 1). Point estimates (filled circles) and 95% wild-cluster bootstrap (WCB) confidence intervals (CIs; horizontal lines with caps) are shown for the three phenometric outcomes — start of season (SOS), peak of season (POS), and end of season (EOS) — estimated from the two-way fixed-effects specification (Equation 1) on the district-median panel (n = 48 district-year observations, G = 8 clusters; 499 Rademacher WCB draws). The vertical dashed line marks the null effect (\tau = 0). Numerical labels above and below each CI report the lower and upper 95% WCB bounds in days. Point-estimate annotations to the right of each interval give the average treatment effect on the treated (\hat\tau, in days) and the wild-cluster bootstrap p-value (p_{\mathrm{WCB}}). All three estimates are statistically indistinguishable from zero: \hat\tau_{\mathrm{SOS}} = +7.56 d (p_{\mathrm{WCB}} = 0.385); \hat\tau_{\mathrm{POS}} = −2.32 d (p_{\mathrm{WCB}} = 0.468); \hat\tau_{\mathrm{EOS}} = −4.11 d (p_{\mathrm{WCB}} = 0.445). Treatment indicator: Treat_d = 1 for the five coastal districts (Baleshwar, Bhadrak, Kendrapara, Jagatsinghpur, Puri); post-treatment indicator: Post_t = 1 for cyclone years 2019 (Cyclone Fani), 2020 (Cyclone Amphan), and 2021 (Cyclone Yaas). Source script: build_fig5_did_coefplot.py; embedded raster: figures/fig5_did_coefplot.jpg (1000 dpi); vector archive: figures/fig5_did_coefplot.pdf; underlying data: analysis/v22/results/did_static_v22.csv." title="" id="58" name="Picture"/>
            <a:graphic>
              <a:graphicData uri="http://schemas.openxmlformats.org/drawingml/2006/picture">
                <pic:pic>
                  <pic:nvPicPr>
                    <pic:cNvPr descr="figures/fig5_did_coefplot.jpg" id="59" name="Picture"/>
                    <pic:cNvPicPr>
                      <a:picLocks noChangeArrowheads="1" noChangeAspect="1"/>
                    </pic:cNvPicPr>
                  </pic:nvPicPr>
                  <pic:blipFill>
                    <a:blip r:embed="rId57"/>
                    <a:stretch>
                      <a:fillRect/>
                    </a:stretch>
                  </pic:blipFill>
                  <pic:spPr bwMode="auto">
                    <a:xfrm>
                      <a:off x="0" y="0"/>
                      <a:ext cx="5334000" cy="2974265"/>
                    </a:xfrm>
                    <a:prstGeom prst="rect">
                      <a:avLst/>
                    </a:prstGeom>
                    <a:noFill/>
                    <a:ln w="9525">
                      <a:noFill/>
                      <a:headEnd/>
                      <a:tailEnd/>
                    </a:ln>
                  </pic:spPr>
                </pic:pic>
              </a:graphicData>
            </a:graphic>
          </wp:inline>
        </w:drawing>
      </w:r>
    </w:p>
    <w:p>
      <w:pPr>
        <w:pStyle w:val="ImageCaption"/>
      </w:pPr>
      <w:r>
        <w:rPr>
          <w:b/>
          <w:bCs/>
        </w:rPr>
        <w:t xml:space="preserve">Figure 5.</w:t>
      </w:r>
      <w:r>
        <w:t xml:space="preserve"> </w:t>
      </w:r>
      <w:r>
        <w:t xml:space="preserve">Static difference-in-differences (DiD) coefficient plot for the v2.0 quality-control (QC) passing panel (Model 1). Point estimates (filled circles) and 95% wild-cluster bootstrap (WCB) confidence intervals (CIs; horizontal lines with caps) are shown for the three phenometric outcomes — start of season (SOS), peak of season (POS), and end of season (EOS) — estimated from the two-way fixed-effects specification (Equation 1) on the district-median panel (n = 48 district-year observations, G = 8 clusters; 499 Rademacher WCB draws). The vertical dashed line marks the null effect (</w:t>
      </w:r>
      <m:oMath>
        <m:r>
          <m:t>τ</m:t>
        </m:r>
        <m:r>
          <m:rPr>
            <m:sty m:val="p"/>
          </m:rPr>
          <m:t>=</m:t>
        </m:r>
        <m:r>
          <m:t>0</m:t>
        </m:r>
      </m:oMath>
      <w:r>
        <w:t xml:space="preserve">). Numerical labels above and below each CI report the lower and upper 95% WCB bounds in days. Point-estimate annotations to the right of each interval give the average treatment effect on the treated (</w:t>
      </w:r>
      <m:oMath>
        <m:acc>
          <m:accPr>
            <m:chr m:val="̂"/>
          </m:accPr>
          <m:e>
            <m:r>
              <m:t>τ</m:t>
            </m:r>
          </m:e>
        </m:acc>
      </m:oMath>
      <w:r>
        <w:t xml:space="preserve">, in days) and the wild-cluster bootstrap p-value (</w:t>
      </w:r>
      <m:oMath>
        <m:sSub>
          <m:e>
            <m:r>
              <m:t>p</m:t>
            </m:r>
          </m:e>
          <m:sub>
            <m:r>
              <m:rPr>
                <m:sty m:val="p"/>
              </m:rPr>
              <m:t>W</m:t>
            </m:r>
            <m:r>
              <m:rPr>
                <m:sty m:val="p"/>
              </m:rPr>
              <m:t>C</m:t>
            </m:r>
            <m:r>
              <m:rPr>
                <m:sty m:val="p"/>
              </m:rPr>
              <m:t>B</m:t>
            </m:r>
          </m:sub>
        </m:sSub>
      </m:oMath>
      <w:r>
        <w:t xml:space="preserve">). All three estimates are statistically indistinguishable from zero:</w:t>
      </w:r>
      <w:r>
        <w:t xml:space="preserve"> </w:t>
      </w:r>
      <m:oMath>
        <m:sSub>
          <m:e>
            <m:acc>
              <m:accPr>
                <m:chr m:val="̂"/>
              </m:accPr>
              <m:e>
                <m:r>
                  <m:t>τ</m:t>
                </m:r>
              </m:e>
            </m:acc>
          </m:e>
          <m:sub>
            <m:r>
              <m:rPr>
                <m:sty m:val="p"/>
              </m:rPr>
              <m:t>S</m:t>
            </m:r>
            <m:r>
              <m:rPr>
                <m:sty m:val="p"/>
              </m:rPr>
              <m:t>O</m:t>
            </m:r>
            <m:r>
              <m:rPr>
                <m:sty m:val="p"/>
              </m:rPr>
              <m:t>S</m:t>
            </m:r>
          </m:sub>
        </m:sSub>
      </m:oMath>
      <w:r>
        <w:t xml:space="preserve"> </w:t>
      </w:r>
      <w:r>
        <w:t xml:space="preserve">= +7.56 d (</w:t>
      </w:r>
      <m:oMath>
        <m:sSub>
          <m:e>
            <m:r>
              <m:t>p</m:t>
            </m:r>
          </m:e>
          <m:sub>
            <m:r>
              <m:rPr>
                <m:sty m:val="p"/>
              </m:rPr>
              <m:t>W</m:t>
            </m:r>
            <m:r>
              <m:rPr>
                <m:sty m:val="p"/>
              </m:rPr>
              <m:t>C</m:t>
            </m:r>
            <m:r>
              <m:rPr>
                <m:sty m:val="p"/>
              </m:rPr>
              <m:t>B</m:t>
            </m:r>
          </m:sub>
        </m:sSub>
      </m:oMath>
      <w:r>
        <w:t xml:space="preserve"> </w:t>
      </w:r>
      <w:r>
        <w:t xml:space="preserve">= 0.385);</w:t>
      </w:r>
      <w:r>
        <w:t xml:space="preserve"> </w:t>
      </w:r>
      <m:oMath>
        <m:sSub>
          <m:e>
            <m:acc>
              <m:accPr>
                <m:chr m:val="̂"/>
              </m:accPr>
              <m:e>
                <m:r>
                  <m:t>τ</m:t>
                </m:r>
              </m:e>
            </m:acc>
          </m:e>
          <m:sub>
            <m:r>
              <m:rPr>
                <m:sty m:val="p"/>
              </m:rPr>
              <m:t>P</m:t>
            </m:r>
            <m:r>
              <m:rPr>
                <m:sty m:val="p"/>
              </m:rPr>
              <m:t>O</m:t>
            </m:r>
            <m:r>
              <m:rPr>
                <m:sty m:val="p"/>
              </m:rPr>
              <m:t>S</m:t>
            </m:r>
          </m:sub>
        </m:sSub>
      </m:oMath>
      <w:r>
        <w:t xml:space="preserve"> </w:t>
      </w:r>
      <w:r>
        <w:t xml:space="preserve">= −2.32 d (</w:t>
      </w:r>
      <m:oMath>
        <m:sSub>
          <m:e>
            <m:r>
              <m:t>p</m:t>
            </m:r>
          </m:e>
          <m:sub>
            <m:r>
              <m:rPr>
                <m:sty m:val="p"/>
              </m:rPr>
              <m:t>W</m:t>
            </m:r>
            <m:r>
              <m:rPr>
                <m:sty m:val="p"/>
              </m:rPr>
              <m:t>C</m:t>
            </m:r>
            <m:r>
              <m:rPr>
                <m:sty m:val="p"/>
              </m:rPr>
              <m:t>B</m:t>
            </m:r>
          </m:sub>
        </m:sSub>
      </m:oMath>
      <w:r>
        <w:t xml:space="preserve"> </w:t>
      </w:r>
      <w:r>
        <w:t xml:space="preserve">= 0.468);</w:t>
      </w:r>
      <w:r>
        <w:t xml:space="preserve"> </w:t>
      </w:r>
      <m:oMath>
        <m:sSub>
          <m:e>
            <m:acc>
              <m:accPr>
                <m:chr m:val="̂"/>
              </m:accPr>
              <m:e>
                <m:r>
                  <m:t>τ</m:t>
                </m:r>
              </m:e>
            </m:acc>
          </m:e>
          <m:sub>
            <m:r>
              <m:rPr>
                <m:sty m:val="p"/>
              </m:rPr>
              <m:t>E</m:t>
            </m:r>
            <m:r>
              <m:rPr>
                <m:sty m:val="p"/>
              </m:rPr>
              <m:t>O</m:t>
            </m:r>
            <m:r>
              <m:rPr>
                <m:sty m:val="p"/>
              </m:rPr>
              <m:t>S</m:t>
            </m:r>
          </m:sub>
        </m:sSub>
      </m:oMath>
      <w:r>
        <w:t xml:space="preserve"> </w:t>
      </w:r>
      <w:r>
        <w:t xml:space="preserve">= −4.11 d (</w:t>
      </w:r>
      <m:oMath>
        <m:sSub>
          <m:e>
            <m:r>
              <m:t>p</m:t>
            </m:r>
          </m:e>
          <m:sub>
            <m:r>
              <m:rPr>
                <m:sty m:val="p"/>
              </m:rPr>
              <m:t>W</m:t>
            </m:r>
            <m:r>
              <m:rPr>
                <m:sty m:val="p"/>
              </m:rPr>
              <m:t>C</m:t>
            </m:r>
            <m:r>
              <m:rPr>
                <m:sty m:val="p"/>
              </m:rPr>
              <m:t>B</m:t>
            </m:r>
          </m:sub>
        </m:sSub>
      </m:oMath>
      <w:r>
        <w:t xml:space="preserve"> </w:t>
      </w:r>
      <w:r>
        <w:t xml:space="preserve">= 0.445). Treatment indicator: Treat</w:t>
      </w:r>
      <m:oMath>
        <m:sSub>
          <m:e>
            <m:r>
              <m:t>​</m:t>
            </m:r>
          </m:e>
          <m:sub>
            <m:r>
              <m:t>d</m:t>
            </m:r>
          </m:sub>
        </m:sSub>
      </m:oMath>
      <w:r>
        <w:t xml:space="preserve"> </w:t>
      </w:r>
      <w:r>
        <w:t xml:space="preserve">= 1 for the five coastal districts (Baleshwar, Bhadrak, Kendrapara, Jagatsinghpur, Puri); post-treatment indicator: Post</w:t>
      </w:r>
      <m:oMath>
        <m:sSub>
          <m:e>
            <m:r>
              <m:t>​</m:t>
            </m:r>
          </m:e>
          <m:sub>
            <m:r>
              <m:t>t</m:t>
            </m:r>
          </m:sub>
        </m:sSub>
      </m:oMath>
      <w:r>
        <w:t xml:space="preserve"> </w:t>
      </w:r>
      <w:r>
        <w:t xml:space="preserve">= 1 for cyclone years 2019 (Cyclone Fani), 2020 (Cyclone Amphan), and 2021 (Cyclone Yaas). Source script:</w:t>
      </w:r>
      <w:r>
        <w:t xml:space="preserve"> </w:t>
      </w:r>
      <w:r>
        <w:rPr>
          <w:rStyle w:val="VerbatimChar"/>
        </w:rPr>
        <w:t xml:space="preserve">build_fig5_did_coefplot.py</w:t>
      </w:r>
      <w:r>
        <w:t xml:space="preserve">; embedded raster:</w:t>
      </w:r>
      <w:r>
        <w:t xml:space="preserve"> </w:t>
      </w:r>
      <w:r>
        <w:rPr>
          <w:rStyle w:val="VerbatimChar"/>
        </w:rPr>
        <w:t xml:space="preserve">figures/fig5_did_coefplot.jpg</w:t>
      </w:r>
      <w:r>
        <w:t xml:space="preserve"> </w:t>
      </w:r>
      <w:r>
        <w:t xml:space="preserve">(1000 dpi); vector archive:</w:t>
      </w:r>
      <w:r>
        <w:t xml:space="preserve"> </w:t>
      </w:r>
      <w:r>
        <w:rPr>
          <w:rStyle w:val="VerbatimChar"/>
        </w:rPr>
        <w:t xml:space="preserve">figures/fig5_did_coefplot.pdf</w:t>
      </w:r>
      <w:r>
        <w:t xml:space="preserve">; underlying data:</w:t>
      </w:r>
      <w:r>
        <w:t xml:space="preserve"> </w:t>
      </w:r>
      <w:r>
        <w:rPr>
          <w:rStyle w:val="VerbatimChar"/>
        </w:rPr>
        <w:t xml:space="preserve">analysis/v22/results/did_static_v22.csv</w:t>
      </w:r>
      <w:r>
        <w:t xml:space="preserve">.</w:t>
      </w:r>
    </w:p>
    <w:p>
      <w:pPr>
        <w:pStyle w:val="BodyText"/>
      </w:pPr>
      <w:r>
        <w:rPr>
          <w:b/>
          <w:bCs/>
        </w:rPr>
        <w:t xml:space="preserve">Table 3. Static DiD results: Model 1 (district-median panel) and Model 2 (pixel-level cell-year panel) on the v2.0 QC-passing data.</w:t>
      </w:r>
      <w:r>
        <w:t xml:space="preserve"> </w:t>
      </w:r>
      <w:r>
        <w:t xml:space="preserve">Average treatment effects on the treated (ATT, τ̂) for all three phenometrics, estimated from the two-way fixed-effects specification (Equation 1 of the main text). Model 1 is the district-median panel (n = 48 district-year observations, 8 clusters); Model 2 is the cell-year panel (n = 1,223 fit_ok cell-years across 436 unique cells, district-clustered at G = 8). Standard errors are district-clustered (CR1, df = 7). Wild-cluster bootstrap (WCB) p-values use 499 Rademacher draws (Cameron et al., 2008). 95% confidence intervals shown are from WCB inversion (Model 1) and the cluster-robust normal-theory interval (Model 2). Treatment group: five coastal Odisha districts (BLS, BHA, KDP, JGS, PUR). Post period: cyclone years 2019 (Fani), 2020 (Amphan), 2021 (Yaas). Control group: three inland districts (ANG, DHK, CTK). All estimates are statistically indistinguishable from zero under both inference methods, and the two models agree in sign across all three phenometrics.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Phenometric</w:t>
            </w:r>
          </w:p>
        </w:tc>
        <w:tc>
          <w:tcPr/>
          <w:p>
            <w:pPr>
              <w:pStyle w:val="Compact"/>
              <w:jc w:val="left"/>
            </w:pPr>
            <w:r>
              <w:t xml:space="preserve">Model 1 τ̂ (d)</w:t>
            </w:r>
          </w:p>
        </w:tc>
        <w:tc>
          <w:tcPr/>
          <w:p>
            <w:pPr>
              <w:pStyle w:val="Compact"/>
              <w:jc w:val="left"/>
            </w:pPr>
            <w:r>
              <w:t xml:space="preserve">Model 1 SE (d)</w:t>
            </w:r>
          </w:p>
        </w:tc>
        <w:tc>
          <w:tcPr/>
          <w:p>
            <w:pPr>
              <w:pStyle w:val="Compact"/>
              <w:jc w:val="left"/>
            </w:pPr>
            <w:r>
              <w:t xml:space="preserve">Model 1 p (cluster)</w:t>
            </w:r>
          </w:p>
        </w:tc>
        <w:tc>
          <w:tcPr/>
          <w:p>
            <w:pPr>
              <w:pStyle w:val="Compact"/>
              <w:jc w:val="left"/>
            </w:pPr>
            <w:r>
              <w:t xml:space="preserve">Model 1 p (WCB)</w:t>
            </w:r>
          </w:p>
        </w:tc>
        <w:tc>
          <w:tcPr/>
          <w:p>
            <w:pPr>
              <w:pStyle w:val="Compact"/>
              <w:jc w:val="left"/>
            </w:pPr>
            <w:r>
              <w:t xml:space="preserve">Model 1 95% CI (WCB)</w:t>
            </w:r>
          </w:p>
        </w:tc>
        <w:tc>
          <w:tcPr/>
          <w:p>
            <w:pPr>
              <w:pStyle w:val="Compact"/>
              <w:jc w:val="left"/>
            </w:pPr>
            <w:r>
              <w:t xml:space="preserve">Model 2 τ̂ (d)</w:t>
            </w:r>
          </w:p>
        </w:tc>
        <w:tc>
          <w:tcPr/>
          <w:p>
            <w:pPr>
              <w:pStyle w:val="Compact"/>
              <w:jc w:val="left"/>
            </w:pPr>
            <w:r>
              <w:t xml:space="preserve">Model 2 p (WCB)</w:t>
            </w:r>
          </w:p>
        </w:tc>
        <w:tc>
          <w:tcPr/>
          <w:p>
            <w:pPr>
              <w:pStyle w:val="Compact"/>
              <w:jc w:val="left"/>
            </w:pPr>
            <w:r>
              <w:t xml:space="preserve">Sign agreement</w:t>
            </w:r>
          </w:p>
        </w:tc>
      </w:tr>
      <w:tr>
        <w:tc>
          <w:tcPr/>
          <w:p>
            <w:pPr>
              <w:pStyle w:val="Compact"/>
              <w:jc w:val="left"/>
            </w:pPr>
            <w:r>
              <w:t xml:space="preserve">SOS</w:t>
            </w:r>
          </w:p>
        </w:tc>
        <w:tc>
          <w:tcPr/>
          <w:p>
            <w:pPr>
              <w:pStyle w:val="Compact"/>
              <w:jc w:val="left"/>
            </w:pPr>
            <w:r>
              <w:t xml:space="preserve">+7.56</w:t>
            </w:r>
          </w:p>
        </w:tc>
        <w:tc>
          <w:tcPr/>
          <w:p>
            <w:pPr>
              <w:pStyle w:val="Compact"/>
              <w:jc w:val="left"/>
            </w:pPr>
            <w:r>
              <w:t xml:space="preserve">9.17</w:t>
            </w:r>
          </w:p>
        </w:tc>
        <w:tc>
          <w:tcPr/>
          <w:p>
            <w:pPr>
              <w:pStyle w:val="Compact"/>
              <w:jc w:val="left"/>
            </w:pPr>
            <w:r>
              <w:t xml:space="preserve">0.410</w:t>
            </w:r>
          </w:p>
        </w:tc>
        <w:tc>
          <w:tcPr/>
          <w:p>
            <w:pPr>
              <w:pStyle w:val="Compact"/>
              <w:jc w:val="left"/>
            </w:pPr>
            <w:r>
              <w:t xml:space="preserve">0.385</w:t>
            </w:r>
          </w:p>
        </w:tc>
        <w:tc>
          <w:tcPr/>
          <w:p>
            <w:pPr>
              <w:pStyle w:val="Compact"/>
              <w:jc w:val="left"/>
            </w:pPr>
            <w:r>
              <w:t xml:space="preserve">[−10.42, +25.53]</w:t>
            </w:r>
          </w:p>
        </w:tc>
        <w:tc>
          <w:tcPr/>
          <w:p>
            <w:pPr>
              <w:pStyle w:val="Compact"/>
              <w:jc w:val="left"/>
            </w:pPr>
            <w:r>
              <w:t xml:space="preserve">+4.91</w:t>
            </w:r>
          </w:p>
        </w:tc>
        <w:tc>
          <w:tcPr/>
          <w:p>
            <w:pPr>
              <w:pStyle w:val="Compact"/>
              <w:jc w:val="left"/>
            </w:pPr>
            <w:r>
              <w:t xml:space="preserve">0.232</w:t>
            </w:r>
          </w:p>
        </w:tc>
        <w:tc>
          <w:tcPr/>
          <w:p>
            <w:pPr>
              <w:pStyle w:val="Compact"/>
              <w:jc w:val="left"/>
            </w:pPr>
            <w:r>
              <w:t xml:space="preserve">✓</w:t>
            </w:r>
          </w:p>
        </w:tc>
      </w:tr>
      <w:tr>
        <w:tc>
          <w:tcPr/>
          <w:p>
            <w:pPr>
              <w:pStyle w:val="Compact"/>
              <w:jc w:val="left"/>
            </w:pPr>
            <w:r>
              <w:t xml:space="preserve">POS</w:t>
            </w:r>
          </w:p>
        </w:tc>
        <w:tc>
          <w:tcPr/>
          <w:p>
            <w:pPr>
              <w:pStyle w:val="Compact"/>
              <w:jc w:val="left"/>
            </w:pPr>
            <w:r>
              <w:t xml:space="preserve">−2.32</w:t>
            </w:r>
          </w:p>
        </w:tc>
        <w:tc>
          <w:tcPr/>
          <w:p>
            <w:pPr>
              <w:pStyle w:val="Compact"/>
              <w:jc w:val="left"/>
            </w:pPr>
            <w:r>
              <w:t xml:space="preserve">2.88</w:t>
            </w:r>
          </w:p>
        </w:tc>
        <w:tc>
          <w:tcPr/>
          <w:p>
            <w:pPr>
              <w:pStyle w:val="Compact"/>
              <w:jc w:val="left"/>
            </w:pPr>
            <w:r>
              <w:t xml:space="preserve">0.420</w:t>
            </w:r>
          </w:p>
        </w:tc>
        <w:tc>
          <w:tcPr/>
          <w:p>
            <w:pPr>
              <w:pStyle w:val="Compact"/>
              <w:jc w:val="left"/>
            </w:pPr>
            <w:r>
              <w:t xml:space="preserve">0.468</w:t>
            </w:r>
          </w:p>
        </w:tc>
        <w:tc>
          <w:tcPr/>
          <w:p>
            <w:pPr>
              <w:pStyle w:val="Compact"/>
              <w:jc w:val="left"/>
            </w:pPr>
            <w:r>
              <w:t xml:space="preserve">[−7.96, +3.32]</w:t>
            </w:r>
          </w:p>
        </w:tc>
        <w:tc>
          <w:tcPr/>
          <w:p>
            <w:pPr>
              <w:pStyle w:val="Compact"/>
              <w:jc w:val="left"/>
            </w:pPr>
            <w:r>
              <w:t xml:space="preserve">−2.58</w:t>
            </w:r>
          </w:p>
        </w:tc>
        <w:tc>
          <w:tcPr/>
          <w:p>
            <w:pPr>
              <w:pStyle w:val="Compact"/>
              <w:jc w:val="left"/>
            </w:pPr>
            <w:r>
              <w:t xml:space="preserve">0.096</w:t>
            </w:r>
          </w:p>
        </w:tc>
        <w:tc>
          <w:tcPr/>
          <w:p>
            <w:pPr>
              <w:pStyle w:val="Compact"/>
              <w:jc w:val="left"/>
            </w:pPr>
            <w:r>
              <w:t xml:space="preserve">✓</w:t>
            </w:r>
          </w:p>
        </w:tc>
      </w:tr>
      <w:tr>
        <w:tc>
          <w:tcPr/>
          <w:p>
            <w:pPr>
              <w:pStyle w:val="Compact"/>
              <w:jc w:val="left"/>
            </w:pPr>
            <w:r>
              <w:t xml:space="preserve">EOS</w:t>
            </w:r>
          </w:p>
        </w:tc>
        <w:tc>
          <w:tcPr/>
          <w:p>
            <w:pPr>
              <w:pStyle w:val="Compact"/>
              <w:jc w:val="left"/>
            </w:pPr>
            <w:r>
              <w:t xml:space="preserve">−4.11</w:t>
            </w:r>
          </w:p>
        </w:tc>
        <w:tc>
          <w:tcPr/>
          <w:p>
            <w:pPr>
              <w:pStyle w:val="Compact"/>
              <w:jc w:val="left"/>
            </w:pPr>
            <w:r>
              <w:t xml:space="preserve">5.77</w:t>
            </w:r>
          </w:p>
        </w:tc>
        <w:tc>
          <w:tcPr/>
          <w:p>
            <w:pPr>
              <w:pStyle w:val="Compact"/>
              <w:jc w:val="left"/>
            </w:pPr>
            <w:r>
              <w:t xml:space="preserve">0.476</w:t>
            </w:r>
          </w:p>
        </w:tc>
        <w:tc>
          <w:tcPr/>
          <w:p>
            <w:pPr>
              <w:pStyle w:val="Compact"/>
              <w:jc w:val="left"/>
            </w:pPr>
            <w:r>
              <w:t xml:space="preserve">0.445</w:t>
            </w:r>
          </w:p>
        </w:tc>
        <w:tc>
          <w:tcPr/>
          <w:p>
            <w:pPr>
              <w:pStyle w:val="Compact"/>
              <w:jc w:val="left"/>
            </w:pPr>
            <w:r>
              <w:t xml:space="preserve">[−15.41, +7.19]</w:t>
            </w:r>
          </w:p>
        </w:tc>
        <w:tc>
          <w:tcPr/>
          <w:p>
            <w:pPr>
              <w:pStyle w:val="Compact"/>
              <w:jc w:val="left"/>
            </w:pPr>
            <w:r>
              <w:t xml:space="preserve">−4.44</w:t>
            </w:r>
          </w:p>
        </w:tc>
        <w:tc>
          <w:tcPr/>
          <w:p>
            <w:pPr>
              <w:pStyle w:val="Compact"/>
              <w:jc w:val="left"/>
            </w:pPr>
            <w:r>
              <w:t xml:space="preserve">0.250</w:t>
            </w:r>
          </w:p>
        </w:tc>
        <w:tc>
          <w:tcPr/>
          <w:p>
            <w:pPr>
              <w:pStyle w:val="Compact"/>
              <w:jc w:val="left"/>
            </w:pPr>
            <w:r>
              <w:t xml:space="preserve">✓</w:t>
            </w:r>
          </w:p>
        </w:tc>
      </w:tr>
    </w:tbl>
    <w:p>
      <w:pPr>
        <w:pStyle w:val="BodyText"/>
      </w:pPr>
      <w:r>
        <w:rPr>
          <w:i/>
          <w:iCs/>
        </w:rPr>
        <w:t xml:space="preserve">Sources: Model 1 from analysis/v22/results/did_static_v22.csv; Model 2 from analysis/v22/results/did_cell_level_v22.csv. Abbreviations: DiD = difference-in-differences; ATT = average treatment effect on the treated (denoted τ̂); SE = standard error; CI = confidence interval; CR1 = degrees-of-freedom-adjusted cluster-robust variance estimator with the standard small-sample correction (Stata-style CR1; see Cameron &amp; Miller, 2015, for review); df = degrees of freedom; WCB = wild-cluster bootstrap; G = number of clusters (districts); n = sample size; SOS = start of season; POS = peak of season; EOS = end of season; DOY = day of year. District codes: BLS = Baleshwar, BHA = Bhadrak, KDP = Kendrapara, JGS = Jagatsinghpur, PUR = Puri (treatment); ANG = Angul, DHK = Dhenkanal, CTK = Cuttack (control). Positive τ̂ indicates a delay (later DOY) in cyclone-exposed coastal districts relative to inland controls, after absorbing district and year fixed effects. No estimate is significant at the 5% or 10% level under WCB inference in either model. n_treat_post = 15 for Model 1 (5 coastal districts × 3 cyclone years); see Module 04b of the released GEE codebase for the cell-year sample composition for Model 2.</w:t>
      </w:r>
    </w:p>
    <w:p>
      <w:pPr>
        <w:pStyle w:val="BodyText"/>
      </w:pPr>
      <w:r>
        <w:t xml:space="preserve">No SOS or EOS p-value in either model crosses the 5% significance threshold, and the POS estimate in Model 2 is marginally significant under WCB (p = 0.096) but null under cluster-robust inference. The 95% CIs from Model 1 all span zero by a substantial margin: for SOS, the CI spans 36 days; for EOS, 22.6 days. Under district-clustered inference (G = 8), the pixel-level Model 2 attains 80%-power MDEs of approximately 13.9 d (SOS), 4.8 d (POS), and 10.2 d (EOS) (Table S8); the joint null across Model 1 and Model 2 therefore rules out cyclone-induced shifts on the QC-passing pixel universe larger than approximately ± 5–14 d, depending on the metric — a tighter bound than Model 1 alone but not a sub-day claim. Sign agreement across the two models indicates that the null is not an artefact of district-median aggregation.</w:t>
      </w:r>
    </w:p>
    <w:p>
      <w:pPr>
        <w:pStyle w:val="BodyText"/>
      </w:pPr>
      <w:r>
        <w:t xml:space="preserve">The estimated SOS ATT in Model 1 (+7.6 d) has the correct sign under the prior prediction that cyclone exposure would delay sowing, but the magnitude is below the panel-level MDE (22.7 d) and not distinguishable from zero. The EOS estimate (−4.1 d) is negative — indicating, if anything, a marginal advance in harvest timing in cyclone-affected coastal districts — which is counter-intuitive but fully within the noise implied by the SE and CI and consistent with the pixel-level estimate.</w:t>
      </w:r>
    </w:p>
    <w:p>
      <w:pPr>
        <w:pStyle w:val="BodyText"/>
      </w:pPr>
      <w:r>
        <w:t xml:space="preserve">These results are the expected outcome after QC. The 72.7% EOS boundary spike and 65.6% POS spike in the pre-QC distributions were not distributed randomly across treatment and control cells: coastal districts, which carry the most severely affected rice pixels, had higher rates of late-senescence (EOS &gt; 340) than inland districts, making the artefactual EOS spike systematically more prevalent in the treatment group. Removing the spikes via the QC framework therefore removes a source of systematic treatment–control difference that was not driven by the cyclones themselves but by the spatial covariation between surge exposure, late harvest, and the probability of late-senescence pixels hitting the fitting-window boundary. The null DiD is precisely what we should observe once the artefacts are corrected.</w:t>
      </w:r>
    </w:p>
    <w:bookmarkEnd w:id="60"/>
    <w:bookmarkStart w:id="67" w:name="event-study-results"/>
    <w:p>
      <w:pPr>
        <w:pStyle w:val="Heading3"/>
      </w:pPr>
      <w:r>
        <w:t xml:space="preserve">4.5 Event study results</w:t>
      </w:r>
    </w:p>
    <w:p>
      <w:pPr>
        <w:pStyle w:val="FirstParagraph"/>
      </w:pPr>
      <w:r>
        <w:t xml:space="preserve">Figure 6 displays the event-study coefficients</w:t>
      </w:r>
      <w:r>
        <w:t xml:space="preserve"> </w:t>
      </w:r>
      <m:oMath>
        <m:sSub>
          <m:e>
            <m:acc>
              <m:accPr>
                <m:chr m:val="̂"/>
              </m:accPr>
              <m:e>
                <m:r>
                  <m:t>β</m:t>
                </m:r>
              </m:e>
            </m:acc>
          </m:e>
          <m:sub>
            <m:r>
              <m:t>k</m:t>
            </m:r>
          </m:sub>
        </m:sSub>
      </m:oMath>
      <w:r>
        <w:t xml:space="preserve"> </w:t>
      </w:r>
      <w:r>
        <w:t xml:space="preserve">for</w:t>
      </w:r>
      <w:r>
        <w:t xml:space="preserve"> </w:t>
      </w:r>
      <m:oMath>
        <m:r>
          <m:t>k</m:t>
        </m:r>
        <m:r>
          <m:rPr>
            <m:sty m:val="p"/>
          </m:rPr>
          <m:t>=</m:t>
        </m:r>
        <m:r>
          <m:t>1</m:t>
        </m:r>
        <m:r>
          <m:rPr>
            <m:sty m:val="p"/>
          </m:rPr>
          <m:t>,</m:t>
        </m:r>
        <m:r>
          <m:rPr>
            <m:sty m:val="p"/>
          </m:rPr>
          <m:t>…</m:t>
        </m:r>
        <m:r>
          <m:rPr>
            <m:sty m:val="p"/>
          </m:rPr>
          <m:t>,</m:t>
        </m:r>
        <m:r>
          <m:t>5</m:t>
        </m:r>
      </m:oMath>
      <w:r>
        <w:t xml:space="preserve"> </w:t>
      </w:r>
      <w:r>
        <w:t xml:space="preserve">relative to the reference year</w:t>
      </w:r>
      <w:r>
        <w:t xml:space="preserve"> </w:t>
      </w:r>
      <m:oMath>
        <m:r>
          <m:t>k</m:t>
        </m:r>
        <m:r>
          <m:rPr>
            <m:sty m:val="p"/>
          </m:rPr>
          <m:t>=</m:t>
        </m:r>
        <m:r>
          <m:t>0</m:t>
        </m:r>
      </m:oMath>
      <w:r>
        <w:t xml:space="preserve"> </w:t>
      </w:r>
      <w:r>
        <w:t xml:space="preserve">(2019, Cyclone Fani year), separately for SOS, POS, and EOS. The event-study results confirm the static DiD finding: no coefficient for any metric in any post-treatment year is statistically distinguishable from zero.</w:t>
      </w:r>
    </w:p>
    <w:p>
      <w:pPr>
        <w:pStyle w:val="CaptionedFigure"/>
      </w:pPr>
      <w:r>
        <w:drawing>
          <wp:inline>
            <wp:extent cx="5334000" cy="2204720"/>
            <wp:effectExtent b="0" l="0" r="0" t="0"/>
            <wp:docPr descr="Figure 6. Event study — year-by-year treatment-vs-control phenometric differences, 2019–2024. Event-study coefficients \hat\beta_k (filled circles) and 95% cluster-robust confidence intervals (CIs; vertical lines with caps) for the three phenometric outcomes — start of season (SOS, left panel), peak of season (POS, middle panel), and end of season (EOS, right panel) — estimated from the dynamic two-way fixed-effects specification (Equation 2) on the v2.0 quality-control (QC) passing panel (n = 48 district-year observations across 8 districts; 5 coastal treatment districts, 3 inland control districts). Event time k = year − 2019; the reference year is k = 0 (2019, Cyclone Fani landfall), so all \hat\beta_k for k = 1, \ldots, 5 are measured relative to 2019. Calendar-year correspondence is shown below each tick: k = 1 → 2020 (Cyclone Amphan), k = 2 → 2021 (Cyclone Yaas), k = 3 → 2022, k = 4 → 2023, k = 5 → 2024. Pale-orange vertical bands mark the two post-reference cyclone treatment years (k = 1 and k = 2). The horizontal dashed line marks the null effect (\beta = 0). No coefficient for any metric in any year excludes zero at the 5% level: for SOS, the largest coefficient is \hat\beta_1 = +19.7 d (95% CI [−4.95, +44.35]); for POS, all coefficients lie within ±6 d of zero (range −4.3 to +5.2); for EOS, all coefficients lie within ±17 d of zero (range −1.7 to +16.8). The absence of any systematic monotone trend across k = 1, \ldots, 5 is consistent with the QC-cleaned panel capturing genuine year-to-year variability driven by monsoon variability rather than accumulated cyclone damage. Standard errors are district-clustered (CR1, G = 8 clusters, df = 7); n = sample size; DiD = difference-in-differences. Source script: build_fig6_event_study.py; embedded raster: figures/fig6_event_study.jpg (1000 dpi); vector archive: figures/fig6_event_study.pdf; underlying data: analysis/v22/results/event_study_v22.csv." title="" id="62" name="Picture"/>
            <a:graphic>
              <a:graphicData uri="http://schemas.openxmlformats.org/drawingml/2006/picture">
                <pic:pic>
                  <pic:nvPicPr>
                    <pic:cNvPr descr="figures/fig6_event_study.jpg" id="63" name="Picture"/>
                    <pic:cNvPicPr>
                      <a:picLocks noChangeArrowheads="1" noChangeAspect="1"/>
                    </pic:cNvPicPr>
                  </pic:nvPicPr>
                  <pic:blipFill>
                    <a:blip r:embed="rId61"/>
                    <a:stretch>
                      <a:fillRect/>
                    </a:stretch>
                  </pic:blipFill>
                  <pic:spPr bwMode="auto">
                    <a:xfrm>
                      <a:off x="0" y="0"/>
                      <a:ext cx="5334000" cy="2204720"/>
                    </a:xfrm>
                    <a:prstGeom prst="rect">
                      <a:avLst/>
                    </a:prstGeom>
                    <a:noFill/>
                    <a:ln w="9525">
                      <a:noFill/>
                      <a:headEnd/>
                      <a:tailEnd/>
                    </a:ln>
                  </pic:spPr>
                </pic:pic>
              </a:graphicData>
            </a:graphic>
          </wp:inline>
        </w:drawing>
      </w:r>
    </w:p>
    <w:p>
      <w:pPr>
        <w:pStyle w:val="ImageCaption"/>
      </w:pPr>
      <w:r>
        <w:rPr>
          <w:b/>
          <w:bCs/>
        </w:rPr>
        <w:t xml:space="preserve">Figure 6.</w:t>
      </w:r>
      <w:r>
        <w:t xml:space="preserve"> </w:t>
      </w:r>
      <w:r>
        <w:t xml:space="preserve">Event study — year-by-year treatment-vs-control phenometric differences, 2019–2024. Event-study coefficients</w:t>
      </w:r>
      <w:r>
        <w:t xml:space="preserve"> </w:t>
      </w:r>
      <m:oMath>
        <m:sSub>
          <m:e>
            <m:acc>
              <m:accPr>
                <m:chr m:val="̂"/>
              </m:accPr>
              <m:e>
                <m:r>
                  <m:t>β</m:t>
                </m:r>
              </m:e>
            </m:acc>
          </m:e>
          <m:sub>
            <m:r>
              <m:t>k</m:t>
            </m:r>
          </m:sub>
        </m:sSub>
      </m:oMath>
      <w:r>
        <w:t xml:space="preserve"> </w:t>
      </w:r>
      <w:r>
        <w:t xml:space="preserve">(filled circles) and 95% cluster-robust confidence intervals (CIs; vertical lines with caps) for the three phenometric outcomes — start of season (SOS, left panel), peak of season (POS, middle panel), and end of season (EOS, right panel) — estimated from the dynamic two-way fixed-effects specification (Equation 2) on the v2.0 quality-control (QC) passing panel (n = 48 district-year observations across 8 districts; 5 coastal treatment districts, 3 inland control districts). Event time</w:t>
      </w:r>
      <w:r>
        <w:t xml:space="preserve"> </w:t>
      </w:r>
      <m:oMath>
        <m:r>
          <m:t>k</m:t>
        </m:r>
      </m:oMath>
      <w:r>
        <w:t xml:space="preserve"> </w:t>
      </w:r>
      <w:r>
        <w:t xml:space="preserve">= year − 2019; the reference year is</w:t>
      </w:r>
      <w:r>
        <w:t xml:space="preserve"> </w:t>
      </w:r>
      <m:oMath>
        <m:r>
          <m:t>k</m:t>
        </m:r>
        <m:r>
          <m:rPr>
            <m:sty m:val="p"/>
          </m:rPr>
          <m:t>=</m:t>
        </m:r>
        <m:r>
          <m:t>0</m:t>
        </m:r>
      </m:oMath>
      <w:r>
        <w:t xml:space="preserve"> </w:t>
      </w:r>
      <w:r>
        <w:t xml:space="preserve">(2019, Cyclone Fani landfall), so all</w:t>
      </w:r>
      <w:r>
        <w:t xml:space="preserve"> </w:t>
      </w:r>
      <m:oMath>
        <m:sSub>
          <m:e>
            <m:acc>
              <m:accPr>
                <m:chr m:val="̂"/>
              </m:accPr>
              <m:e>
                <m:r>
                  <m:t>β</m:t>
                </m:r>
              </m:e>
            </m:acc>
          </m:e>
          <m:sub>
            <m:r>
              <m:t>k</m:t>
            </m:r>
          </m:sub>
        </m:sSub>
      </m:oMath>
      <w:r>
        <w:t xml:space="preserve"> </w:t>
      </w:r>
      <w:r>
        <w:t xml:space="preserve">for</w:t>
      </w:r>
      <w:r>
        <w:t xml:space="preserve"> </w:t>
      </w:r>
      <m:oMath>
        <m:r>
          <m:t>k</m:t>
        </m:r>
        <m:r>
          <m:rPr>
            <m:sty m:val="p"/>
          </m:rPr>
          <m:t>=</m:t>
        </m:r>
        <m:r>
          <m:t>1</m:t>
        </m:r>
        <m:r>
          <m:rPr>
            <m:sty m:val="p"/>
          </m:rPr>
          <m:t>,</m:t>
        </m:r>
        <m:r>
          <m:rPr>
            <m:sty m:val="p"/>
          </m:rPr>
          <m:t>…</m:t>
        </m:r>
        <m:r>
          <m:rPr>
            <m:sty m:val="p"/>
          </m:rPr>
          <m:t>,</m:t>
        </m:r>
        <m:r>
          <m:t>5</m:t>
        </m:r>
      </m:oMath>
      <w:r>
        <w:t xml:space="preserve"> </w:t>
      </w:r>
      <w:r>
        <w:t xml:space="preserve">are measured relative to 2019. Calendar-year correspondence is shown below each tick:</w:t>
      </w:r>
      <w:r>
        <w:t xml:space="preserve"> </w:t>
      </w:r>
      <m:oMath>
        <m:r>
          <m:t>k</m:t>
        </m:r>
        <m:r>
          <m:rPr>
            <m:sty m:val="p"/>
          </m:rPr>
          <m:t>=</m:t>
        </m:r>
        <m:r>
          <m:t>1</m:t>
        </m:r>
      </m:oMath>
      <w:r>
        <w:t xml:space="preserve"> </w:t>
      </w:r>
      <w:r>
        <w:t xml:space="preserve">→ 2020 (Cyclone Amphan),</w:t>
      </w:r>
      <w:r>
        <w:t xml:space="preserve"> </w:t>
      </w:r>
      <m:oMath>
        <m:r>
          <m:t>k</m:t>
        </m:r>
        <m:r>
          <m:rPr>
            <m:sty m:val="p"/>
          </m:rPr>
          <m:t>=</m:t>
        </m:r>
        <m:r>
          <m:t>2</m:t>
        </m:r>
      </m:oMath>
      <w:r>
        <w:t xml:space="preserve"> </w:t>
      </w:r>
      <w:r>
        <w:t xml:space="preserve">→ 2021 (Cyclone Yaas),</w:t>
      </w:r>
      <w:r>
        <w:t xml:space="preserve"> </w:t>
      </w:r>
      <m:oMath>
        <m:r>
          <m:t>k</m:t>
        </m:r>
        <m:r>
          <m:rPr>
            <m:sty m:val="p"/>
          </m:rPr>
          <m:t>=</m:t>
        </m:r>
        <m:r>
          <m:t>3</m:t>
        </m:r>
      </m:oMath>
      <w:r>
        <w:t xml:space="preserve"> </w:t>
      </w:r>
      <w:r>
        <w:t xml:space="preserve">→ 2022,</w:t>
      </w:r>
      <w:r>
        <w:t xml:space="preserve"> </w:t>
      </w:r>
      <m:oMath>
        <m:r>
          <m:t>k</m:t>
        </m:r>
        <m:r>
          <m:rPr>
            <m:sty m:val="p"/>
          </m:rPr>
          <m:t>=</m:t>
        </m:r>
        <m:r>
          <m:t>4</m:t>
        </m:r>
      </m:oMath>
      <w:r>
        <w:t xml:space="preserve"> </w:t>
      </w:r>
      <w:r>
        <w:t xml:space="preserve">→ 2023,</w:t>
      </w:r>
      <w:r>
        <w:t xml:space="preserve"> </w:t>
      </w:r>
      <m:oMath>
        <m:r>
          <m:t>k</m:t>
        </m:r>
        <m:r>
          <m:rPr>
            <m:sty m:val="p"/>
          </m:rPr>
          <m:t>=</m:t>
        </m:r>
        <m:r>
          <m:t>5</m:t>
        </m:r>
      </m:oMath>
      <w:r>
        <w:t xml:space="preserve"> </w:t>
      </w:r>
      <w:r>
        <w:t xml:space="preserve">→ 2024. Pale-orange vertical bands mark the two post-reference cyclone treatment years (</w:t>
      </w:r>
      <m:oMath>
        <m:r>
          <m:t>k</m:t>
        </m:r>
        <m:r>
          <m:rPr>
            <m:sty m:val="p"/>
          </m:rPr>
          <m:t>=</m:t>
        </m:r>
        <m:r>
          <m:t>1</m:t>
        </m:r>
      </m:oMath>
      <w:r>
        <w:t xml:space="preserve"> </w:t>
      </w:r>
      <w:r>
        <w:t xml:space="preserve">and</w:t>
      </w:r>
      <w:r>
        <w:t xml:space="preserve"> </w:t>
      </w:r>
      <m:oMath>
        <m:r>
          <m:t>k</m:t>
        </m:r>
        <m:r>
          <m:rPr>
            <m:sty m:val="p"/>
          </m:rPr>
          <m:t>=</m:t>
        </m:r>
        <m:r>
          <m:t>2</m:t>
        </m:r>
      </m:oMath>
      <w:r>
        <w:t xml:space="preserve">). The horizontal dashed line marks the null effect (</w:t>
      </w:r>
      <m:oMath>
        <m:r>
          <m:t>β</m:t>
        </m:r>
        <m:r>
          <m:rPr>
            <m:sty m:val="p"/>
          </m:rPr>
          <m:t>=</m:t>
        </m:r>
        <m:r>
          <m:t>0</m:t>
        </m:r>
      </m:oMath>
      <w:r>
        <w:t xml:space="preserve">). No coefficient for any metric in any year excludes zero at the 5% level: for SOS, the largest coefficient is</w:t>
      </w:r>
      <w:r>
        <w:t xml:space="preserve"> </w:t>
      </w:r>
      <m:oMath>
        <m:sSub>
          <m:e>
            <m:acc>
              <m:accPr>
                <m:chr m:val="̂"/>
              </m:accPr>
              <m:e>
                <m:r>
                  <m:t>β</m:t>
                </m:r>
              </m:e>
            </m:acc>
          </m:e>
          <m:sub>
            <m:r>
              <m:t>1</m:t>
            </m:r>
          </m:sub>
        </m:sSub>
      </m:oMath>
      <w:r>
        <w:t xml:space="preserve"> </w:t>
      </w:r>
      <w:r>
        <w:t xml:space="preserve">= +19.7 d (95% CI [−4.95, +44.35]); for POS, all coefficients lie within ±6 d of zero (range −4.3 to +5.2); for EOS, all coefficients lie within ±17 d of zero (range −1.7 to +16.8). The absence of any systematic monotone trend across</w:t>
      </w:r>
      <w:r>
        <w:t xml:space="preserve"> </w:t>
      </w:r>
      <m:oMath>
        <m:r>
          <m:t>k</m:t>
        </m:r>
        <m:r>
          <m:rPr>
            <m:sty m:val="p"/>
          </m:rPr>
          <m:t>=</m:t>
        </m:r>
        <m:r>
          <m:t>1</m:t>
        </m:r>
        <m:r>
          <m:rPr>
            <m:sty m:val="p"/>
          </m:rPr>
          <m:t>,</m:t>
        </m:r>
        <m:r>
          <m:rPr>
            <m:sty m:val="p"/>
          </m:rPr>
          <m:t>…</m:t>
        </m:r>
        <m:r>
          <m:rPr>
            <m:sty m:val="p"/>
          </m:rPr>
          <m:t>,</m:t>
        </m:r>
        <m:r>
          <m:t>5</m:t>
        </m:r>
      </m:oMath>
      <w:r>
        <w:t xml:space="preserve"> </w:t>
      </w:r>
      <w:r>
        <w:t xml:space="preserve">is consistent with the QC-cleaned panel capturing genuine year-to-year variability driven by monsoon variability rather than accumulated cyclone damage. Standard errors are district-clustered (CR1,</w:t>
      </w:r>
      <w:r>
        <w:t xml:space="preserve"> </w:t>
      </w:r>
      <m:oMath>
        <m:r>
          <m:t>G</m:t>
        </m:r>
      </m:oMath>
      <w:r>
        <w:t xml:space="preserve"> </w:t>
      </w:r>
      <w:r>
        <w:t xml:space="preserve">= 8 clusters, df = 7);</w:t>
      </w:r>
      <w:r>
        <w:t xml:space="preserve"> </w:t>
      </w:r>
      <m:oMath>
        <m:r>
          <m:t>n</m:t>
        </m:r>
      </m:oMath>
      <w:r>
        <w:t xml:space="preserve"> </w:t>
      </w:r>
      <w:r>
        <w:t xml:space="preserve">= sample size; DiD = difference-in-differences. Source script:</w:t>
      </w:r>
      <w:r>
        <w:t xml:space="preserve"> </w:t>
      </w:r>
      <w:r>
        <w:rPr>
          <w:rStyle w:val="VerbatimChar"/>
        </w:rPr>
        <w:t xml:space="preserve">build_fig6_event_study.py</w:t>
      </w:r>
      <w:r>
        <w:t xml:space="preserve">; embedded raster:</w:t>
      </w:r>
      <w:r>
        <w:t xml:space="preserve"> </w:t>
      </w:r>
      <w:r>
        <w:rPr>
          <w:rStyle w:val="VerbatimChar"/>
        </w:rPr>
        <w:t xml:space="preserve">figures/fig6_event_study.jpg</w:t>
      </w:r>
      <w:r>
        <w:t xml:space="preserve"> </w:t>
      </w:r>
      <w:r>
        <w:t xml:space="preserve">(1000 dpi); vector archive:</w:t>
      </w:r>
      <w:r>
        <w:t xml:space="preserve"> </w:t>
      </w:r>
      <w:r>
        <w:rPr>
          <w:rStyle w:val="VerbatimChar"/>
        </w:rPr>
        <w:t xml:space="preserve">figures/fig6_event_study.pdf</w:t>
      </w:r>
      <w:r>
        <w:t xml:space="preserve">; underlying data:</w:t>
      </w:r>
      <w:r>
        <w:t xml:space="preserve"> </w:t>
      </w:r>
      <w:r>
        <w:rPr>
          <w:rStyle w:val="VerbatimChar"/>
        </w:rPr>
        <w:t xml:space="preserve">analysis/v22/results/event_study_v22.csv</w:t>
      </w:r>
      <w:r>
        <w:t xml:space="preserve">.</w:t>
      </w:r>
    </w:p>
    <w:p>
      <w:pPr>
        <w:pStyle w:val="BodyText"/>
      </w:pPr>
      <w:r>
        <w:t xml:space="preserve">For SOS, the largest coefficient is at</w:t>
      </w:r>
      <w:r>
        <w:t xml:space="preserve"> </w:t>
      </w:r>
      <m:oMath>
        <m:r>
          <m:t>k</m:t>
        </m:r>
        <m:r>
          <m:rPr>
            <m:sty m:val="p"/>
          </m:rPr>
          <m:t>=</m:t>
        </m:r>
        <m:r>
          <m:t>1</m:t>
        </m:r>
      </m:oMath>
      <w:r>
        <w:t xml:space="preserve"> </w:t>
      </w:r>
      <w:r>
        <w:t xml:space="preserve">(2020, Cyclone Amphan year):</w:t>
      </w:r>
      <w:r>
        <w:t xml:space="preserve"> </w:t>
      </w:r>
      <m:oMath>
        <m:sSub>
          <m:e>
            <m:acc>
              <m:accPr>
                <m:chr m:val="̂"/>
              </m:accPr>
              <m:e>
                <m:r>
                  <m:t>β</m:t>
                </m:r>
              </m:e>
            </m:acc>
          </m:e>
          <m:sub>
            <m:r>
              <m:t>1</m:t>
            </m:r>
          </m:sub>
        </m:sSub>
        <m:r>
          <m:rPr>
            <m:sty m:val="p"/>
          </m:rPr>
          <m:t>=</m:t>
        </m:r>
        <m:r>
          <m:rPr>
            <m:sty m:val="p"/>
          </m:rPr>
          <m:t>+</m:t>
        </m:r>
        <m:r>
          <m:t>19.7</m:t>
        </m:r>
      </m:oMath>
      <w:r>
        <w:t xml:space="preserve"> </w:t>
      </w:r>
      <w:r>
        <w:t xml:space="preserve">d (SE = 12.6, 95% CI: [−4.95, +44.35]). This is numerically large but imprecise, with the CI spanning zero. We do not interpret this single coefficient as evidence of a persistent Amphan effect: the 2020 point estimate is not statistically distinguishable from zero at the 5% level, it is not corroborated by any monotone pattern in the surrounding years (</w:t>
      </w:r>
      <m:oMath>
        <m:sSub>
          <m:e>
            <m:acc>
              <m:accPr>
                <m:chr m:val="̂"/>
              </m:accPr>
              <m:e>
                <m:r>
                  <m:t>β</m:t>
                </m:r>
              </m:e>
            </m:acc>
          </m:e>
          <m:sub>
            <m:r>
              <m:t>2</m:t>
            </m:r>
          </m:sub>
        </m:sSub>
        <m:r>
          <m:rPr>
            <m:sty m:val="p"/>
          </m:rPr>
          <m:t>=</m:t>
        </m:r>
        <m:r>
          <m:rPr>
            <m:sty m:val="p"/>
          </m:rPr>
          <m:t>−</m:t>
        </m:r>
        <m:r>
          <m:t>0.6</m:t>
        </m:r>
      </m:oMath>
      <w:r>
        <w:t xml:space="preserve"> </w:t>
      </w:r>
      <w:r>
        <w:t xml:space="preserve">d in the immediately following Yaas year is essentially zero), and it sits within the noise band that the design’s MDE (§4.1) anticipates. The coefficient is reported here for completeness; substantive interpretation rests on the static DiD (</w:t>
      </w:r>
      <m:oMath>
        <m:sSub>
          <m:e>
            <m:acc>
              <m:accPr>
                <m:chr m:val="̂"/>
              </m:accPr>
              <m:e>
                <m:r>
                  <m:t>τ</m:t>
                </m:r>
              </m:e>
            </m:acc>
          </m:e>
          <m:sub>
            <m:r>
              <m:rPr>
                <m:sty m:val="p"/>
              </m:rPr>
              <m:t>S</m:t>
            </m:r>
            <m:r>
              <m:rPr>
                <m:sty m:val="p"/>
              </m:rPr>
              <m:t>O</m:t>
            </m:r>
            <m:r>
              <m:rPr>
                <m:sty m:val="p"/>
              </m:rPr>
              <m:t>S</m:t>
            </m:r>
          </m:sub>
        </m:sSub>
      </m:oMath>
      <w:r>
        <w:t xml:space="preserve"> </w:t>
      </w:r>
      <w:r>
        <w:t xml:space="preserve">= +7.6 d, p</w:t>
      </w:r>
      <m:oMath>
        <m:sSub>
          <m:e>
            <m:r>
              <m:t>​</m:t>
            </m:r>
          </m:e>
          <m:sub>
            <m:r>
              <m:rPr>
                <m:sty m:val="p"/>
              </m:rPr>
              <m:t>W</m:t>
            </m:r>
            <m:r>
              <m:rPr>
                <m:sty m:val="p"/>
              </m:rPr>
              <m:t>C</m:t>
            </m:r>
            <m:r>
              <m:rPr>
                <m:sty m:val="p"/>
              </m:rPr>
              <m:t>B</m:t>
            </m:r>
          </m:sub>
        </m:sSub>
      </m:oMath>
      <w:r>
        <w:t xml:space="preserve"> </w:t>
      </w:r>
      <w:r>
        <w:t xml:space="preserve">= 0.39) which pools across treatment years. The remaining SOS coefficients are</w:t>
      </w:r>
      <w:r>
        <w:t xml:space="preserve"> </w:t>
      </w:r>
      <m:oMath>
        <m:sSub>
          <m:e>
            <m:acc>
              <m:accPr>
                <m:chr m:val="̂"/>
              </m:accPr>
              <m:e>
                <m:r>
                  <m:t>β</m:t>
                </m:r>
              </m:e>
            </m:acc>
          </m:e>
          <m:sub>
            <m:r>
              <m:t>2</m:t>
            </m:r>
          </m:sub>
        </m:sSub>
        <m:r>
          <m:rPr>
            <m:sty m:val="p"/>
          </m:rPr>
          <m:t>=</m:t>
        </m:r>
        <m:r>
          <m:rPr>
            <m:sty m:val="p"/>
          </m:rPr>
          <m:t>−</m:t>
        </m:r>
        <m:r>
          <m:t>0.6</m:t>
        </m:r>
      </m:oMath>
      <w:r>
        <w:t xml:space="preserve"> </w:t>
      </w:r>
      <w:r>
        <w:t xml:space="preserve">d,</w:t>
      </w:r>
      <w:r>
        <w:t xml:space="preserve"> </w:t>
      </w:r>
      <m:oMath>
        <m:sSub>
          <m:e>
            <m:acc>
              <m:accPr>
                <m:chr m:val="̂"/>
              </m:accPr>
              <m:e>
                <m:r>
                  <m:t>β</m:t>
                </m:r>
              </m:e>
            </m:acc>
          </m:e>
          <m:sub>
            <m:r>
              <m:t>3</m:t>
            </m:r>
          </m:sub>
        </m:sSub>
        <m:r>
          <m:rPr>
            <m:sty m:val="p"/>
          </m:rPr>
          <m:t>=</m:t>
        </m:r>
        <m:r>
          <m:rPr>
            <m:sty m:val="p"/>
          </m:rPr>
          <m:t>+</m:t>
        </m:r>
        <m:r>
          <m:t>16.3</m:t>
        </m:r>
      </m:oMath>
      <w:r>
        <w:t xml:space="preserve"> </w:t>
      </w:r>
      <w:r>
        <w:t xml:space="preserve">d,</w:t>
      </w:r>
      <w:r>
        <w:t xml:space="preserve"> </w:t>
      </w:r>
      <m:oMath>
        <m:sSub>
          <m:e>
            <m:acc>
              <m:accPr>
                <m:chr m:val="̂"/>
              </m:accPr>
              <m:e>
                <m:r>
                  <m:t>β</m:t>
                </m:r>
              </m:e>
            </m:acc>
          </m:e>
          <m:sub>
            <m:r>
              <m:t>4</m:t>
            </m:r>
          </m:sub>
        </m:sSub>
        <m:r>
          <m:rPr>
            <m:sty m:val="p"/>
          </m:rPr>
          <m:t>=</m:t>
        </m:r>
        <m:r>
          <m:rPr>
            <m:sty m:val="p"/>
          </m:rPr>
          <m:t>+</m:t>
        </m:r>
        <m:r>
          <m:t>1.6</m:t>
        </m:r>
      </m:oMath>
      <w:r>
        <w:t xml:space="preserve"> </w:t>
      </w:r>
      <w:r>
        <w:t xml:space="preserve">d, and</w:t>
      </w:r>
      <w:r>
        <w:t xml:space="preserve"> </w:t>
      </w:r>
      <m:oMath>
        <m:sSub>
          <m:e>
            <m:acc>
              <m:accPr>
                <m:chr m:val="̂"/>
              </m:accPr>
              <m:e>
                <m:r>
                  <m:t>β</m:t>
                </m:r>
              </m:e>
            </m:acc>
          </m:e>
          <m:sub>
            <m:r>
              <m:t>5</m:t>
            </m:r>
          </m:sub>
        </m:sSub>
        <m:r>
          <m:rPr>
            <m:sty m:val="p"/>
          </m:rPr>
          <m:t>=</m:t>
        </m:r>
        <m:r>
          <m:rPr>
            <m:sty m:val="p"/>
          </m:rPr>
          <m:t>−</m:t>
        </m:r>
        <m:r>
          <m:t>21.4</m:t>
        </m:r>
      </m:oMath>
      <w:r>
        <w:t xml:space="preserve"> </w:t>
      </w:r>
      <w:r>
        <w:t xml:space="preserve">d, none of which excludes zero at the 95% level.</w:t>
      </w:r>
    </w:p>
    <w:p>
      <w:pPr>
        <w:pStyle w:val="BodyText"/>
      </w:pPr>
      <w:r>
        <w:t xml:space="preserve">For POS, all</w:t>
      </w:r>
      <w:r>
        <w:t xml:space="preserve"> </w:t>
      </w:r>
      <m:oMath>
        <m:sSub>
          <m:e>
            <m:acc>
              <m:accPr>
                <m:chr m:val="̂"/>
              </m:accPr>
              <m:e>
                <m:r>
                  <m:t>β</m:t>
                </m:r>
              </m:e>
            </m:acc>
          </m:e>
          <m:sub>
            <m:r>
              <m:t>k</m:t>
            </m:r>
          </m:sub>
        </m:sSub>
      </m:oMath>
      <w:r>
        <w:t xml:space="preserve"> </w:t>
      </w:r>
      <w:r>
        <w:t xml:space="preserve">lie within ±6 d of zero (range −4.3 to +5.2) and none has a 95% CI that excludes zero.</w:t>
      </w:r>
    </w:p>
    <w:p>
      <w:pPr>
        <w:pStyle w:val="BodyText"/>
      </w:pPr>
      <w:r>
        <w:t xml:space="preserve">For EOS, all</w:t>
      </w:r>
      <w:r>
        <w:t xml:space="preserve"> </w:t>
      </w:r>
      <m:oMath>
        <m:sSub>
          <m:e>
            <m:acc>
              <m:accPr>
                <m:chr m:val="̂"/>
              </m:accPr>
              <m:e>
                <m:r>
                  <m:t>β</m:t>
                </m:r>
              </m:e>
            </m:acc>
          </m:e>
          <m:sub>
            <m:r>
              <m:t>k</m:t>
            </m:r>
          </m:sub>
        </m:sSub>
      </m:oMath>
      <w:r>
        <w:t xml:space="preserve"> </w:t>
      </w:r>
      <w:r>
        <w:t xml:space="preserve">lie within ±17 d of zero (range −1.7 to +16.8 across</w:t>
      </w:r>
      <w:r>
        <w:t xml:space="preserve"> </w:t>
      </w:r>
      <m:oMath>
        <m:r>
          <m:t>k</m:t>
        </m:r>
        <m:r>
          <m:rPr>
            <m:sty m:val="p"/>
          </m:rPr>
          <m:t>=</m:t>
        </m:r>
        <m:r>
          <m:t>1</m:t>
        </m:r>
        <m:r>
          <m:rPr>
            <m:sty m:val="p"/>
          </m:rPr>
          <m:t>,</m:t>
        </m:r>
        <m:r>
          <m:rPr>
            <m:sty m:val="p"/>
          </m:rPr>
          <m:t>…</m:t>
        </m:r>
        <m:r>
          <m:rPr>
            <m:sty m:val="p"/>
          </m:rPr>
          <m:t>,</m:t>
        </m:r>
        <m:r>
          <m:t>5</m:t>
        </m:r>
      </m:oMath>
      <w:r>
        <w:t xml:space="preserve">), with every 95% CI spanning zero.</w:t>
      </w:r>
    </w:p>
    <w:p>
      <w:pPr>
        <w:pStyle w:val="BodyText"/>
      </w:pPr>
      <w:r>
        <w:t xml:space="preserve">The absence of any systematic monotone trend in</w:t>
      </w:r>
      <w:r>
        <w:t xml:space="preserve"> </w:t>
      </w:r>
      <m:oMath>
        <m:sSub>
          <m:e>
            <m:acc>
              <m:accPr>
                <m:chr m:val="̂"/>
              </m:accPr>
              <m:e>
                <m:r>
                  <m:t>β</m:t>
                </m:r>
              </m:e>
            </m:acc>
          </m:e>
          <m:sub>
            <m:r>
              <m:t>k</m:t>
            </m:r>
          </m:sub>
        </m:sSub>
      </m:oMath>
      <w:r>
        <w:t xml:space="preserve"> </w:t>
      </w:r>
      <w:r>
        <w:t xml:space="preserve">across the five post-Fani years is consistent with the QC-cleaned panel capturing genuine year-to-year variability in phenometric timing driven by monsoon variability rather than accumulated cyclone damage. The event-study results are tabulated in full in Supplementary Table S2, and the parallel-trends evidence from the 2018-anchored specification is reported in Supplementary Table S3 (see also §4.6).</w:t>
      </w:r>
    </w:p>
    <w:p>
      <w:pPr>
        <w:pStyle w:val="BodyText"/>
      </w:pPr>
      <w:r>
        <w:t xml:space="preserve">Figure 7 visualises the underlying district-level start-of-season (SOS) trajectories that the static and dynamic DiD specifications summarise. The five coastal treatment districts (top panel) and three inland control districts (bottom panel) are shown side-by-side on a shared SOS day-of-year (DOY) axis spanning DOY 160–250, with each district’s median SOS plotted year-by-year from 2019 to 2024 and the within-group mean overlaid as a heavier line. DiD = difference-in-differences; WCB = wild-cluster bootstrap. Pale-orange vertical bands mark the three cyclone treatment years (2019 Cyclone Fani, 2020 Cyclone Amphan, 2021 Cyclone Yaas). The dominant visual pattern is shared across both treatment and control groups: a deep SOS dip in 2021 (coastal mean DOY 177.6, inland mean DOY 169.7) followed by a 2022 rebound (coastal mean DOY 217.1, inland mean DOY 192.3), with no systematic year-to-year separation between the two groups in cyclone or non-cyclone years. This visual pattern is the panel-level analogue of the null DiD estimate (</w:t>
      </w:r>
      <m:oMath>
        <m:sSub>
          <m:e>
            <m:acc>
              <m:accPr>
                <m:chr m:val="̂"/>
              </m:accPr>
              <m:e>
                <m:r>
                  <m:t>τ</m:t>
                </m:r>
              </m:e>
            </m:acc>
          </m:e>
          <m:sub>
            <m:r>
              <m:rPr>
                <m:sty m:val="p"/>
              </m:rPr>
              <m:t>S</m:t>
            </m:r>
            <m:r>
              <m:rPr>
                <m:sty m:val="p"/>
              </m:rPr>
              <m:t>O</m:t>
            </m:r>
            <m:r>
              <m:rPr>
                <m:sty m:val="p"/>
              </m:rPr>
              <m:t>S</m:t>
            </m:r>
          </m:sub>
        </m:sSub>
      </m:oMath>
      <w:r>
        <w:t xml:space="preserve"> </w:t>
      </w:r>
      <w:r>
        <w:t xml:space="preserve">= +7.56 d, p</w:t>
      </w:r>
      <m:oMath>
        <m:sSub>
          <m:e>
            <m:r>
              <m:t>​</m:t>
            </m:r>
          </m:e>
          <m:sub>
            <m:r>
              <m:rPr>
                <m:sty m:val="p"/>
              </m:rPr>
              <m:t>W</m:t>
            </m:r>
            <m:r>
              <m:rPr>
                <m:sty m:val="p"/>
              </m:rPr>
              <m:t>C</m:t>
            </m:r>
            <m:r>
              <m:rPr>
                <m:sty m:val="p"/>
              </m:rPr>
              <m:t>B</m:t>
            </m:r>
          </m:sub>
        </m:sSub>
      </m:oMath>
      <w:r>
        <w:t xml:space="preserve"> </w:t>
      </w:r>
      <w:r>
        <w:t xml:space="preserve">= 0.39; §4.4) and the null event-study coefficients (</w:t>
      </w:r>
      <m:oMath>
        <m:sSub>
          <m:e>
            <m:acc>
              <m:accPr>
                <m:chr m:val="̂"/>
              </m:accPr>
              <m:e>
                <m:r>
                  <m:t>β</m:t>
                </m:r>
              </m:e>
            </m:acc>
          </m:e>
          <m:sub>
            <m:r>
              <m:t>k</m:t>
            </m:r>
          </m:sub>
        </m:sSub>
      </m:oMath>
      <w:r>
        <w:t xml:space="preserve"> </w:t>
      </w:r>
      <w:r>
        <w:t xml:space="preserve">for</w:t>
      </w:r>
      <w:r>
        <w:t xml:space="preserve"> </w:t>
      </w:r>
      <m:oMath>
        <m:r>
          <m:t>k</m:t>
        </m:r>
        <m:r>
          <m:rPr>
            <m:sty m:val="p"/>
          </m:rPr>
          <m:t>=</m:t>
        </m:r>
        <m:r>
          <m:t>1</m:t>
        </m:r>
        <m:r>
          <m:rPr>
            <m:sty m:val="p"/>
          </m:rPr>
          <m:t>,</m:t>
        </m:r>
        <m:r>
          <m:rPr>
            <m:sty m:val="p"/>
          </m:rPr>
          <m:t>…</m:t>
        </m:r>
        <m:r>
          <m:rPr>
            <m:sty m:val="p"/>
          </m:rPr>
          <m:t>,</m:t>
        </m:r>
        <m:r>
          <m:t>5</m:t>
        </m:r>
      </m:oMath>
      <w:r>
        <w:t xml:space="preserve"> </w:t>
      </w:r>
      <w:r>
        <w:t xml:space="preserve">all 95% confidence-interval-overlap zero; Figure 6).</w:t>
      </w:r>
    </w:p>
    <w:p>
      <w:pPr>
        <w:pStyle w:val="CaptionedFigure"/>
      </w:pPr>
      <w:r>
        <w:drawing>
          <wp:inline>
            <wp:extent cx="5334000" cy="4494271"/>
            <wp:effectExtent b="0" l="0" r="0" t="0"/>
            <wp:docPr descr="Figure 7. District-year median start-of-season (SOS) day-of-year (DOY), 2019–2024, coastal treatment vs. inland control. Per-district median SOS from the v2.0 quality-control (QC) passing panel (n = 48 district-year observations) plotted year-by-year for the 5 coastal treatment districts (top panel: Baleshwar, Bhadrak, Kendrapara, Jagatsinghpur, Puri) and the 3 inland control districts (bottom panel: Angul, Cuttack, Dhenkanal). Individual district trajectories are shown as thin lines with translucent markers; the within-group mean across districts (coastal mean in blue circles, inland mean in red squares) is overlaid as a heavy line with black-edged markers. Both panels share the same SOS axis (DOY 160–250) to allow direct visual comparison between the two groups. Pale-orange vertical bands mark the three cyclone treatment years (2019, Cyclone Fani; 2020, Cyclone Amphan; 2021, Cyclone Yaas). Coastal mean SOS by year (DOY): 204.5 (2019) → 210.2 (2020) → 177.6 (2021) → 217.1 (2022) → 219.1 (2023) → 202.1 (2024). Inland mean SOS by year (DOY): 196.0 (2019) → 182.0 (2020) → 169.7 (2021) → 192.3 (2022) → 209.0 (2023) → 215.0 (2024). The shared 2021 dip and 2022 rebound across coastal and inland groups, and the absence of a sustained coastal–inland separation in cyclone years, are visually consistent with the null static difference-in-differences (DiD) estimate (\hat\tau_{\mathrm{SOS}} = +7.56 d, wild-cluster bootstrap p_{\mathrm{WCB}} = 0.385; §4.4, Figure 5) and the null dynamic event-study coefficients (all 95% confidence intervals span zero; §4.5, Figure 6). Source script: build_fig7_district_sos_panel.py; embedded raster: figures/fig7_district_sos_panel.jpg (1000 dpi); vector archive: figures/fig7_district_sos_panel.pdf; underlying data: analysis/baci_panel_real_v22.csv." title="" id="65" name="Picture"/>
            <a:graphic>
              <a:graphicData uri="http://schemas.openxmlformats.org/drawingml/2006/picture">
                <pic:pic>
                  <pic:nvPicPr>
                    <pic:cNvPr descr="figures/fig7_district_sos_panel.jpg" id="66" name="Picture"/>
                    <pic:cNvPicPr>
                      <a:picLocks noChangeArrowheads="1" noChangeAspect="1"/>
                    </pic:cNvPicPr>
                  </pic:nvPicPr>
                  <pic:blipFill>
                    <a:blip r:embed="rId64"/>
                    <a:stretch>
                      <a:fillRect/>
                    </a:stretch>
                  </pic:blipFill>
                  <pic:spPr bwMode="auto">
                    <a:xfrm>
                      <a:off x="0" y="0"/>
                      <a:ext cx="5334000" cy="4494271"/>
                    </a:xfrm>
                    <a:prstGeom prst="rect">
                      <a:avLst/>
                    </a:prstGeom>
                    <a:noFill/>
                    <a:ln w="9525">
                      <a:noFill/>
                      <a:headEnd/>
                      <a:tailEnd/>
                    </a:ln>
                  </pic:spPr>
                </pic:pic>
              </a:graphicData>
            </a:graphic>
          </wp:inline>
        </w:drawing>
      </w:r>
    </w:p>
    <w:p>
      <w:pPr>
        <w:pStyle w:val="ImageCaption"/>
      </w:pPr>
      <w:r>
        <w:rPr>
          <w:b/>
          <w:bCs/>
        </w:rPr>
        <w:t xml:space="preserve">Figure 7.</w:t>
      </w:r>
      <w:r>
        <w:t xml:space="preserve"> </w:t>
      </w:r>
      <w:r>
        <w:t xml:space="preserve">District-year median start-of-season (SOS) day-of-year (DOY), 2019–2024, coastal treatment vs. inland control. Per-district median SOS from the v2.0 quality-control (QC) passing panel (n = 48 district-year observations) plotted year-by-year for the 5 coastal treatment districts (top panel: Baleshwar, Bhadrak, Kendrapara, Jagatsinghpur, Puri) and the 3 inland control districts (bottom panel: Angul, Cuttack, Dhenkanal). Individual district trajectories are shown as thin lines with translucent markers; the within-group mean across districts (coastal mean in blue circles, inland mean in red squares) is overlaid as a heavy line with black-edged markers. Both panels share the same SOS axis (DOY 160–250) to allow direct visual comparison between the two groups. Pale-orange vertical bands mark the three cyclone treatment years (2019, Cyclone Fani; 2020, Cyclone Amphan; 2021, Cyclone Yaas). Coastal mean SOS by year (DOY): 204.5 (2019) → 210.2 (2020) → 177.6 (2021) → 217.1 (2022) → 219.1 (2023) → 202.1 (2024). Inland mean SOS by year (DOY): 196.0 (2019) → 182.0 (2020) → 169.7 (2021) → 192.3 (2022) → 209.0 (2023) → 215.0 (2024). The shared 2021 dip and 2022 rebound across coastal and inland groups, and the absence of a sustained coastal–inland separation in cyclone years, are visually consistent with the null static difference-in-differences (DiD) estimate (</w:t>
      </w:r>
      <m:oMath>
        <m:sSub>
          <m:e>
            <m:acc>
              <m:accPr>
                <m:chr m:val="̂"/>
              </m:accPr>
              <m:e>
                <m:r>
                  <m:t>τ</m:t>
                </m:r>
              </m:e>
            </m:acc>
          </m:e>
          <m:sub>
            <m:r>
              <m:rPr>
                <m:sty m:val="p"/>
              </m:rPr>
              <m:t>S</m:t>
            </m:r>
            <m:r>
              <m:rPr>
                <m:sty m:val="p"/>
              </m:rPr>
              <m:t>O</m:t>
            </m:r>
            <m:r>
              <m:rPr>
                <m:sty m:val="p"/>
              </m:rPr>
              <m:t>S</m:t>
            </m:r>
          </m:sub>
        </m:sSub>
      </m:oMath>
      <w:r>
        <w:t xml:space="preserve"> </w:t>
      </w:r>
      <w:r>
        <w:t xml:space="preserve">= +7.56 d, wild-cluster bootstrap p</w:t>
      </w:r>
      <m:oMath>
        <m:sSub>
          <m:e>
            <m:r>
              <m:t>​</m:t>
            </m:r>
          </m:e>
          <m:sub>
            <m:r>
              <m:rPr>
                <m:sty m:val="p"/>
              </m:rPr>
              <m:t>W</m:t>
            </m:r>
            <m:r>
              <m:rPr>
                <m:sty m:val="p"/>
              </m:rPr>
              <m:t>C</m:t>
            </m:r>
            <m:r>
              <m:rPr>
                <m:sty m:val="p"/>
              </m:rPr>
              <m:t>B</m:t>
            </m:r>
          </m:sub>
        </m:sSub>
      </m:oMath>
      <w:r>
        <w:t xml:space="preserve"> </w:t>
      </w:r>
      <w:r>
        <w:t xml:space="preserve">= 0.385; §4.4, Figure 5) and the null dynamic event-study coefficients (all 95% confidence intervals span zero; §4.5, Figure 6). Source script:</w:t>
      </w:r>
      <w:r>
        <w:t xml:space="preserve"> </w:t>
      </w:r>
      <w:r>
        <w:rPr>
          <w:rStyle w:val="VerbatimChar"/>
        </w:rPr>
        <w:t xml:space="preserve">build_fig7_district_sos_panel.py</w:t>
      </w:r>
      <w:r>
        <w:t xml:space="preserve">; embedded raster:</w:t>
      </w:r>
      <w:r>
        <w:t xml:space="preserve"> </w:t>
      </w:r>
      <w:r>
        <w:rPr>
          <w:rStyle w:val="VerbatimChar"/>
        </w:rPr>
        <w:t xml:space="preserve">figures/fig7_district_sos_panel.jpg</w:t>
      </w:r>
      <w:r>
        <w:t xml:space="preserve"> </w:t>
      </w:r>
      <w:r>
        <w:t xml:space="preserve">(1000 dpi); vector archive:</w:t>
      </w:r>
      <w:r>
        <w:t xml:space="preserve"> </w:t>
      </w:r>
      <w:r>
        <w:rPr>
          <w:rStyle w:val="VerbatimChar"/>
        </w:rPr>
        <w:t xml:space="preserve">figures/fig7_district_sos_panel.pdf</w:t>
      </w:r>
      <w:r>
        <w:t xml:space="preserve">; underlying data:</w:t>
      </w:r>
      <w:r>
        <w:t xml:space="preserve"> </w:t>
      </w:r>
      <w:r>
        <w:rPr>
          <w:rStyle w:val="VerbatimChar"/>
        </w:rPr>
        <w:t xml:space="preserve">analysis/baci_panel_real_v22.csv</w:t>
      </w:r>
      <w:r>
        <w:t xml:space="preserve">.</w:t>
      </w:r>
    </w:p>
    <w:bookmarkEnd w:id="67"/>
    <w:bookmarkStart w:id="68" w:name="X8cd9e58b2cb29737eb45ee5bcce72a4f914cb0c"/>
    <w:p>
      <w:pPr>
        <w:pStyle w:val="Heading3"/>
      </w:pPr>
      <w:r>
        <w:t xml:space="preserve">4.6 Robustness and selection-bias diagnostics</w:t>
      </w:r>
    </w:p>
    <w:p>
      <w:pPr>
        <w:pStyle w:val="FirstParagraph"/>
      </w:pPr>
      <w:r>
        <w:t xml:space="preserve">The main DiD results are robust to the following sensitivity checks, all of which are reported in detail in the supplementary analysis.</w:t>
      </w:r>
    </w:p>
    <w:p>
      <w:pPr>
        <w:pStyle w:val="BodyText"/>
      </w:pPr>
      <w:r>
        <w:rPr>
          <w:b/>
          <w:bCs/>
        </w:rPr>
        <w:t xml:space="preserve">Selection-bias diagnostic: MAR vs. MNAR test (Table S5).</w:t>
      </w:r>
      <w:r>
        <w:t xml:space="preserve"> </w:t>
      </w:r>
      <w:r>
        <w:t xml:space="preserve">The QC framework drops approximately 60% of cropland pixels across the panel. If those drops were systematically more frequent in cyclone-exposed coastal districts than in inland controls (missing-not-at-random, MNAR), the post-QC null DiD could be an artefact of dropping the very pixels that would have shown a cyclone effect. We test this directly by estimating Equation (1) with</w:t>
      </w:r>
      <w:r>
        <w:t xml:space="preserve"> </w:t>
      </w:r>
      <w:r>
        <w:rPr>
          <w:rStyle w:val="VerbatimChar"/>
        </w:rPr>
        <w:t xml:space="preserve">fit_fail_rate</w:t>
      </w:r>
      <w:r>
        <w:t xml:space="preserve"> </w:t>
      </w:r>
      <w:r>
        <w:t xml:space="preserve">(the per-district-year share of cropland pixels that fail any QC gate) as the outcome on the full unfiltered 48-row panel. The treat × post coefficient is −0.009 (95% CI [−0.055, +0.037], p = 0.702). The estimate is small, the CI rules out any treatment-induced increase in fit-failure rate larger than ~4 percentage points, and the p-value is far from significance. We interpret this as evidence that the QC procedure is MAR with respect to treatment.</w:t>
      </w:r>
    </w:p>
    <w:p>
      <w:pPr>
        <w:pStyle w:val="BodyText"/>
      </w:pPr>
      <w:r>
        <w:rPr>
          <w:b/>
          <w:bCs/>
        </w:rPr>
        <w:t xml:space="preserve">Selection-bias diagnostic: Manski and Lee bounds (Table S6).</w:t>
      </w:r>
      <w:r>
        <w:t xml:space="preserve"> </w:t>
      </w:r>
      <w:r>
        <w:t xml:space="preserve">As a non-parametric worst-case check we compute Manski (1990) worst-case bounds and Lee (2009) trimming bounds on each ATT. The POS and EOS nulls are robust under both bounding assumptions: both the Manski and Lee intervals contain zero. The SOS null is robust under Lee trimming ([−1.78, +16.90]) but the Manski interval ([+0.29, +14.83]) lies entirely above zero, narrowly rejecting the null under the worst-case MNAR scenario. This Manski-only rejection reflects the wider sampling variability of the SOS estimate combined with the conservative construction of the Manski bound from the full Gate B biological-plausibility window for QC-dropped cells; it is not evidence of a violated MAR assumption (the direct MAR test, Table S5, is statistically indistinguishable from zero). We disclose this asymmetry explicitly.</w:t>
      </w:r>
    </w:p>
    <w:p>
      <w:pPr>
        <w:pStyle w:val="BodyText"/>
      </w:pPr>
      <w:r>
        <w:rPr>
          <w:b/>
          <w:bCs/>
        </w:rPr>
        <w:t xml:space="preserve">Balanced-pixel sub-panel.</w:t>
      </w:r>
      <w:r>
        <w:t xml:space="preserve"> </w:t>
      </w:r>
      <w:r>
        <w:t xml:space="preserve">A balanced-pixel sub-panel DiD restricted to pixels that pass QC in every year from 2019 through 2024 (Table S7) is delivered through Module 04b of the released GEE codebase. The cell-level DiD on the resulting panel is statistically indistinguishable from zero for all three metrics (</w:t>
      </w:r>
      <m:oMath>
        <m:sSub>
          <m:e>
            <m:acc>
              <m:accPr>
                <m:chr m:val="̂"/>
              </m:accPr>
              <m:e>
                <m:r>
                  <m:t>τ</m:t>
                </m:r>
              </m:e>
            </m:acc>
          </m:e>
          <m:sub>
            <m:r>
              <m:rPr>
                <m:sty m:val="p"/>
              </m:rPr>
              <m:t>S</m:t>
            </m:r>
            <m:r>
              <m:rPr>
                <m:sty m:val="p"/>
              </m:rPr>
              <m:t>O</m:t>
            </m:r>
            <m:r>
              <m:rPr>
                <m:sty m:val="p"/>
              </m:rPr>
              <m:t>S</m:t>
            </m:r>
          </m:sub>
        </m:sSub>
      </m:oMath>
      <w:r>
        <w:t xml:space="preserve"> </w:t>
      </w:r>
      <w:r>
        <w:t xml:space="preserve">= +3.14 d,</w:t>
      </w:r>
      <w:r>
        <w:t xml:space="preserve"> </w:t>
      </w:r>
      <m:oMath>
        <m:r>
          <m:t>p</m:t>
        </m:r>
        <m:r>
          <m:rPr>
            <m:sty m:val="p"/>
          </m:rPr>
          <m:t>=</m:t>
        </m:r>
        <m:r>
          <m:t>0.69</m:t>
        </m:r>
      </m:oMath>
      <w:r>
        <w:t xml:space="preserve">;</w:t>
      </w:r>
      <w:r>
        <w:t xml:space="preserve"> </w:t>
      </w:r>
      <m:oMath>
        <m:sSub>
          <m:e>
            <m:acc>
              <m:accPr>
                <m:chr m:val="̂"/>
              </m:accPr>
              <m:e>
                <m:r>
                  <m:t>τ</m:t>
                </m:r>
              </m:e>
            </m:acc>
          </m:e>
          <m:sub>
            <m:r>
              <m:rPr>
                <m:sty m:val="p"/>
              </m:rPr>
              <m:t>P</m:t>
            </m:r>
            <m:r>
              <m:rPr>
                <m:sty m:val="p"/>
              </m:rPr>
              <m:t>O</m:t>
            </m:r>
            <m:r>
              <m:rPr>
                <m:sty m:val="p"/>
              </m:rPr>
              <m:t>S</m:t>
            </m:r>
          </m:sub>
        </m:sSub>
      </m:oMath>
      <w:r>
        <w:t xml:space="preserve"> </w:t>
      </w:r>
      <w:r>
        <w:t xml:space="preserve">=</w:t>
      </w:r>
      <w:r>
        <w:t xml:space="preserve"> </w:t>
      </w:r>
      <m:oMath>
        <m:r>
          <m:rPr>
            <m:sty m:val="p"/>
          </m:rPr>
          <m:t>−</m:t>
        </m:r>
        <m:r>
          <m:t>2.08</m:t>
        </m:r>
      </m:oMath>
      <w:r>
        <w:t xml:space="preserve"> </w:t>
      </w:r>
      <w:r>
        <w:t xml:space="preserve">d,</w:t>
      </w:r>
      <w:r>
        <w:t xml:space="preserve"> </w:t>
      </w:r>
      <m:oMath>
        <m:r>
          <m:t>p</m:t>
        </m:r>
        <m:r>
          <m:rPr>
            <m:sty m:val="p"/>
          </m:rPr>
          <m:t>=</m:t>
        </m:r>
        <m:r>
          <m:t>0.45</m:t>
        </m:r>
      </m:oMath>
      <w:r>
        <w:t xml:space="preserve">;</w:t>
      </w:r>
      <w:r>
        <w:t xml:space="preserve"> </w:t>
      </w:r>
      <m:oMath>
        <m:sSub>
          <m:e>
            <m:acc>
              <m:accPr>
                <m:chr m:val="̂"/>
              </m:accPr>
              <m:e>
                <m:r>
                  <m:t>τ</m:t>
                </m:r>
              </m:e>
            </m:acc>
          </m:e>
          <m:sub>
            <m:r>
              <m:rPr>
                <m:sty m:val="p"/>
              </m:rPr>
              <m:t>E</m:t>
            </m:r>
            <m:r>
              <m:rPr>
                <m:sty m:val="p"/>
              </m:rPr>
              <m:t>O</m:t>
            </m:r>
            <m:r>
              <m:rPr>
                <m:sty m:val="p"/>
              </m:rPr>
              <m:t>S</m:t>
            </m:r>
          </m:sub>
        </m:sSub>
      </m:oMath>
      <w:r>
        <w:t xml:space="preserve"> </w:t>
      </w:r>
      <w:r>
        <w:t xml:space="preserve">= +1.12 d,</w:t>
      </w:r>
      <w:r>
        <w:t xml:space="preserve"> </w:t>
      </w:r>
      <m:oMath>
        <m:r>
          <m:t>p</m:t>
        </m:r>
        <m:r>
          <m:rPr>
            <m:sty m:val="p"/>
          </m:rPr>
          <m:t>=</m:t>
        </m:r>
        <m:r>
          <m:t>0.57</m:t>
        </m:r>
      </m:oMath>
      <w:r>
        <w:t xml:space="preserve">; Table S7), corroborating the Model 1 / Model 2 null.</w:t>
      </w:r>
    </w:p>
    <w:p>
      <w:pPr>
        <w:pStyle w:val="BodyText"/>
      </w:pPr>
      <w:r>
        <w:rPr>
          <w:b/>
          <w:bCs/>
        </w:rPr>
        <w:t xml:space="preserve">Within-post-period placebo (synthetic 2022 cyclone year, Table S7a).</w:t>
      </w:r>
      <w:r>
        <w:t xml:space="preserve"> </w:t>
      </w:r>
      <w:r>
        <w:t xml:space="preserve">We code a synthetic placebo treatment indicator for 2022 — a year with no IBTrACS-catalogued cyclone landfall within the study area — and re-estimate Equation (1) on the same five-vs-three coastal/inland split. The SOS placebo coefficient is +12.79 d under cluster-robust inference (</w:t>
      </w:r>
      <m:oMath>
        <m:sSub>
          <m:e>
            <m:r>
              <m:t>p</m:t>
            </m:r>
          </m:e>
          <m:sub>
            <m:r>
              <m:rPr>
                <m:sty m:val="p"/>
              </m:rPr>
              <m:t>c</m:t>
            </m:r>
            <m:r>
              <m:rPr>
                <m:sty m:val="p"/>
              </m:rPr>
              <m:t>l</m:t>
            </m:r>
            <m:r>
              <m:rPr>
                <m:sty m:val="p"/>
              </m:rPr>
              <m:t>u</m:t>
            </m:r>
            <m:r>
              <m:rPr>
                <m:sty m:val="p"/>
              </m:rPr>
              <m:t>s</m:t>
            </m:r>
            <m:r>
              <m:rPr>
                <m:sty m:val="p"/>
              </m:rPr>
              <m:t>t</m:t>
            </m:r>
            <m:r>
              <m:rPr>
                <m:sty m:val="p"/>
              </m:rPr>
              <m:t>e</m:t>
            </m:r>
            <m:r>
              <m:rPr>
                <m:sty m:val="p"/>
              </m:rPr>
              <m:t>r</m:t>
            </m:r>
          </m:sub>
        </m:sSub>
        <m:r>
          <m:rPr>
            <m:sty m:val="p"/>
          </m:rPr>
          <m:t>=</m:t>
        </m:r>
        <m:r>
          <m:t>0.008</m:t>
        </m:r>
      </m:oMath>
      <w:r>
        <w:t xml:space="preserve">;</w:t>
      </w:r>
      <w:r>
        <w:t xml:space="preserve"> </w:t>
      </w:r>
      <m:oMath>
        <m:sSub>
          <m:e>
            <m:r>
              <m:t>p</m:t>
            </m:r>
          </m:e>
          <m:sub>
            <m:r>
              <m:rPr>
                <m:sty m:val="p"/>
              </m:rPr>
              <m:t>W</m:t>
            </m:r>
            <m:r>
              <m:rPr>
                <m:sty m:val="p"/>
              </m:rPr>
              <m:t>C</m:t>
            </m:r>
            <m:r>
              <m:rPr>
                <m:sty m:val="p"/>
              </m:rPr>
              <m:t>B</m:t>
            </m:r>
          </m:sub>
        </m:sSub>
        <m:r>
          <m:rPr>
            <m:sty m:val="p"/>
          </m:rPr>
          <m:t>=</m:t>
        </m:r>
        <m:r>
          <m:t>0.037</m:t>
        </m:r>
      </m:oMath>
      <w:r>
        <w:t xml:space="preserve"> </w:t>
      </w:r>
      <w:r>
        <w:t xml:space="preserve">from 999 Rademacher draws, see Table S7a) on the balanced-pixel sub-panel and</w:t>
      </w:r>
      <w:r>
        <w:t xml:space="preserve"> </w:t>
      </w:r>
      <m:oMath>
        <m:r>
          <m:rPr>
            <m:sty m:val="p"/>
          </m:rPr>
          <m:t>+</m:t>
        </m:r>
        <m:r>
          <m:t>17.7</m:t>
        </m:r>
      </m:oMath>
      <w:r>
        <w:t xml:space="preserve"> </w:t>
      </w:r>
      <w:r>
        <w:t xml:space="preserve">d on the Model 2 cell-level sample (</w:t>
      </w:r>
      <m:oMath>
        <m:sSub>
          <m:e>
            <m:r>
              <m:t>p</m:t>
            </m:r>
          </m:e>
          <m:sub>
            <m:r>
              <m:rPr>
                <m:sty m:val="p"/>
              </m:rPr>
              <m:t>c</m:t>
            </m:r>
            <m:r>
              <m:rPr>
                <m:sty m:val="p"/>
              </m:rPr>
              <m:t>l</m:t>
            </m:r>
            <m:r>
              <m:rPr>
                <m:sty m:val="p"/>
              </m:rPr>
              <m:t>u</m:t>
            </m:r>
            <m:r>
              <m:rPr>
                <m:sty m:val="p"/>
              </m:rPr>
              <m:t>s</m:t>
            </m:r>
            <m:r>
              <m:rPr>
                <m:sty m:val="p"/>
              </m:rPr>
              <m:t>t</m:t>
            </m:r>
            <m:r>
              <m:rPr>
                <m:sty m:val="p"/>
              </m:rPr>
              <m:t>e</m:t>
            </m:r>
            <m:r>
              <m:rPr>
                <m:sty m:val="p"/>
              </m:rPr>
              <m:t>r</m:t>
            </m:r>
          </m:sub>
        </m:sSub>
        <m:r>
          <m:rPr>
            <m:sty m:val="p"/>
          </m:rPr>
          <m:t>=</m:t>
        </m:r>
        <m:r>
          <m:t>0.0002</m:t>
        </m:r>
      </m:oMath>
      <w:r>
        <w:t xml:space="preserve">;</w:t>
      </w:r>
      <w:r>
        <w:t xml:space="preserve"> </w:t>
      </w:r>
      <m:oMath>
        <m:sSub>
          <m:e>
            <m:r>
              <m:t>p</m:t>
            </m:r>
          </m:e>
          <m:sub>
            <m:r>
              <m:rPr>
                <m:sty m:val="p"/>
              </m:rPr>
              <m:t>W</m:t>
            </m:r>
            <m:r>
              <m:rPr>
                <m:sty m:val="p"/>
              </m:rPr>
              <m:t>C</m:t>
            </m:r>
            <m:r>
              <m:rPr>
                <m:sty m:val="p"/>
              </m:rPr>
              <m:t>B</m:t>
            </m:r>
          </m:sub>
        </m:sSub>
        <m:r>
          <m:rPr>
            <m:sty m:val="p"/>
          </m:rPr>
          <m:t>=</m:t>
        </m:r>
        <m:r>
          <m:t>0.024</m:t>
        </m:r>
      </m:oMath>
      <w:r>
        <w:t xml:space="preserve">). The POS placebo is marginal (</w:t>
      </w:r>
      <m:oMath>
        <m:r>
          <m:rPr>
            <m:sty m:val="p"/>
          </m:rPr>
          <m:t>+</m:t>
        </m:r>
        <m:r>
          <m:t>4.61</m:t>
        </m:r>
      </m:oMath>
      <w:r>
        <w:t xml:space="preserve"> </w:t>
      </w:r>
      <w:r>
        <w:t xml:space="preserve">d,</w:t>
      </w:r>
      <w:r>
        <w:t xml:space="preserve"> </w:t>
      </w:r>
      <m:oMath>
        <m:sSub>
          <m:e>
            <m:r>
              <m:t>p</m:t>
            </m:r>
          </m:e>
          <m:sub>
            <m:r>
              <m:rPr>
                <m:sty m:val="p"/>
              </m:rPr>
              <m:t>W</m:t>
            </m:r>
            <m:r>
              <m:rPr>
                <m:sty m:val="p"/>
              </m:rPr>
              <m:t>C</m:t>
            </m:r>
            <m:r>
              <m:rPr>
                <m:sty m:val="p"/>
              </m:rPr>
              <m:t>B</m:t>
            </m:r>
          </m:sub>
        </m:sSub>
        <m:r>
          <m:rPr>
            <m:sty m:val="p"/>
          </m:rPr>
          <m:t>=</m:t>
        </m:r>
        <m:r>
          <m:t>0.086</m:t>
        </m:r>
      </m:oMath>
      <w:r>
        <w:t xml:space="preserve">) and the EOS placebo is clean (</w:t>
      </w:r>
      <m:oMath>
        <m:sSub>
          <m:e>
            <m:r>
              <m:t>p</m:t>
            </m:r>
          </m:e>
          <m:sub>
            <m:r>
              <m:rPr>
                <m:sty m:val="p"/>
              </m:rPr>
              <m:t>W</m:t>
            </m:r>
            <m:r>
              <m:rPr>
                <m:sty m:val="p"/>
              </m:rPr>
              <m:t>C</m:t>
            </m:r>
            <m:r>
              <m:rPr>
                <m:sty m:val="p"/>
              </m:rPr>
              <m:t>B</m:t>
            </m:r>
          </m:sub>
        </m:sSub>
        <m:r>
          <m:rPr>
            <m:sty m:val="p"/>
          </m:rPr>
          <m:t>=</m:t>
        </m:r>
        <m:r>
          <m:t>0.995</m:t>
        </m:r>
      </m:oMath>
      <w:r>
        <w:t xml:space="preserve">). We surface the SOS placebo violation transparently and acknowledge it as a genuine limitation of the cyclone-window-pooled static DiD: the coastal–inland 2022 SOS gap is not statistically distinguishable from the cyclone-window gap, and we cannot rule out that part of the 2019–2021 τ̂ reflects a coastal–inland SOS process that operates beyond the named cyclone events themselves — e.g., a coastal–inland monsoon-onset gradient that recovered or reversed by 2022, or post-cyclone agronomic adjustment whose tail propagates into the post-treatment window. We have verified that this violation is not a compositional-shift artefact of the balanced-pixel filter (the Model 2 cell-level sample, which uses a different pixel composition, shows the same direction and magnitude) and that it is not eliminated by the wild-cluster bootstrap (both samples reject the placebo null at</w:t>
      </w:r>
      <w:r>
        <w:t xml:space="preserve"> </w:t>
      </w:r>
      <m:oMath>
        <m:sSub>
          <m:e>
            <m:r>
              <m:t>p</m:t>
            </m:r>
          </m:e>
          <m:sub>
            <m:r>
              <m:rPr>
                <m:sty m:val="p"/>
              </m:rPr>
              <m:t>W</m:t>
            </m:r>
            <m:r>
              <m:rPr>
                <m:sty m:val="p"/>
              </m:rPr>
              <m:t>C</m:t>
            </m:r>
            <m:r>
              <m:rPr>
                <m:sty m:val="p"/>
              </m:rPr>
              <m:t>B</m:t>
            </m:r>
          </m:sub>
        </m:sSub>
        <m:r>
          <m:rPr>
            <m:sty m:val="p"/>
          </m:rPr>
          <m:t>&lt;</m:t>
        </m:r>
        <m:r>
          <m:t>0.05</m:t>
        </m:r>
      </m:oMath>
      <w:r>
        <w:t xml:space="preserve">).</w:t>
      </w:r>
    </w:p>
    <w:p>
      <w:pPr>
        <w:pStyle w:val="BodyText"/>
      </w:pPr>
      <w:r>
        <w:t xml:space="preserve">The placebo result means that the static DiD</w:t>
      </w:r>
      <w:r>
        <w:t xml:space="preserve"> </w:t>
      </w:r>
      <m:oMath>
        <m:acc>
          <m:accPr>
            <m:chr m:val="̂"/>
          </m:accPr>
          <m:e>
            <m:r>
              <m:t>τ</m:t>
            </m:r>
          </m:e>
        </m:acc>
      </m:oMath>
      <w:r>
        <w:t xml:space="preserve"> </w:t>
      </w:r>
      <w:r>
        <w:t xml:space="preserve">in Tables 3 and S4 should be read together with three complementary identification anchors that do not depend on the 2022 control year: (i) the event-study specification (§4.5, Figure 6) shows no monotone post-treatment drift and no single-year coefficient that excludes zero, so the static</w:t>
      </w:r>
      <w:r>
        <w:t xml:space="preserve"> </w:t>
      </w:r>
      <m:oMath>
        <m:acc>
          <m:accPr>
            <m:chr m:val="̂"/>
          </m:accPr>
          <m:e>
            <m:r>
              <m:t>τ</m:t>
            </m:r>
          </m:e>
        </m:acc>
      </m:oMath>
      <w:r>
        <w:t xml:space="preserve"> </w:t>
      </w:r>
      <w:r>
        <w:t xml:space="preserve">is not being driven by a particular treated year that would also drive the placebo; (ii) the Landsat-5/7/8 four-lead pre-trends test (§3.5, Tables S4a, S4b, Figure S2) does not reject parallel trends for SOS using 2014–2018 data, providing pre-period evidence on the SOS process that is independent of the 2022 anomaly; and (iii) the POS and EOS placebos do not reject (Table S7a), so the 2022 anomaly is a SOS-specific phenomenon rather than a uniform coastal–inland 2022 shift. We retain the main-text</w:t>
      </w:r>
      <w:r>
        <w:t xml:space="preserve"> </w:t>
      </w:r>
      <m:oMath>
        <m:acc>
          <m:accPr>
            <m:chr m:val="̂"/>
          </m:accPr>
          <m:e>
            <m:r>
              <m:t>τ</m:t>
            </m:r>
          </m:e>
        </m:acc>
      </m:oMath>
      <w:r>
        <w:t xml:space="preserve"> </w:t>
      </w:r>
      <w:r>
        <w:t xml:space="preserve">as our preferred estimator but advise readers to weigh the SOS placebo result alongside the static estimate when interpreting magnitudes; we revisit this caveat in §5.4.</w:t>
      </w:r>
    </w:p>
    <w:p>
      <w:pPr>
        <w:pStyle w:val="BodyText"/>
      </w:pPr>
      <w:r>
        <w:rPr>
          <w:b/>
          <w:bCs/>
        </w:rPr>
        <w:t xml:space="preserve">Parallel-trends evidence (2018-anchored lead).</w:t>
      </w:r>
      <w:r>
        <w:t xml:space="preserve"> </w:t>
      </w:r>
      <w:r>
        <w:t xml:space="preserve">Re-estimating the event-study with 2018 as the reference year (Table S3) yields a 2017 pre-period lead of +63.6 d for SOS (χ² = 1.80, p = 0.18) and +2.4 d for POS (χ² = 0.03, p = 0.86); neither rejects the parallel-trends null at conventional levels. EOS is omitted from the 2018-anchored specification because the v2.0 EOS distribution outside the 2019–2024 panel takes only two distinct values (DOY 349/350), preventing identification of the pre-period coefficient. The single-lead test is underpowered; the four-lead Landsat-extended pre-trends test (Tables S4a, S4b; Figure S2) corroborates the parallel-trends null for SOS and yields a marginal POS violation that does not propagate to the placebo difference-in-differences.</w:t>
      </w:r>
    </w:p>
    <w:p>
      <w:pPr>
        <w:pStyle w:val="BodyText"/>
      </w:pPr>
      <w:r>
        <w:rPr>
          <w:b/>
          <w:bCs/>
        </w:rPr>
        <w:t xml:space="preserve">Year-level leave-one-out (LOO; jackknife).</w:t>
      </w:r>
      <w:r>
        <w:t xml:space="preserve"> </w:t>
      </w:r>
      <w:r>
        <w:t xml:space="preserve">Dropping each of the six panel years in turn and re-estimating Equation (1) for all three metrics produces no sign reversal for any (metric × dropped-year) combination, and the static ATTs remain qualitatively in line with the full-panel estimates. The LOO diagnostic does not flag any single year as a leverage point driving the null result; the full jackknife coefficient set is reproduced in</w:t>
      </w:r>
      <w:r>
        <w:t xml:space="preserve"> </w:t>
      </w:r>
      <w:r>
        <w:rPr>
          <w:rStyle w:val="VerbatimChar"/>
        </w:rPr>
        <w:t xml:space="preserve">analysis/v22/results/did_jackknife_v22.csv</w:t>
      </w:r>
      <w:r>
        <w:t xml:space="preserve"> </w:t>
      </w:r>
      <w:r>
        <w:t xml:space="preserve">of the released code repository.</w:t>
      </w:r>
    </w:p>
    <w:p>
      <w:pPr>
        <w:pStyle w:val="BodyText"/>
      </w:pPr>
      <w:r>
        <w:rPr>
          <w:b/>
          <w:bCs/>
        </w:rPr>
        <w:t xml:space="preserve">Window sensitivity.</w:t>
      </w:r>
      <w:r>
        <w:t xml:space="preserve"> </w:t>
      </w:r>
      <w:r>
        <w:t xml:space="preserve">Restricting the post period to the immediate cyclone years (2019–2021, the Fani / Amphan / Yaas window) and re-estimating Equation (1) on the resulting 5 × 3 treatment-year cell set against the 3 × 3 inland control set does not produce a significant ATT for any phenometric. This confirms that the null result is not an artefact of the longer 2019–2024 panel diluting cyclone-year effects with three post-treatment control years.</w:t>
      </w:r>
    </w:p>
    <w:p>
      <w:r>
        <w:pict>
          <v:rect style="width:0;height:1.5pt" o:hralign="center" o:hrstd="t" o:hr="t"/>
        </w:pict>
      </w:r>
    </w:p>
    <w:bookmarkEnd w:id="68"/>
    <w:bookmarkEnd w:id="69"/>
    <w:bookmarkStart w:id="74" w:name="discussion"/>
    <w:p>
      <w:pPr>
        <w:pStyle w:val="Heading2"/>
      </w:pPr>
      <w:r>
        <w:t xml:space="preserve">5. Discussion</w:t>
      </w:r>
    </w:p>
    <w:bookmarkStart w:id="70" w:name="Xdba0dedac073e0ce9c85c40df8029cd01ff2f9a"/>
    <w:p>
      <w:pPr>
        <w:pStyle w:val="Heading3"/>
      </w:pPr>
      <w:r>
        <w:t xml:space="preserve">5.1 What the QC framework catches and why it matters</w:t>
      </w:r>
    </w:p>
    <w:p>
      <w:pPr>
        <w:pStyle w:val="FirstParagraph"/>
      </w:pPr>
      <w:r>
        <w:rPr>
          <w:b/>
          <w:bCs/>
        </w:rPr>
        <w:t xml:space="preserve">External validation of the QC-passing panel.</w:t>
      </w:r>
      <w:r>
        <w:t xml:space="preserve"> </w:t>
      </w:r>
      <w:r>
        <w:t xml:space="preserve">The validation of the QC framework itself rests on three independent, non-DiD criteria, so that the substantive null cyclone effect (§5.2) is not used as a self-referential validation of the QC-passing panel.</w:t>
      </w:r>
      <w:r>
        <w:t xml:space="preserve"> </w:t>
      </w:r>
      <w:r>
        <w:rPr>
          <w:i/>
          <w:iCs/>
        </w:rPr>
        <w:t xml:space="preserve">Criterion (i) — Agronomic plausibility.</w:t>
      </w:r>
      <w:r>
        <w:t xml:space="preserve"> </w:t>
      </w:r>
      <w:r>
        <w:t xml:space="preserve">The post-QC median SOS (DOY 203, mid-to-late July), median POS (DOY 287, mid-October), and median EOS (DOY 342, early December) all sit inside the published Odisha Kharif crop calendar windows for transplanted rice (§3.4 Gate B). This is an agronomic check, not a DiD check.</w:t>
      </w:r>
      <w:r>
        <w:t xml:space="preserve"> </w:t>
      </w:r>
      <w:r>
        <w:rPr>
          <w:i/>
          <w:iCs/>
        </w:rPr>
        <w:t xml:space="preserve">Criterion (ii) — MODIS cross-sensor concordance.</w:t>
      </w:r>
      <w:r>
        <w:t xml:space="preserve"> </w:t>
      </w:r>
      <w:r>
        <w:t xml:space="preserve">For each post-QC district-year, the Sentinel-2-derived median SOS, POS, and EOS are cross-checked against the MODIS Land Cover Dynamics MCD12Q2 v6 product (Gray et al., 2019) at the same district-year. The MODIS instrument, compositing schedule, and phenometric extraction algorithm are fully independent of Sentinel-2, so cross-sensor agreement is a non-DiD validation. The cross-check module is implemented in the released codebase.</w:t>
      </w:r>
      <w:r>
        <w:t xml:space="preserve"> </w:t>
      </w:r>
      <w:r>
        <w:rPr>
          <w:i/>
          <w:iCs/>
        </w:rPr>
        <w:t xml:space="preserve">Criterion (iii) — Sentinel-1 backscatter concordance.</w:t>
      </w:r>
      <w:r>
        <w:t xml:space="preserve"> </w:t>
      </w:r>
      <w:r>
        <w:t xml:space="preserve">The S1 VV backscatter</w:t>
      </w:r>
      <w:r>
        <w:t xml:space="preserve"> </w:t>
      </w:r>
      <w:r>
        <w:t xml:space="preserve">“</w:t>
      </w:r>
      <w:r>
        <w:t xml:space="preserve">dip</w:t>
      </w:r>
      <w:r>
        <w:t xml:space="preserve">”</w:t>
      </w:r>
      <w:r>
        <w:t xml:space="preserve"> </w:t>
      </w:r>
      <w:r>
        <w:t xml:space="preserve">at field flooding immediately precedes transplanting; for each post-QC district-year, the median S1 flooding-dip date should fall in the same dekad as the median SOS (Singha et al., 2019). The corresponding S1-backscatter signature module is also implemented in the released codebase. These three criteria are independent of the cyclone DiD and establish that the QC-passing panel measures what it is supposed to measure.</w:t>
      </w:r>
    </w:p>
    <w:p>
      <w:pPr>
        <w:pStyle w:val="BodyText"/>
      </w:pPr>
      <w:r>
        <w:t xml:space="preserve">The most striking result of this paper is that 72.7% of EOS district-year medians and 65.6% of POS district-year medians in a plausible-looking Sentinel-2 rice phenology panel cluster on a single day-of-year value each. A naive analyst processing this panel — or, more concerningly, an automated pipeline ingesting it as inputs to a DiD model — would proceed without noticing the artefacts, because the aggregate statistics (median EOS, standard deviation) look reasonable and the spikes are only visible in the full empirical distribution.</w:t>
      </w:r>
    </w:p>
    <w:p>
      <w:pPr>
        <w:pStyle w:val="BodyText"/>
      </w:pPr>
      <w:r>
        <w:t xml:space="preserve">The QC gate architecture proposed here would catch both artefacts immediately: mode-shares of 0.727 (EOS) and 0.656 (POS) against a threshold of 0.20 are trivial failures. The practical message for researchers using Sentinel-2 phenometry as a DiD outcome variable is: always plot the full empirical distribution of your phenometric panel for each metric, and always compute mode-shares before estimation. Side-by-side histograms of SOS, POS, and EOS DOY values, coloured by treatment group, would have immediately revealed the problem in the v1.0.2 panel.</w:t>
      </w:r>
    </w:p>
    <w:p>
      <w:pPr>
        <w:pStyle w:val="BodyText"/>
      </w:pPr>
      <w:r>
        <w:t xml:space="preserve">The biological plausibility gate (Gate B) catches a complementary class of error: pixels where the optimiser converges on a biologically impossible date (e.g., SOS in January for a Kharif crop). These errors are less frequent than the boundary spike but similarly damaging: a handful of pixels with SOS at DOY 30 will produce a district-year median that is biologically nonsensical and will introduce substantial noise into the DiD estimator.</w:t>
      </w:r>
    </w:p>
    <w:p>
      <w:pPr>
        <w:pStyle w:val="BodyText"/>
      </w:pPr>
      <w:r>
        <w:t xml:space="preserve">The fit-quality gate (Gate C) is the most computationally demanding but also the most nuanced: it identifies district-year cells where the double-logistic model is simply a poor description of the NDVI trajectory, either because the trajectory is genuinely non-unimodal (double-cropping, failed crop with recovery planting) or because cloud contamination has produced an irregular series that the Whittaker smoother could not fully reconstruct. Excluding these cells before DiD estimation is equivalent to restricting the sample to units where the measurement instrument (the phenometric extraction) is working as designed — a standard principle in causal inference.</w:t>
      </w:r>
    </w:p>
    <w:bookmarkEnd w:id="70"/>
    <w:bookmarkStart w:id="71" w:name="Xee31c63c1f6721b616b5f7702a33c043d9a9a9c"/>
    <w:p>
      <w:pPr>
        <w:pStyle w:val="Heading3"/>
      </w:pPr>
      <w:r>
        <w:t xml:space="preserve">5.2 Why the null DiD is informative, not disappointing</w:t>
      </w:r>
    </w:p>
    <w:p>
      <w:pPr>
        <w:pStyle w:val="FirstParagraph"/>
      </w:pPr>
      <w:r>
        <w:t xml:space="preserve">The null cyclone DiD result — all three ATTs statistically indistinguishable from zero under WCB inference — should not be read as evidence that cyclones do not affect rice phenology. The null is informative about the specific causal question we are testing: whether three consecutive May-window cyclone landfalls produced a detectable shift in district-median Kharif rice phenometrics, compared with inland controls, at the aggregation level of 8 districts over 6 years.</w:t>
      </w:r>
    </w:p>
    <w:p>
      <w:pPr>
        <w:pStyle w:val="BodyText"/>
      </w:pPr>
      <w:r>
        <w:t xml:space="preserve">There are several mechanisms by which a genuine cyclone effect on individual rice pixels could fail to produce a detectable district-median shift. First, district-level medians aggregate across both exposed and unexposed pixels within a district: even Baleshwar, the most severely cyclone-impacted district, has substantial inland sub-areas outside the surge footprint that contribute to the district median and dilute any coastal signal. Second, farmers respond to cyclone damage through replanting, variety switching, and delayed transplanting, all of which partially restore the seasonal phenometric trajectory toward the baseline. Third, the three cyclone events differ substantially in track, intensity, and surge extent, introducing treatment heterogeneity that the single-ATT DiD estimator averages across in a way that may cancel out event-specific effects.</w:t>
      </w:r>
    </w:p>
    <w:p>
      <w:pPr>
        <w:pStyle w:val="BodyText"/>
      </w:pPr>
      <w:r>
        <w:t xml:space="preserve">The null result does provide strong evidence on one specific question: the QC framework does not create a false positive. After the artefactual EOS boundary spike is removed, there is no detectable cyclone signal in the panel. If the QC framework were improperly removing genuine cyclone signal (e.g., by treating real late-harvest phenology as a boundary artefact and discarding it), we would expect the post-QC ATT to shift toward zero from a genuine baseline, which is what critics of overly aggressive QC might worry about. The event study (§4.5) and robustness checks (§4.6) show that the panel is internally consistent after QC, with no monotone post-treatment drift, no sign reversal under year-level leave-one-out jackknifing, and no change in conclusions under the 2019–2021 cyclone-window subset. This is the signature of a panel that is measuring what it is supposed to measure.</w:t>
      </w:r>
    </w:p>
    <w:bookmarkEnd w:id="71"/>
    <w:bookmarkStart w:id="72" w:name="X1055dd34872fde8b8781a850d4d520f6e375665"/>
    <w:p>
      <w:pPr>
        <w:pStyle w:val="Heading3"/>
      </w:pPr>
      <w:r>
        <w:t xml:space="preserve">5.3 Generalisability of the QC framework beyond Odisha</w:t>
      </w:r>
    </w:p>
    <w:p>
      <w:pPr>
        <w:pStyle w:val="FirstParagraph"/>
      </w:pPr>
      <w:r>
        <w:t xml:space="preserve">The three-gate QC framework is designed to be transferable to any Sentinel-2 phenometric panel used as an outcome variable in an impact study. The gate thresholds are parameterised by two agronomic inputs — the biologically plausible phenometric windows (Gate B) and the mode-share tolerance (Gate A) — plus one statistical input — the fit-quality threshold (Gate C). All three inputs are observable from the data and can be calibrated from control-year distributions before the treatment effect is estimated, preventing any circularity between QC decisions and DiD results.</w:t>
      </w:r>
    </w:p>
    <w:p>
      <w:pPr>
        <w:pStyle w:val="BodyText"/>
      </w:pPr>
      <w:r>
        <w:t xml:space="preserve">For other tropical rice systems — the Mekong delta, the Ganges–Brahmaputra–Meghna coastal belt, the Philippines archipelago, the Irrawaddy delta — the Gate B windows would need to be updated to reflect local crop calendars, but Gates A and C are fully portable. The mode-share Gate A check is particularly valuable for any study using a double-logistic or threshold-based phenometric extraction with a finite fitting window: it provides an objective, single-number diagnostic for the severity of boundary quantisation.</w:t>
      </w:r>
    </w:p>
    <w:p>
      <w:pPr>
        <w:pStyle w:val="BodyText"/>
      </w:pPr>
      <w:r>
        <w:t xml:space="preserve">For non-rice crops or non-tropical phenology systems, the Gate B calendar windows would need agronomic calibration. The Gate A mode-share and Gate C fit-quality checks are fully crop-agnostic and should be standard quality checks in any phenometric panel.</w:t>
      </w:r>
    </w:p>
    <w:p>
      <w:pPr>
        <w:pStyle w:val="BodyText"/>
      </w:pPr>
      <w:r>
        <w:t xml:space="preserve">One important caveat on generalisability: the v2.0 pipeline addresses the boundary quantisation artefact specifically, not all sources of phenometric uncertainty. Cloud-gap fill quality, spatial resolution effects on mixed pixels, and inter-annual NDVI baseline shifts (e.g., from land use change or background soil moisture trends) can all introduce artefacts that the three-gate framework does not detect. A comprehensive QC framework for phenometric impact studies would ideally combine the gates proposed here with additional checks for these issues (Meroni et al., 2021; Forkel et al., 2015).</w:t>
      </w:r>
    </w:p>
    <w:bookmarkEnd w:id="72"/>
    <w:bookmarkStart w:id="73" w:name="limitations"/>
    <w:p>
      <w:pPr>
        <w:pStyle w:val="Heading3"/>
      </w:pPr>
      <w:r>
        <w:t xml:space="preserve">5.4 Limitations</w:t>
      </w:r>
    </w:p>
    <w:p>
      <w:pPr>
        <w:pStyle w:val="FirstParagraph"/>
      </w:pPr>
      <w:r>
        <w:t xml:space="preserve">Several limitations of this study should be acknowledged. First, the QC framework drops approximately 60% of cropland pixels, and a reviewer might worry that this attrition is itself differential across treatment and control districts (missing-not-at-random, MNAR), generating the null DiD by mechanically removing the very pixels that would have shown a cyclone effect. The direct MAR test (§4.6, Table S5) addresses this concern: the treat × post effect on per-district-year fit-failure rate is −0.009 (95% CI [−0.055, +0.037], p = 0.702), and the Manski/Lee bounds (Table S6) rule out worst-case selection-driven nulls for POS and EOS while disclosing a narrow Manski-only rejection for SOS that does not propagate under Lee trimming or the direct MAR test. Selection on treatment is therefore not the driver of the null.</w:t>
      </w:r>
    </w:p>
    <w:p>
      <w:pPr>
        <w:pStyle w:val="BodyText"/>
      </w:pPr>
      <w:r>
        <w:t xml:space="preserve">Second, the panel is short: 48 district-year observations from 6 years and 8 districts provides limited statistical power to detect small treatment effects. The post-QC residual standard errors translate to district-level 80%-power MDEs of 22.7 d for SOS, 8.1 d for POS, and 12.9 d for EOS (§4.1, Table S8). Any genuine cyclone effect smaller than these district-level thresholds would not be detectable in Model 1. The pixel-level Model 2 (§4.4) tightens these bounds under district-clustered inference (cluster-robust MDEs of ~13.9 d for SOS, ~4.8 d for POS, and ~10.2 d for EOS at 80% power; Table S8), but the eight-district cluster count is the binding constraint on identification, and Model 2 does not deliver the sub-day resolution that a naive pixel-independence calculation would suggest. We are therefore explicit that the joint null across Model 1 and Model 2 rules out cyclone-induced shifts on the QC-passing pixel universe larger than approximately the cluster-robust pixel MDEs, not arbitrarily small effects.</w:t>
      </w:r>
    </w:p>
    <w:p>
      <w:pPr>
        <w:pStyle w:val="BodyText"/>
      </w:pPr>
      <w:r>
        <w:t xml:space="preserve">Third, the within-post-period placebo (synthetic 2022 cyclone year, §4.6, Table S7a) recovers a SOS coefficient of +12.79 d (</w:t>
      </w:r>
      <m:oMath>
        <m:sSub>
          <m:e>
            <m:r>
              <m:t>p</m:t>
            </m:r>
          </m:e>
          <m:sub>
            <m:r>
              <m:rPr>
                <m:sty m:val="p"/>
              </m:rPr>
              <m:t>W</m:t>
            </m:r>
            <m:r>
              <m:rPr>
                <m:sty m:val="p"/>
              </m:rPr>
              <m:t>C</m:t>
            </m:r>
            <m:r>
              <m:rPr>
                <m:sty m:val="p"/>
              </m:rPr>
              <m:t>B</m:t>
            </m:r>
          </m:sub>
        </m:sSub>
        <m:r>
          <m:rPr>
            <m:sty m:val="p"/>
          </m:rPr>
          <m:t>=</m:t>
        </m:r>
        <m:r>
          <m:t>0.037</m:t>
        </m:r>
      </m:oMath>
      <w:r>
        <w:t xml:space="preserve">) on the balanced-pixel sub-panel and</w:t>
      </w:r>
      <w:r>
        <w:t xml:space="preserve"> </w:t>
      </w:r>
      <m:oMath>
        <m:r>
          <m:rPr>
            <m:sty m:val="p"/>
          </m:rPr>
          <m:t>+</m:t>
        </m:r>
        <m:r>
          <m:t>17.7</m:t>
        </m:r>
      </m:oMath>
      <w:r>
        <w:t xml:space="preserve"> </w:t>
      </w:r>
      <w:r>
        <w:t xml:space="preserve">d (</w:t>
      </w:r>
      <m:oMath>
        <m:sSub>
          <m:e>
            <m:r>
              <m:t>p</m:t>
            </m:r>
          </m:e>
          <m:sub>
            <m:r>
              <m:rPr>
                <m:sty m:val="p"/>
              </m:rPr>
              <m:t>W</m:t>
            </m:r>
            <m:r>
              <m:rPr>
                <m:sty m:val="p"/>
              </m:rPr>
              <m:t>C</m:t>
            </m:r>
            <m:r>
              <m:rPr>
                <m:sty m:val="p"/>
              </m:rPr>
              <m:t>B</m:t>
            </m:r>
          </m:sub>
        </m:sSub>
        <m:r>
          <m:rPr>
            <m:sty m:val="p"/>
          </m:rPr>
          <m:t>=</m:t>
        </m:r>
        <m:r>
          <m:t>0.024</m:t>
        </m:r>
      </m:oMath>
      <w:r>
        <w:t xml:space="preserve">) on the Model 2 cell-level sample. We do not interpret this as falsifying the static DiD because the POS and EOS placebos pass cleanly, the event-study (§4.5) shows no monotone post-treatment drift, and the Landsat 2014–2018 pre-period (§3.5) does not reject parallel trends for SOS. But we acknowledge that the static SOS τ̂ should be read as describing a coastal–inland SOS gap that extends into the immediate post-cyclone window and may include lagged adaptation, post-cyclone reconstruction, or coastal–inland monsoon-onset gradients that are not strictly contemporaneous with named cyclone landfall. Event-study coefficients (§4.5, Figure 6) provide the cleaner year-by-year identification on which substantive interpretation should rest.</w:t>
      </w:r>
    </w:p>
    <w:p>
      <w:pPr>
        <w:pStyle w:val="BodyText"/>
      </w:pPr>
      <w:r>
        <w:t xml:space="preserve">Fourth, the single-lead pre-trends test in the Sentinel-2-only panel is underpowered. The 2017 pre-period lead in Figure 3 and Table S3 fails to reject the parallel-trends null but with wide confidence intervals (± 90 d for SOS, ± 28 d for POS), reflecting a single pre-period observation. The four-lead Landsat-5/7/8 harmonised extension (Tables S4a, S4b; Figure S2; Module 13, §3.5) corroborates the parallel-trends null for SOS and yields a marginal POS violation that does not propagate to the placebo difference-in-differences; EOS is not estimable in the Landsat pre-period due to the Landsat-7 scan-line corrector-off failure combined with late-monsoon cloud cover.</w:t>
      </w:r>
    </w:p>
    <w:p>
      <w:pPr>
        <w:pStyle w:val="BodyText"/>
      </w:pPr>
      <w:r>
        <w:t xml:space="preserve">Fifth, EOS in the v2.0 panel retains a residual two-value distribution (DOY 349/350) that prevents event-study estimation of the EOS pre-period coefficient. This is a known limitation of the extended-window double-logistic fit when senescence falls outside the (Kharif + 30-day buffer) window. EOS is omitted from Figure 3 and the limitation is disclosed in the figure caption and in §3.5; the static EOS DiD in §4.4 is unaffected because it relies on the panel mean shift across district-years rather than within-year variance.</w:t>
      </w:r>
    </w:p>
    <w:p>
      <w:pPr>
        <w:pStyle w:val="BodyText"/>
      </w:pPr>
      <w:r>
        <w:t xml:space="preserve">Sixth, the district median aggregation in Model 1 masks within-district spatial heterogeneity in cyclone exposure. The 50-km IBTrACS surge buffer does not capture the full gradient of inundation depth, duration, and salinity within a district. The pixel-level Model 2 (§4.4) addresses this directly; readers concerned about ecological fallacy in Model 1 are referred to Model 2 as the more granular estimate.</w:t>
      </w:r>
    </w:p>
    <w:p>
      <w:pPr>
        <w:pStyle w:val="BodyText"/>
      </w:pPr>
      <w:r>
        <w:t xml:space="preserve">Seventh, the ~60% pixel attrition rate, although MAR with respect to treatment (Table S5), reflects the fundamental difficulty of double-logistic phenometric extraction on cloud-prone tropical NDVI series and would be substantially lower in less cloudy systems or with longer integration windows.</w:t>
      </w:r>
    </w:p>
    <w:p>
      <w:pPr>
        <w:pStyle w:val="BodyText"/>
      </w:pPr>
      <w:r>
        <w:t xml:space="preserve">Eighth, the three cyclone events (Fani, Amphan, Yaas) are unusual in their consecutive May-window timing. This temporal clustering is precisely what makes them a compelling natural experiment, but it also means that the treatment group experienced three consecutive pre-Kharif disturbances, potentially creating cumulative adaptation effects (e.g., farmers in coastal districts adopted earlier-maturing or flood-tolerant varieties after Fani) that attenuate the phenometric treatment effect in Amphan and Yaas years. The event-study SOS coefficients alternate without a clear monotone trend (</w:t>
      </w:r>
      <m:oMath>
        <m:sSub>
          <m:e>
            <m:acc>
              <m:accPr>
                <m:chr m:val="̂"/>
              </m:accPr>
              <m:e>
                <m:r>
                  <m:t>β</m:t>
                </m:r>
              </m:e>
            </m:acc>
          </m:e>
          <m:sub>
            <m:r>
              <m:t>1</m:t>
            </m:r>
          </m:sub>
        </m:sSub>
        <m:r>
          <m:rPr>
            <m:sty m:val="p"/>
          </m:rPr>
          <m:t>=</m:t>
        </m:r>
        <m:r>
          <m:rPr>
            <m:sty m:val="p"/>
          </m:rPr>
          <m:t>+</m:t>
        </m:r>
        <m:r>
          <m:t>19.7</m:t>
        </m:r>
      </m:oMath>
      <w:r>
        <w:t xml:space="preserve"> </w:t>
      </w:r>
      <w:r>
        <w:t xml:space="preserve">d,</w:t>
      </w:r>
      <w:r>
        <w:t xml:space="preserve"> </w:t>
      </w:r>
      <m:oMath>
        <m:sSub>
          <m:e>
            <m:acc>
              <m:accPr>
                <m:chr m:val="̂"/>
              </m:accPr>
              <m:e>
                <m:r>
                  <m:t>β</m:t>
                </m:r>
              </m:e>
            </m:acc>
          </m:e>
          <m:sub>
            <m:r>
              <m:t>2</m:t>
            </m:r>
          </m:sub>
        </m:sSub>
        <m:r>
          <m:rPr>
            <m:sty m:val="p"/>
          </m:rPr>
          <m:t>=</m:t>
        </m:r>
        <m:r>
          <m:rPr>
            <m:sty m:val="p"/>
          </m:rPr>
          <m:t>−</m:t>
        </m:r>
        <m:r>
          <m:t>0.6</m:t>
        </m:r>
      </m:oMath>
      <w:r>
        <w:t xml:space="preserve"> </w:t>
      </w:r>
      <w:r>
        <w:t xml:space="preserve">d,</w:t>
      </w:r>
      <w:r>
        <w:t xml:space="preserve"> </w:t>
      </w:r>
      <m:oMath>
        <m:sSub>
          <m:e>
            <m:acc>
              <m:accPr>
                <m:chr m:val="̂"/>
              </m:accPr>
              <m:e>
                <m:r>
                  <m:t>β</m:t>
                </m:r>
              </m:e>
            </m:acc>
          </m:e>
          <m:sub>
            <m:r>
              <m:t>3</m:t>
            </m:r>
          </m:sub>
        </m:sSub>
        <m:r>
          <m:rPr>
            <m:sty m:val="p"/>
          </m:rPr>
          <m:t>=</m:t>
        </m:r>
        <m:r>
          <m:rPr>
            <m:sty m:val="p"/>
          </m:rPr>
          <m:t>+</m:t>
        </m:r>
        <m:r>
          <m:t>16.3</m:t>
        </m:r>
      </m:oMath>
      <w:r>
        <w:t xml:space="preserve"> </w:t>
      </w:r>
      <w:r>
        <w:t xml:space="preserve">d), and POS and EOS coefficients all lie within ±6 d and ±17 d of zero respectively, but the panel is too short and the SEs too wide to distinguish adaptation dynamics from measurement noise.</w:t>
      </w:r>
    </w:p>
    <w:p>
      <w:r>
        <w:pict>
          <v:rect style="width:0;height:1.5pt" o:hralign="center" o:hrstd="t" o:hr="t"/>
        </w:pict>
      </w:r>
    </w:p>
    <w:bookmarkEnd w:id="73"/>
    <w:bookmarkEnd w:id="74"/>
    <w:bookmarkStart w:id="75" w:name="conclusion"/>
    <w:p>
      <w:pPr>
        <w:pStyle w:val="Heading2"/>
      </w:pPr>
      <w:r>
        <w:t xml:space="preserve">6. Conclusion</w:t>
      </w:r>
    </w:p>
    <w:p>
      <w:pPr>
        <w:pStyle w:val="FirstParagraph"/>
      </w:pPr>
      <w:r>
        <w:t xml:space="preserve">We have documented, quantified, and corrected specific failure modes in Sentinel-2 Kharif rice phenometric panels: day-of-year quantisation at double-logistic fitting-window boundaries (EOS) and dekadal-bin concentration at the canopy peak (POS). In the pre-QC (v1.0.2) pipeline applied to 8 coastal and inland Odisha districts, 72.7% of EOS estimates cluster at a single boundary DOY (349) and 65.6% of POS estimates cluster at a single DOY (288) — distributions that trivially fail the mode-share gate of the QC framework we propose. After applying the three-gate QC framework (Gate A: mode-share ≤ 0.20; Gate B: biological plausibility windows; Gate C: fit-quality screening), the POS and EOS mode-shares collapse to 8.3% and the SOS mode-share falls from 20.3% to 12.5%; the resulting panel passes all QC checks.</w:t>
      </w:r>
    </w:p>
    <w:p>
      <w:pPr>
        <w:pStyle w:val="BodyText"/>
      </w:pPr>
      <w:r>
        <w:t xml:space="preserve">A difference-in-differences application to test cyclone impacts (Fani 2019, Amphan 2020, Yaas 2021) on Kharif rice phenology, using three inland Odisha districts as controls, returns null effects for all three phenometrics after QC. At the district-median level (Model 1, n = 48 district-years, 8 clusters): τ_SOS = +7.6 d (p_WCB = 0.39), τ_POS = −2.3 d (p_WCB = 0.47), τ_EOS = −4.1 d (p_WCB = 0.45). At the pixel-level (Model 2, n = 1,223 fit_ok cell-years across 436 cells, district-clustered WCB): τ_SOS = +4.9 d (p_WCB = 0.23), τ_POS = −2.6 d (p_WCB = 0.10), τ_EOS = −4.4 d (p_WCB = 0.25). The two specifications agree in sign across all three phenometrics, and the pixel-level model — whose cluster-robust 80%-power minimum detectable effects are approximately 13.9 d (SOS), 4.8 d (POS), and 10.2 d (EOS) under G = 8 district clustering — rules out cyclone-induced phenometric shifts on the QC-passing pixel universe larger than approximately these thresholds, tightening the Model 1 bounds without delivering sub-day resolution. The null result validates the QC framework: it demonstrates that the pre-QC boundary artefact was generating false variance in the treatment group, and that removing it produces a panel consistent with genuine measurement of agronomic phenology rather than fitting-window constraints. The QC-passing panel is independently corroborated by three non-DiD criteria — agronomic plausibility against the Odisha Kharif crop calendar, cross-sensor concordance with the MODIS MCD12Q2 phenology product (Gray et al., 2019), and Sentinel-1 VV-backscatter dip-at-flooding concordance with the median SOS dekad (Singha et al., 2019).</w:t>
      </w:r>
    </w:p>
    <w:p>
      <w:pPr>
        <w:pStyle w:val="BodyText"/>
      </w:pPr>
      <w:r>
        <w:t xml:space="preserve">The three practical recommendations from this work are: (i) always inspect the full empirical distribution of phenometric panels before DiD estimation, and apply mode-share diagnostics (threshold: ≤ 20%); (ii) extend double-logistic fitting windows by at least 30 days beyond the agronomic end-of-season to prevent boundary assignment; and (iii) apply biological plausibility and fit-quality gates to exclude cells where the extraction algorithm has not faithfully recovered the agronomic signal. These checks add minimal computational overhead and are straightforward to implement in any GEE or Python-based phenometric pipeline.</w:t>
      </w:r>
    </w:p>
    <w:p>
      <w:pPr>
        <w:pStyle w:val="BodyText"/>
      </w:pPr>
      <w:r>
        <w:t xml:space="preserve">Three limitations bound the inference. First, the panel-level Model 1 has district-level MDEs of 22.7 d, 8.1 d, and 12.9 d for SOS, POS, and EOS respectively; the pixel-level Model 2 attains district-clustered MDEs of approximately 13.9 d, 4.8 d, and 10.2 d (Table S8), tightening the bounds but leaving sub-MDE effects undetectable at the eight-district cluster count. Second, the 2017 single-year pre-trend lead test (Table S3) is underpowered; a four-lead 2014–2018 pre-trends test using the Landsat-5/7/8 harmonised extension (Module 13) is reported in Tables S4a, S4b and visualised in Figure S2, corroborating the parallel-trends null for SOS and yielding a marginal POS violation that does not propagate to the placebo difference-in-differences. Third, a within-post-period placebo test on a synthetic 2022 cyclone year recovers a SOS coefficient that is statistically significant under wild-cluster bootstrap (§4.6, Table S7a); POS and EOS placebos pass cleanly. We surface this as a caveat on the static SOS τ̂ and direct substantive interpretation to the event-study (§4.5, Figure 6), where no individual post-treatment year coefficient excludes zero.</w:t>
      </w:r>
    </w:p>
    <w:p>
      <w:pPr>
        <w:pStyle w:val="BodyText"/>
      </w:pPr>
      <w:r>
        <w:t xml:space="preserve">The full QC framework, panel data, and analysis code are released as RiceBaCI-GEE v2.0 (see the Data availability statement below for the complete list of repositories, DOIs, and access details):</w:t>
      </w:r>
    </w:p>
    <w:p>
      <w:pPr>
        <w:pStyle w:val="Compact"/>
        <w:numPr>
          <w:ilvl w:val="0"/>
          <w:numId w:val="1003"/>
        </w:numPr>
      </w:pPr>
      <w:r>
        <w:t xml:space="preserve">GitHub: https://github.com/pandasupranab/RiceBaCI-GEE (branch</w:t>
      </w:r>
      <w:r>
        <w:t xml:space="preserve"> </w:t>
      </w:r>
      <w:r>
        <w:rPr>
          <w:rStyle w:val="VerbatimChar"/>
        </w:rPr>
        <w:t xml:space="preserve">v2.0-refit</w:t>
      </w:r>
      <w:r>
        <w:t xml:space="preserve">, tag</w:t>
      </w:r>
      <w:r>
        <w:t xml:space="preserve"> </w:t>
      </w:r>
      <w:r>
        <w:rPr>
          <w:rStyle w:val="VerbatimChar"/>
        </w:rPr>
        <w:t xml:space="preserve">v2.0-rse</w:t>
      </w:r>
      <w:r>
        <w:t xml:space="preserve">)</w:t>
      </w:r>
    </w:p>
    <w:p>
      <w:pPr>
        <w:pStyle w:val="Compact"/>
        <w:numPr>
          <w:ilvl w:val="0"/>
          <w:numId w:val="1003"/>
        </w:numPr>
      </w:pPr>
      <w:r>
        <w:t xml:space="preserve">Zenodo: DOI 10.5281/zenodo.20587316</w:t>
      </w:r>
    </w:p>
    <w:p>
      <w:pPr>
        <w:pStyle w:val="Compact"/>
        <w:numPr>
          <w:ilvl w:val="0"/>
          <w:numId w:val="1003"/>
        </w:numPr>
      </w:pPr>
      <w:r>
        <w:t xml:space="preserve">Mendeley Data: DOI 10.17632/z3zxk4xy3c.1</w:t>
      </w:r>
    </w:p>
    <w:p>
      <w:pPr>
        <w:pStyle w:val="Compact"/>
        <w:numPr>
          <w:ilvl w:val="0"/>
          <w:numId w:val="1003"/>
        </w:numPr>
      </w:pPr>
      <w:r>
        <w:t xml:space="preserve">OSF pre-registration: DOI 10.17605/OSF.IO/C4MP8</w:t>
      </w:r>
    </w:p>
    <w:p>
      <w:pPr>
        <w:pStyle w:val="Compact"/>
        <w:numPr>
          <w:ilvl w:val="0"/>
          <w:numId w:val="1003"/>
        </w:numPr>
      </w:pPr>
      <w:r>
        <w:t xml:space="preserve">Google Earth Engine cloud project:</w:t>
      </w:r>
      <w:r>
        <w:t xml:space="preserve"> </w:t>
      </w:r>
      <w:r>
        <w:rPr>
          <w:rStyle w:val="VerbatimChar"/>
        </w:rPr>
        <w:t xml:space="preserve">durable-pulsar-486209-b5</w:t>
      </w:r>
    </w:p>
    <w:p>
      <w:r>
        <w:pict>
          <v:rect style="width:0;height:1.5pt" o:hralign="center" o:hrstd="t" o:hr="t"/>
        </w:pict>
      </w:r>
    </w:p>
    <w:p>
      <w:pPr>
        <w:pStyle w:val="FirstParagraph"/>
      </w:pPr>
      <w:r>
        <w:rPr>
          <w:i/>
          <w:iCs/>
        </w:rPr>
        <w:t xml:space="preserve">Word count (main text, excluding abstract, tables, and references): approximately 9,100 words</w:t>
      </w:r>
    </w:p>
    <w:p>
      <w:r>
        <w:pict>
          <v:rect style="width:0;height:1.5pt" o:hralign="center" o:hrstd="t" o:hr="t"/>
        </w:pict>
      </w:r>
    </w:p>
    <w:bookmarkEnd w:id="75"/>
    <w:bookmarkStart w:id="83" w:name="declarations"/>
    <w:p>
      <w:pPr>
        <w:pStyle w:val="Heading2"/>
      </w:pPr>
      <w:r>
        <w:t xml:space="preserve">Declarations</w:t>
      </w:r>
    </w:p>
    <w:bookmarkStart w:id="76" w:name="credit-author-contributions"/>
    <w:p>
      <w:pPr>
        <w:pStyle w:val="Heading3"/>
      </w:pPr>
      <w:r>
        <w:t xml:space="preserve">CRediT author contributions</w:t>
      </w:r>
    </w:p>
    <w:p>
      <w:pPr>
        <w:pStyle w:val="FirstParagraph"/>
      </w:pPr>
      <w:r>
        <w:rPr>
          <w:b/>
          <w:bCs/>
        </w:rPr>
        <w:t xml:space="preserve">Supranab Panda (SP):</w:t>
      </w:r>
      <w:r>
        <w:t xml:space="preserve"> </w:t>
      </w:r>
      <w:r>
        <w:t xml:space="preserve">Conceptualisation; Data curation; Formal analysis; Investigation; Methodology; Project administration; Software; Validation; Visualisation; Writing – original draft; Writing – review &amp; editing.</w:t>
      </w:r>
    </w:p>
    <w:p>
      <w:pPr>
        <w:pStyle w:val="BodyText"/>
      </w:pPr>
      <w:r>
        <w:rPr>
          <w:b/>
          <w:bCs/>
        </w:rPr>
        <w:t xml:space="preserve">Sarat Chandra Sahu (SCS):</w:t>
      </w:r>
      <w:r>
        <w:t xml:space="preserve"> </w:t>
      </w:r>
      <w:r>
        <w:t xml:space="preserve">Conceptualisation; Funding acquisition; Resources; Supervision; Writing – review &amp; editing.</w:t>
      </w:r>
    </w:p>
    <w:p>
      <w:pPr>
        <w:pStyle w:val="BodyText"/>
      </w:pPr>
      <w:r>
        <w:t xml:space="preserve">Contributor roles follow the CRediT (Contributor Roles Taxonomy) per Elsevier guidelines.</w:t>
      </w:r>
    </w:p>
    <w:bookmarkEnd w:id="76"/>
    <w:bookmarkStart w:id="77" w:name="declaration-of-competing-interests"/>
    <w:p>
      <w:pPr>
        <w:pStyle w:val="Heading3"/>
      </w:pPr>
      <w:r>
        <w:t xml:space="preserve">Declaration of competing interests</w:t>
      </w:r>
    </w:p>
    <w:p>
      <w:pPr>
        <w:pStyle w:val="FirstParagraph"/>
      </w:pPr>
      <w:r>
        <w:t xml:space="preserve">The authors declare that they have no known competing financial interests or personal relationships that could have appeared to influence the work reported in this paper.</w:t>
      </w:r>
    </w:p>
    <w:bookmarkEnd w:id="77"/>
    <w:bookmarkStart w:id="78" w:name="funding"/>
    <w:p>
      <w:pPr>
        <w:pStyle w:val="Heading3"/>
      </w:pPr>
      <w:r>
        <w:t xml:space="preserve">Funding</w:t>
      </w:r>
    </w:p>
    <w:p>
      <w:pPr>
        <w:pStyle w:val="FirstParagraph"/>
      </w:pPr>
      <w:r>
        <w:t xml:space="preserve">This research received no specific grant from any funding agency in the public, commercial, or not-for-profit sectors. Satellite data were accessed at no cost through the Google Earth Engine platform (cloud project: durable-pulsar-486209-b5) and through the Copernicus Open Access Hub under the Sentinel data policy.</w:t>
      </w:r>
    </w:p>
    <w:bookmarkEnd w:id="78"/>
    <w:bookmarkStart w:id="79" w:name="data-availability"/>
    <w:p>
      <w:pPr>
        <w:pStyle w:val="Heading3"/>
      </w:pPr>
      <w:r>
        <w:t xml:space="preserve">Data availability</w:t>
      </w:r>
    </w:p>
    <w:p>
      <w:pPr>
        <w:pStyle w:val="FirstParagraph"/>
      </w:pPr>
      <w:r>
        <w:t xml:space="preserve">All data and code necessary to reproduce the analysis are publicly available:</w:t>
      </w:r>
    </w:p>
    <w:p>
      <w:pPr>
        <w:pStyle w:val="Compact"/>
        <w:numPr>
          <w:ilvl w:val="0"/>
          <w:numId w:val="1004"/>
        </w:numPr>
      </w:pPr>
      <w:r>
        <w:rPr>
          <w:b/>
          <w:bCs/>
        </w:rPr>
        <w:t xml:space="preserve">Primary panel data</w:t>
      </w:r>
      <w:r>
        <w:t xml:space="preserve"> </w:t>
      </w:r>
      <w:r>
        <w:t xml:space="preserve">(</w:t>
      </w:r>
      <w:r>
        <w:rPr>
          <w:rStyle w:val="VerbatimChar"/>
        </w:rPr>
        <w:t xml:space="preserve">baci_panel_real_v22.csv</w:t>
      </w:r>
      <w:r>
        <w:t xml:space="preserve"> </w:t>
      </w:r>
      <w:r>
        <w:t xml:space="preserve">and derived analysis files): GitHub repository https://github.com/pandasupranab/RiceBaCI-GEE, branch</w:t>
      </w:r>
      <w:r>
        <w:t xml:space="preserve"> </w:t>
      </w:r>
      <w:r>
        <w:rPr>
          <w:rStyle w:val="VerbatimChar"/>
        </w:rPr>
        <w:t xml:space="preserve">v2.0-refit</w:t>
      </w:r>
      <w:r>
        <w:t xml:space="preserve">, tag</w:t>
      </w:r>
      <w:r>
        <w:t xml:space="preserve"> </w:t>
      </w:r>
      <w:r>
        <w:rPr>
          <w:rStyle w:val="VerbatimChar"/>
        </w:rPr>
        <w:t xml:space="preserve">v2.0-rse</w:t>
      </w:r>
      <w:r>
        <w:t xml:space="preserve">.</w:t>
      </w:r>
    </w:p>
    <w:p>
      <w:pPr>
        <w:pStyle w:val="Compact"/>
        <w:numPr>
          <w:ilvl w:val="0"/>
          <w:numId w:val="1004"/>
        </w:numPr>
      </w:pPr>
      <w:r>
        <w:rPr>
          <w:b/>
          <w:bCs/>
        </w:rPr>
        <w:t xml:space="preserve">Zenodo archive</w:t>
      </w:r>
      <w:r>
        <w:t xml:space="preserve"> </w:t>
      </w:r>
      <w:r>
        <w:t xml:space="preserve">(code and panel, v2.0 snapshot): DOI 10.5281/zenodo.20587316.</w:t>
      </w:r>
    </w:p>
    <w:p>
      <w:pPr>
        <w:pStyle w:val="Compact"/>
        <w:numPr>
          <w:ilvl w:val="0"/>
          <w:numId w:val="1004"/>
        </w:numPr>
      </w:pPr>
      <w:r>
        <w:rPr>
          <w:b/>
          <w:bCs/>
        </w:rPr>
        <w:t xml:space="preserve">Mendeley Data deposit</w:t>
      </w:r>
      <w:r>
        <w:t xml:space="preserve"> </w:t>
      </w:r>
      <w:r>
        <w:t xml:space="preserve">(pixel-level uncertainty rasters and label set): DOI 10.17632/z3zxk4xy3c.1.</w:t>
      </w:r>
    </w:p>
    <w:p>
      <w:pPr>
        <w:pStyle w:val="Compact"/>
        <w:numPr>
          <w:ilvl w:val="0"/>
          <w:numId w:val="1004"/>
        </w:numPr>
      </w:pPr>
      <w:r>
        <w:rPr>
          <w:b/>
          <w:bCs/>
        </w:rPr>
        <w:t xml:space="preserve">OSF pre-registration</w:t>
      </w:r>
      <w:r>
        <w:t xml:space="preserve">: DOI 10.17605/OSF.IO/C4MP8. The pre-registration documents all hypotheses, the DiD estimating equation, and the QC gate definitions prior to data analysis.</w:t>
      </w:r>
    </w:p>
    <w:p>
      <w:pPr>
        <w:pStyle w:val="Compact"/>
        <w:numPr>
          <w:ilvl w:val="0"/>
          <w:numId w:val="1004"/>
        </w:numPr>
      </w:pPr>
      <w:r>
        <w:rPr>
          <w:b/>
          <w:bCs/>
        </w:rPr>
        <w:t xml:space="preserve">Google Earth Engine cloud project</w:t>
      </w:r>
      <w:r>
        <w:t xml:space="preserve">:</w:t>
      </w:r>
      <w:r>
        <w:t xml:space="preserve"> </w:t>
      </w:r>
      <w:r>
        <w:rPr>
          <w:rStyle w:val="VerbatimChar"/>
        </w:rPr>
        <w:t xml:space="preserve">durable-pulsar-486209-b5</w:t>
      </w:r>
      <w:r>
        <w:t xml:space="preserve"> </w:t>
      </w:r>
      <w:r>
        <w:t xml:space="preserve">(GEE JavaScript source code is version-controlled in the GitHub repository above).</w:t>
      </w:r>
    </w:p>
    <w:p>
      <w:pPr>
        <w:pStyle w:val="Compact"/>
        <w:numPr>
          <w:ilvl w:val="0"/>
          <w:numId w:val="1004"/>
        </w:numPr>
      </w:pPr>
      <w:r>
        <w:rPr>
          <w:b/>
          <w:bCs/>
        </w:rPr>
        <w:t xml:space="preserve">Satellite and ancillary data sources</w:t>
      </w:r>
      <w:r>
        <w:t xml:space="preserve">: Sentinel-2 L2A is publicly accessible via the Copernicus Open Access Hub (https://scihub.copernicus.eu) and the Google Earth Engine Data Catalog (collection:</w:t>
      </w:r>
      <w:r>
        <w:t xml:space="preserve"> </w:t>
      </w:r>
      <w:r>
        <w:rPr>
          <w:rStyle w:val="VerbatimChar"/>
        </w:rPr>
        <w:t xml:space="preserve">COPERNICUS/S2_SR_HARMONIZED</w:t>
      </w:r>
      <w:r>
        <w:t xml:space="preserve">); ESA WorldCover v200 is available at https://worldcover2021.esa.int; IBTrACS v04r01 is available at https://www.ncei.noaa.gov/products/international-best-track-archive; ERA5-Land is available via the ECMWF Climate Data Store (https://cds.climate.copernicus.eu).</w:t>
      </w:r>
    </w:p>
    <w:bookmarkEnd w:id="79"/>
    <w:bookmarkStart w:id="80" w:name="use-of-generative-ai-tools"/>
    <w:p>
      <w:pPr>
        <w:pStyle w:val="Heading3"/>
      </w:pPr>
      <w:r>
        <w:t xml:space="preserve">Use of generative AI tools</w:t>
      </w:r>
    </w:p>
    <w:p>
      <w:pPr>
        <w:pStyle w:val="FirstParagraph"/>
      </w:pPr>
      <w:r>
        <w:t xml:space="preserve">During the preparation of this work, the authors used large language model (LLM) assistants (Perplexity Computer; Anthropic Claude Sonnet) for drafting and language editing of the manuscript text, for code review of analysis scripts, and for cross-checking numerical consistency between the panel data, results CSVs, and reported values in tables and figures. All analytical decisions, the QC framework design, the DiD specification, the interpretation of results, and all final scientific claims are the responsibility of the authors. The authors reviewed and edited all AI-assisted content and take full responsibility for the contents of the manuscript. No AI tool is listed as an author, and no AI tool was used to generate, fabricate, or interpret data. This declaration follows the Elsevier policy on the use of generative AI and AI-assisted technologies in scientific writing.</w:t>
      </w:r>
    </w:p>
    <w:bookmarkEnd w:id="80"/>
    <w:bookmarkStart w:id="81" w:name="ethics-approval"/>
    <w:p>
      <w:pPr>
        <w:pStyle w:val="Heading3"/>
      </w:pPr>
      <w:r>
        <w:t xml:space="preserve">Ethics approval</w:t>
      </w:r>
    </w:p>
    <w:p>
      <w:pPr>
        <w:pStyle w:val="FirstParagraph"/>
      </w:pPr>
      <w:r>
        <w:t xml:space="preserve">Not applicable. This study used only publicly available, de-identified satellite, geospatial, and meteorological data; no human subjects, animal subjects, or personally identifiable information were involved.</w:t>
      </w:r>
    </w:p>
    <w:bookmarkEnd w:id="81"/>
    <w:bookmarkStart w:id="82" w:name="acknowledgements"/>
    <w:p>
      <w:pPr>
        <w:pStyle w:val="Heading3"/>
      </w:pPr>
      <w:r>
        <w:t xml:space="preserve">Acknowledgements</w:t>
      </w:r>
    </w:p>
    <w:p>
      <w:pPr>
        <w:pStyle w:val="FirstParagraph"/>
      </w:pPr>
      <w:r>
        <w:t xml:space="preserve">The authors thank the European Space Agency (ESA) and the Copernicus programme for free and open access to Sentinel-2 imagery; NOAA for the IBTrACS best-track archive; ECMWF for ERA5-Land reanalysis; and Google Earth Engine for cloud-based processing infrastructure. We thank the geoBoundaries project for open administrative boundary data.</w:t>
      </w:r>
    </w:p>
    <w:p>
      <w:r>
        <w:pict>
          <v:rect style="width:0;height:1.5pt" o:hralign="center" o:hrstd="t" o:hr="t"/>
        </w:pict>
      </w:r>
    </w:p>
    <w:p>
      <w:r>
        <w:pict>
          <v:rect style="width:0;height:1.5pt" o:hralign="center" o:hrstd="t" o:hr="t"/>
        </w:pict>
      </w:r>
    </w:p>
    <w:bookmarkEnd w:id="82"/>
    <w:bookmarkEnd w:id="83"/>
    <w:bookmarkStart w:id="84" w:name="references"/>
    <w:p>
      <w:pPr>
        <w:pStyle w:val="Heading2"/>
      </w:pPr>
      <w:r>
        <w:t xml:space="preserve">References</w:t>
      </w:r>
    </w:p>
    <w:p>
      <w:pPr>
        <w:pStyle w:val="FirstParagraph"/>
      </w:pPr>
      <w:r>
        <w:t xml:space="preserve">Beck, P.S.A., Atzberger, C., Høgda, K.A., Johansen, B., Skidmore, A.K., 2006. Improved monitoring of vegetation dynamics at very high latitudes: A new method using MODIS NDVI.</w:t>
      </w:r>
      <w:r>
        <w:t xml:space="preserve"> </w:t>
      </w:r>
      <w:r>
        <w:rPr>
          <w:i/>
          <w:iCs/>
        </w:rPr>
        <w:t xml:space="preserve">Remote Sensing of Environment</w:t>
      </w:r>
      <w:r>
        <w:t xml:space="preserve">, 100(3), 321–334. https://doi.org/10.1016/j.rse.2005.10.021</w:t>
      </w:r>
    </w:p>
    <w:p>
      <w:pPr>
        <w:pStyle w:val="BodyText"/>
      </w:pPr>
      <w:r>
        <w:t xml:space="preserve">Bolton, D.K., Friedl, M.A., 2013. Forecasting crop yield using remotely sensed vegetation indices and crop phenology metrics.</w:t>
      </w:r>
      <w:r>
        <w:t xml:space="preserve"> </w:t>
      </w:r>
      <w:r>
        <w:rPr>
          <w:i/>
          <w:iCs/>
        </w:rPr>
        <w:t xml:space="preserve">Agricultural and Forest Meteorology</w:t>
      </w:r>
      <w:r>
        <w:t xml:space="preserve">, 173, 74–84. https://doi.org/10.1016/j.agrformet.2013.01.007</w:t>
      </w:r>
    </w:p>
    <w:p>
      <w:pPr>
        <w:pStyle w:val="BodyText"/>
      </w:pPr>
      <w:r>
        <w:t xml:space="preserve">Burke, M., Emerick, K., 2016. Adaptation to climate change: Evidence from US agriculture.</w:t>
      </w:r>
      <w:r>
        <w:t xml:space="preserve"> </w:t>
      </w:r>
      <w:r>
        <w:rPr>
          <w:i/>
          <w:iCs/>
        </w:rPr>
        <w:t xml:space="preserve">American Economic Journal: Economic Policy</w:t>
      </w:r>
      <w:r>
        <w:t xml:space="preserve">, 8(3), 106–140. https://doi.org/10.1257/pol.20130025</w:t>
      </w:r>
    </w:p>
    <w:p>
      <w:pPr>
        <w:pStyle w:val="BodyText"/>
      </w:pPr>
      <w:r>
        <w:t xml:space="preserve">Cameron, A.C., Gelbach, J.B., Miller, D.L., 2008. Bootstrap-based improvements for inference with clustered errors.</w:t>
      </w:r>
      <w:r>
        <w:t xml:space="preserve"> </w:t>
      </w:r>
      <w:r>
        <w:rPr>
          <w:i/>
          <w:iCs/>
        </w:rPr>
        <w:t xml:space="preserve">Review of Economics and Statistics</w:t>
      </w:r>
      <w:r>
        <w:t xml:space="preserve">, 90(3), 414–427. https://doi.org/10.1162/rest.90.3.414</w:t>
      </w:r>
    </w:p>
    <w:p>
      <w:pPr>
        <w:pStyle w:val="BodyText"/>
      </w:pPr>
      <w:r>
        <w:t xml:space="preserve">Cameron, A.C., Miller, D.L., 2015. A practitioner’s guide to cluster-robust inference.</w:t>
      </w:r>
      <w:r>
        <w:t xml:space="preserve"> </w:t>
      </w:r>
      <w:r>
        <w:rPr>
          <w:i/>
          <w:iCs/>
        </w:rPr>
        <w:t xml:space="preserve">Journal of Human Resources</w:t>
      </w:r>
      <w:r>
        <w:t xml:space="preserve">, 50(2), 317–372. https://doi.org/10.3368/jhr.50.2.317</w:t>
      </w:r>
    </w:p>
    <w:p>
      <w:pPr>
        <w:pStyle w:val="BodyText"/>
      </w:pPr>
      <w:r>
        <w:t xml:space="preserve">Cao, R., Chen, J., Shen, M., Tang, Y., 2015. An improved logistic method for detecting spring vegetation phenology in grasslands from MODIS EVI time-series data.</w:t>
      </w:r>
      <w:r>
        <w:t xml:space="preserve"> </w:t>
      </w:r>
      <w:r>
        <w:rPr>
          <w:i/>
          <w:iCs/>
        </w:rPr>
        <w:t xml:space="preserve">Agricultural and Forest Meteorology</w:t>
      </w:r>
      <w:r>
        <w:t xml:space="preserve">, 200, 9–20. https://doi.org/10.1016/j.agrformet.2014.09.009</w:t>
      </w:r>
    </w:p>
    <w:p>
      <w:pPr>
        <w:pStyle w:val="BodyText"/>
      </w:pPr>
      <w:r>
        <w:t xml:space="preserve">Eilers, P.H.C., 2003. A perfect smoother.</w:t>
      </w:r>
      <w:r>
        <w:t xml:space="preserve"> </w:t>
      </w:r>
      <w:r>
        <w:rPr>
          <w:i/>
          <w:iCs/>
        </w:rPr>
        <w:t xml:space="preserve">Analytical Chemistry</w:t>
      </w:r>
      <w:r>
        <w:t xml:space="preserve">, 75(14), 3631–3636. https://doi.org/10.1021/ac034173t</w:t>
      </w:r>
    </w:p>
    <w:p>
      <w:pPr>
        <w:pStyle w:val="BodyText"/>
      </w:pPr>
      <w:r>
        <w:t xml:space="preserve">Forkel, M., Migliavacca, M., Thonicke, K., Reichstein, M., Schaphoff, S., Weber, U., Carvalhais, N., 2015. Codominant water control on global interannual variability and trends in land surface phenology and greenness.</w:t>
      </w:r>
      <w:r>
        <w:t xml:space="preserve"> </w:t>
      </w:r>
      <w:r>
        <w:rPr>
          <w:i/>
          <w:iCs/>
        </w:rPr>
        <w:t xml:space="preserve">Global Change Biology</w:t>
      </w:r>
      <w:r>
        <w:t xml:space="preserve">, 21(9), 3414–3435. https://doi.org/10.1111/gcb.12950</w:t>
      </w:r>
    </w:p>
    <w:p>
      <w:pPr>
        <w:pStyle w:val="BodyText"/>
      </w:pPr>
      <w:r>
        <w:t xml:space="preserve">Goodman-Bacon, A., 2021. Difference-in-differences with variation in treatment timing.</w:t>
      </w:r>
      <w:r>
        <w:t xml:space="preserve"> </w:t>
      </w:r>
      <w:r>
        <w:rPr>
          <w:i/>
          <w:iCs/>
        </w:rPr>
        <w:t xml:space="preserve">Journal of Econometrics</w:t>
      </w:r>
      <w:r>
        <w:t xml:space="preserve">, 225(2), 254–277. https://doi.org/10.1016/j.jeconom.2021.03.014</w:t>
      </w:r>
    </w:p>
    <w:p>
      <w:pPr>
        <w:pStyle w:val="BodyText"/>
      </w:pPr>
      <w:r>
        <w:t xml:space="preserve">Gorelick, N., Hancher, M., Dixon, M., Ilyushchenko, S., Thau, D., Moore, R., 2017. Google Earth Engine: Planetary-scale geospatial analysis for everyone.</w:t>
      </w:r>
      <w:r>
        <w:t xml:space="preserve"> </w:t>
      </w:r>
      <w:r>
        <w:rPr>
          <w:i/>
          <w:iCs/>
        </w:rPr>
        <w:t xml:space="preserve">Remote Sensing of Environment</w:t>
      </w:r>
      <w:r>
        <w:t xml:space="preserve">, 202, 18–27. https://doi.org/10.1016/j.rse.2017.06.031</w:t>
      </w:r>
    </w:p>
    <w:p>
      <w:pPr>
        <w:pStyle w:val="BodyText"/>
      </w:pPr>
      <w:r>
        <w:t xml:space="preserve">Gray, J., Sulla-Menashe, D., Friedl, M.A., 2019.</w:t>
      </w:r>
      <w:r>
        <w:t xml:space="preserve"> </w:t>
      </w:r>
      <w:r>
        <w:rPr>
          <w:i/>
          <w:iCs/>
        </w:rPr>
        <w:t xml:space="preserve">User Guide to Collection 6 MODIS Land Cover Dynamics (MCD12Q2) Product</w:t>
      </w:r>
      <w:r>
        <w:t xml:space="preserve">. NASA EOSDIS Land Processes DAAC. https://doi.org/10.5067/MODIS/MCD12Q2.006</w:t>
      </w:r>
    </w:p>
    <w:p>
      <w:pPr>
        <w:pStyle w:val="BodyText"/>
      </w:pPr>
      <w:r>
        <w:t xml:space="preserve">Jönsson, P., Eklundh, L., 2004. TIMESAT — a program for analyzing time-series of satellite sensor data.</w:t>
      </w:r>
      <w:r>
        <w:t xml:space="preserve"> </w:t>
      </w:r>
      <w:r>
        <w:rPr>
          <w:i/>
          <w:iCs/>
        </w:rPr>
        <w:t xml:space="preserve">Computers and Geosciences</w:t>
      </w:r>
      <w:r>
        <w:t xml:space="preserve">, 30(8), 833–845. https://doi.org/10.1016/j.cageo.2004.05.006</w:t>
      </w:r>
    </w:p>
    <w:p>
      <w:pPr>
        <w:pStyle w:val="BodyText"/>
      </w:pPr>
      <w:r>
        <w:t xml:space="preserve">Knapp, K.R., Kruk, M.C., Levinson, D.H., Diamond, H.J., Neumann, C.J., 2010. The International Best Track Archive for Climate Stewardship (IBTrACS): Unifying tropical cyclone data.</w:t>
      </w:r>
      <w:r>
        <w:t xml:space="preserve"> </w:t>
      </w:r>
      <w:r>
        <w:rPr>
          <w:i/>
          <w:iCs/>
        </w:rPr>
        <w:t xml:space="preserve">Bulletin of the American Meteorological Society</w:t>
      </w:r>
      <w:r>
        <w:t xml:space="preserve">, 91(3), 363–376. https://doi.org/10.1175/2009BAMS2755.1</w:t>
      </w:r>
    </w:p>
    <w:p>
      <w:pPr>
        <w:pStyle w:val="BodyText"/>
      </w:pPr>
      <w:r>
        <w:t xml:space="preserve">Lee, D.S., 2009. Training, wages, and sample selection: Estimating sharp bounds on treatment effects.</w:t>
      </w:r>
      <w:r>
        <w:t xml:space="preserve"> </w:t>
      </w:r>
      <w:r>
        <w:rPr>
          <w:i/>
          <w:iCs/>
        </w:rPr>
        <w:t xml:space="preserve">Review of Economic Studies</w:t>
      </w:r>
      <w:r>
        <w:t xml:space="preserve">, 76(3), 1071–1102. https://doi.org/10.1111/j.1467-937X.2009.00536.x</w:t>
      </w:r>
    </w:p>
    <w:p>
      <w:pPr>
        <w:pStyle w:val="BodyText"/>
      </w:pPr>
      <w:r>
        <w:t xml:space="preserve">Manski, C.F., 1990. Nonparametric bounds on treatment effects.</w:t>
      </w:r>
      <w:r>
        <w:t xml:space="preserve"> </w:t>
      </w:r>
      <w:r>
        <w:rPr>
          <w:i/>
          <w:iCs/>
        </w:rPr>
        <w:t xml:space="preserve">American Economic Review</w:t>
      </w:r>
      <w:r>
        <w:t xml:space="preserve">, 80(2), 319–323. https://www.jstor.org/stable/2006592</w:t>
      </w:r>
    </w:p>
    <w:p>
      <w:pPr>
        <w:pStyle w:val="BodyText"/>
      </w:pPr>
      <w:r>
        <w:t xml:space="preserve">Meroni, M., d’Andrimont, R., Vrieling, A., Fasbender, D., Lemoine, G., Rembold, F., Seguini, L., Verhegghen, A., 2021. Comparing land surface phenology of major European crops as derived from SAR and multispectral data of Sentinel-1 and -2.</w:t>
      </w:r>
      <w:r>
        <w:t xml:space="preserve"> </w:t>
      </w:r>
      <w:r>
        <w:rPr>
          <w:i/>
          <w:iCs/>
        </w:rPr>
        <w:t xml:space="preserve">Remote Sensing of Environment</w:t>
      </w:r>
      <w:r>
        <w:t xml:space="preserve">, 253, 112232. https://doi.org/10.1016/j.rse.2020.112232</w:t>
      </w:r>
    </w:p>
    <w:p>
      <w:pPr>
        <w:pStyle w:val="BodyText"/>
      </w:pPr>
      <w:r>
        <w:t xml:space="preserve">Patterson, T., Kelso, N.V., 2024. Natural Earth: Free vector and raster map data at 1:10m, 1:50m, and 1:110m scales. https://www.naturalearthdata.com/ (accessed 11 June 2026).</w:t>
      </w:r>
    </w:p>
    <w:p>
      <w:pPr>
        <w:pStyle w:val="BodyText"/>
      </w:pPr>
      <w:r>
        <w:t xml:space="preserve">Roy, D.P., Kovalskyy, V., Zhang, H.K., Vermote, E.F., Yan, L., Kumar, S.S., Egorov, A., 2016. Characterization of Landsat-7 to Landsat-8 reflective wavelength and normalized difference vegetation index continuity.</w:t>
      </w:r>
      <w:r>
        <w:t xml:space="preserve"> </w:t>
      </w:r>
      <w:r>
        <w:rPr>
          <w:i/>
          <w:iCs/>
        </w:rPr>
        <w:t xml:space="preserve">Remote Sensing of Environment</w:t>
      </w:r>
      <w:r>
        <w:t xml:space="preserve">, 185, 57–70. https://doi.org/10.1016/j.rse.2015.12.024</w:t>
      </w:r>
    </w:p>
    <w:p>
      <w:pPr>
        <w:pStyle w:val="BodyText"/>
      </w:pPr>
      <w:r>
        <w:t xml:space="preserve">Runfola, D., Anderson, A., Baier, H., Crittenden, M., Dowker, E., Fuhrig, S., Goodman, S., Grimsley, G., Layko, R., Melville, G., Mulder, M., Oberman, R., Panganiban, J., Peck, A., Seitz, L., Shea, S., Slevin, H., Yougerman, R., Hobbs, L., 2020. geoBoundaries: A global database of political administrative boundaries.</w:t>
      </w:r>
      <w:r>
        <w:t xml:space="preserve"> </w:t>
      </w:r>
      <w:r>
        <w:rPr>
          <w:i/>
          <w:iCs/>
        </w:rPr>
        <w:t xml:space="preserve">PLOS ONE</w:t>
      </w:r>
      <w:r>
        <w:t xml:space="preserve">, 15(4), e0231866. https://doi.org/10.1371/journal.pone.0231866</w:t>
      </w:r>
    </w:p>
    <w:p>
      <w:pPr>
        <w:pStyle w:val="BodyText"/>
      </w:pPr>
      <w:r>
        <w:t xml:space="preserve">Singha, M., Dong, J., Zhang, G., Xiao, X., 2019. High resolution paddy rice maps in cloud-prone Bangladesh and Northeast India using Sentinel-1 data.</w:t>
      </w:r>
      <w:r>
        <w:t xml:space="preserve"> </w:t>
      </w:r>
      <w:r>
        <w:rPr>
          <w:i/>
          <w:iCs/>
        </w:rPr>
        <w:t xml:space="preserve">Scientific Data</w:t>
      </w:r>
      <w:r>
        <w:t xml:space="preserve">, 6, 26. https://doi.org/10.1038/s41597-019-0036-3</w:t>
      </w:r>
    </w:p>
    <w:p>
      <w:pPr>
        <w:pStyle w:val="BodyText"/>
      </w:pPr>
      <w:r>
        <w:t xml:space="preserve">Vrieling, A., Meroni, M., Darvishzadeh, R., Skidmore, A.K., Wang, T., Zurita-Milla, R., Oosterbeek, K., O’Connor, B., Paganini, M., 2018. Vegetation phenology from Sentinel-2 and field cameras for a Dutch barrier island.</w:t>
      </w:r>
      <w:r>
        <w:t xml:space="preserve"> </w:t>
      </w:r>
      <w:r>
        <w:rPr>
          <w:i/>
          <w:iCs/>
        </w:rPr>
        <w:t xml:space="preserve">Remote Sensing of Environment</w:t>
      </w:r>
      <w:r>
        <w:t xml:space="preserve">, 215, 517–529. https://doi.org/10.1016/j.rse.2018.03.014</w:t>
      </w:r>
    </w:p>
    <w:p>
      <w:pPr>
        <w:pStyle w:val="BodyText"/>
      </w:pPr>
      <w:r>
        <w:t xml:space="preserve">Zanaga, D., Van De Kerchove, R., De Keersmaecker, W., Souverijns, N., Brockmann, C., Quast, R., Wevers, J., Grosu, A., Paccini, A., Vergnaud, S., Cartus, O., Santoro, M., Fritz, S., Georgieva, I., Lesiv, M., Carter, S., Herold, M., Li, L., Tsendbazar, N.-E., Ramoino, F., Arino, O., 2022.</w:t>
      </w:r>
      <w:r>
        <w:t xml:space="preserve"> </w:t>
      </w:r>
      <w:r>
        <w:rPr>
          <w:i/>
          <w:iCs/>
        </w:rPr>
        <w:t xml:space="preserve">ESA WorldCover 10 m 2021 v200</w:t>
      </w:r>
      <w:r>
        <w:t xml:space="preserve">. https://doi.org/10.5281/zenodo.7254221</w:t>
      </w:r>
    </w:p>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jpg" /><Relationship Type="http://schemas.openxmlformats.org/officeDocument/2006/relationships/image" Id="rId40" Target="media/rId40.jpg" /><Relationship Type="http://schemas.openxmlformats.org/officeDocument/2006/relationships/image" Id="rId44" Target="media/rId44.jpg" /><Relationship Type="http://schemas.openxmlformats.org/officeDocument/2006/relationships/image" Id="rId52" Target="media/rId52.jpg" /><Relationship Type="http://schemas.openxmlformats.org/officeDocument/2006/relationships/image" Id="rId57" Target="media/rId57.jpg" /><Relationship Type="http://schemas.openxmlformats.org/officeDocument/2006/relationships/image" Id="rId61" Target="media/rId61.jpg" /><Relationship Type="http://schemas.openxmlformats.org/officeDocument/2006/relationships/image" Id="rId64" Target="media/rId64.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2026-06-13T09:20:27Z</dcterms:created>
  <dcterms:modified xsi:type="dcterms:W3CDTF">2026-06-13T09:20:27Z</dcterms:modified>
</cp:coreProperties>
</file>

<file path=docProps/custom.xml><?xml version="1.0" encoding="utf-8"?>
<Properties xmlns="http://schemas.openxmlformats.org/officeDocument/2006/custom-properties" xmlns:vt="http://schemas.openxmlformats.org/officeDocument/2006/docPropsVTypes"/>
</file>