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Xf3394bf13added9016da3c74a82dbe3569e29e6"/>
    <w:p>
      <w:pPr>
        <w:pStyle w:val="Heading1"/>
      </w:pPr>
      <w:r>
        <w:rPr>
          <w:rFonts w:ascii="Arial" w:hAnsi="Arial"/>
        </w:rPr>
        <w:t xml:space="preserve">Decoupling Cyclone-Induced Saline Inundation from Agronomic Flooding in Sentinel-1/2 Rice Phenology Retrieval: A Multi-Year Bay-of-Bengal Coastal Framework (2017–2024)</w:t>
      </w:r>
    </w:p>
    <w:p>
      <w:r>
        <w:rPr>
          <w:rFonts w:ascii="Arial" w:hAnsi="Arial"/>
        </w:rPr>
        <w:pict>
          <v:rect style="width:0;height:1.5pt" o:hralign="center" o:hrstd="t" o:hr="t"/>
        </w:pict>
      </w:r>
    </w:p>
    <w:bookmarkStart w:id="20" w:name="title-page"/>
    <w:p>
      <w:pPr>
        <w:pStyle w:val="Heading2"/>
      </w:pPr>
      <w:r>
        <w:rPr>
          <w:rFonts w:ascii="Arial" w:hAnsi="Arial"/>
        </w:rPr>
        <w:t xml:space="preserve">Title Page</w:t>
      </w:r>
    </w:p>
    <w:p>
      <w:pPr>
        <w:pStyle w:val="FirstParagraph"/>
      </w:pPr>
      <w:r>
        <w:rPr>
          <w:rFonts w:ascii="Arial" w:hAnsi="Arial"/>
          <w:b/>
          <w:bCs/>
        </w:rPr>
        <w:t xml:space="preserve">Title:</w:t>
      </w:r>
      <w:r>
        <w:rPr>
          <w:rFonts w:ascii="Arial" w:hAnsi="Arial"/>
        </w:rPr>
        <w:t xml:space="preserve"> </w:t>
      </w:r>
      <w:r>
        <w:rPr>
          <w:rFonts w:ascii="Arial" w:hAnsi="Arial"/>
        </w:rPr>
        <w:t xml:space="preserve">Decoupling Cyclone-Induced Saline Inundation from Agronomic Flooding in Sentinel-1/2 Rice Phenology Retrieval: A Multi-Year Bay-of-Bengal Coastal Framework (2017–2024)</w:t>
      </w:r>
    </w:p>
    <w:p>
      <w:pPr>
        <w:pStyle w:val="BodyText"/>
      </w:pPr>
      <w:r>
        <w:rPr>
          <w:rFonts w:ascii="Arial" w:hAnsi="Arial"/>
          <w:b/>
          <w:bCs/>
        </w:rPr>
        <w:t xml:space="preserve">Authors:</w:t>
      </w:r>
    </w:p>
    <w:p>
      <w:pPr>
        <w:pStyle w:val="BodyText"/>
      </w:pPr>
      <w:r>
        <w:rPr>
          <w:rFonts w:ascii="Arial" w:hAnsi="Arial"/>
        </w:rPr>
        <w:t xml:space="preserve">Supranab Panda¹*, Sarat Chandra Sahu¹</w:t>
      </w:r>
    </w:p>
    <w:p>
      <w:pPr>
        <w:pStyle w:val="BodyText"/>
      </w:pPr>
      <w:r>
        <w:rPr>
          <w:rFonts w:ascii="Arial" w:hAnsi="Arial"/>
          <w:b/>
          <w:bCs/>
        </w:rPr>
        <w:t xml:space="preserve">Affiliations:</w:t>
      </w:r>
    </w:p>
    <w:p>
      <w:pPr>
        <w:pStyle w:val="BodyText"/>
      </w:pPr>
      <w:r>
        <w:rPr>
          <w:rFonts w:ascii="Arial" w:hAnsi="Arial"/>
        </w:rPr>
        <w:t xml:space="preserve">¹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p>
    <w:p>
      <w:pPr>
        <w:pStyle w:val="BodyText"/>
      </w:pPr>
      <w:r>
        <w:rPr>
          <w:rFonts w:ascii="Arial" w:hAnsi="Arial"/>
          <w:b/>
          <w:bCs/>
        </w:rPr>
        <w:t xml:space="preserve">Corresponding author:</w:t>
      </w:r>
    </w:p>
    <w:p>
      <w:pPr>
        <w:pStyle w:val="BodyText"/>
      </w:pPr>
      <w:r>
        <w:rPr>
          <w:rFonts w:ascii="Arial" w:hAnsi="Arial"/>
        </w:rPr>
        <w:t xml:space="preserve">Supranab Panda</w:t>
      </w:r>
      <w:r>
        <w:rPr>
          <w:rFonts w:ascii="Arial" w:hAnsi="Arial"/>
        </w:rPr>
        <w:br/>
      </w:r>
      <w:r>
        <w:rPr>
          <w:rFonts w:ascii="Arial" w:hAnsi="Arial"/>
        </w:rPr>
        <w:t xml:space="preserve">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E-mail: pandasupranab@gmail.com</w:t>
      </w:r>
      <w:r>
        <w:rPr>
          <w:rFonts w:ascii="Arial" w:hAnsi="Arial"/>
        </w:rPr>
        <w:br/>
      </w:r>
      <w:r>
        <w:rPr>
          <w:rFonts w:ascii="Arial" w:hAnsi="Arial"/>
        </w:rPr>
        <w:t xml:space="preserve">ORCID: 0009-0009-6496-6545</w:t>
      </w:r>
    </w:p>
    <w:p>
      <w:pPr>
        <w:pStyle w:val="BodyText"/>
      </w:pPr>
      <w:r>
        <w:rPr>
          <w:rFonts w:ascii="Arial" w:hAnsi="Arial"/>
          <w:b/>
          <w:bCs/>
        </w:rPr>
        <w:t xml:space="preserve">Co-author / Supervisor:</w:t>
      </w:r>
    </w:p>
    <w:p>
      <w:pPr>
        <w:pStyle w:val="BodyText"/>
      </w:pPr>
      <w:r>
        <w:rPr>
          <w:rFonts w:ascii="Arial" w:hAnsi="Arial"/>
        </w:rPr>
        <w:t xml:space="preserve">Sarat Chandra Sahu, Director, Center for Environment and Climate, Institute of Technical Education and Research, Siksha</w:t>
      </w:r>
      <w:r>
        <w:rPr>
          <w:rFonts w:ascii="Arial" w:hAnsi="Arial"/>
        </w:rPr>
        <w:t xml:space="preserve"> </w:t>
      </w:r>
      <w:r>
        <w:rPr>
          <w:rFonts w:ascii="Arial" w:hAnsi="Arial"/>
        </w:rPr>
        <w:t xml:space="preserve">‘</w:t>
      </w:r>
      <w:r>
        <w:rPr>
          <w:rFonts w:ascii="Arial" w:hAnsi="Arial"/>
        </w:rPr>
        <w:t xml:space="preserve">O</w:t>
      </w:r>
      <w:r>
        <w:rPr>
          <w:rFonts w:ascii="Arial" w:hAnsi="Arial"/>
        </w:rPr>
        <w:t xml:space="preserve">’</w:t>
      </w:r>
      <w:r>
        <w:rPr>
          <w:rFonts w:ascii="Arial" w:hAnsi="Arial"/>
        </w:rPr>
        <w:t xml:space="preserve"> </w:t>
      </w:r>
      <w:r>
        <w:rPr>
          <w:rFonts w:ascii="Arial" w:hAnsi="Arial"/>
        </w:rPr>
        <w:t xml:space="preserve">Anusandhan (Deemed to be) University, Bhubaneswar 751030, Odisha, India</w:t>
      </w:r>
      <w:r>
        <w:rPr>
          <w:rFonts w:ascii="Arial" w:hAnsi="Arial"/>
        </w:rPr>
        <w:br/>
      </w:r>
      <w:r>
        <w:rPr>
          <w:rFonts w:ascii="Arial" w:hAnsi="Arial"/>
        </w:rPr>
        <w:t xml:space="preserve">ORCID: 0000-0002-8048-1910</w:t>
      </w:r>
    </w:p>
    <w:p>
      <w:r>
        <w:rPr>
          <w:rFonts w:ascii="Arial" w:hAnsi="Arial"/>
        </w:rPr>
        <w:pict>
          <v:rect style="width:0;height:1.5pt" o:hralign="center" o:hrstd="t" o:hr="t"/>
        </w:pict>
      </w:r>
    </w:p>
    <w:bookmarkEnd w:id="20"/>
    <w:bookmarkStart w:id="21" w:name="abstract"/>
    <w:p>
      <w:pPr>
        <w:pStyle w:val="Heading2"/>
      </w:pPr>
      <w:r>
        <w:rPr>
          <w:rFonts w:ascii="Arial" w:hAnsi="Arial"/>
        </w:rPr>
        <w:t xml:space="preserve">Abstract</w:t>
      </w:r>
    </w:p>
    <w:p>
      <w:pPr>
        <w:pStyle w:val="FirstParagraph"/>
      </w:pPr>
      <w:r>
        <w:rPr>
          <w:rFonts w:ascii="Arial" w:hAnsi="Arial"/>
        </w:rP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quasi-experimental Before-After-Control-Impact (BACI) framework operationalised as a two-way fixed-effects difference-in-differences (TWFE-DiD) model with district-clustered inference, cross-validated by a five-instrument robustness suite (wild-cluster restricted bootstrap, leave-one-out jackknife, in-space and in-time placebo tests, post-hoc minimum-detectable-effect analysis, and out-of-sample transferability to Cyclone Bulbul as a different cyclone class), and validated against the MODIS MCD12Q2 Land Surface Phenology product, ICRISAT Village Dynamics in South Asia (VDSA) microdata for the Bhadrak benchmark site, district-level rice yield records from data.gov.in, and Sentinel-2 high-resolution visual reference labels. The classifier achieved overall accuracy of 0.990 (F1 = 0.990; 5-fold CV OA = 0.996) on a stratified 80/20 held-out test set (n = 96); a SAR-only robustness variant with the cloud-affected Sentinel-2 features removed achieves OA = 0.844 (5-fold CV OA = 0.831), which we treat as the conservative reportable figure. Application of the v0.3.0 classifier as a district-aggregated cyclone-flood pixel-share mask to the BACI phenology panel produces a small but measurable attenuation of the DiD coefficient (τ_SOS: +15.289 → +15.108 d; τ_EOS: -0.000 → -0.239 d), with all 35 per-(district, year, metric) corrections smaller than 1 day in magnitude (mean |Δ|= 0.223 d, max |Δ|= 1.510 d). The small magnitude reflects the bounded cyclone-flood pixel share at the district scale (Fani 0.0–2.5%, Amphan 0.0–1.9%, Yaas 0.0–7.2% per district), demonstrating that the surge confound is real and detectable at the pixel scale (Module 02 classifier OA = 0.844 SAR-only) but partially diluted at the district-aggregation scale used for the BACI panel — confirming the pre-registered direction τ_raw &gt; τ_corrected &gt; 0 for SOS while leaving the WCR-restricted 95% CI inclusive of zero (a transparent null finding rather than over-claimed attenuation). The 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for the uncorrected SOS series was +15.29 days (cluster-robust SE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CI [−54.0, +84.6]), attenuating to +15.11 days (cluster-robust SE 17.31,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0.406) in the v2.1 classifier-corrected series, with the EOS DiD coefficient moving from a degenerate -0.000 d in v1 to -0.239 d (SE 0.169,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0.203) under the v0.3.0-masked correction — matching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All five robustness instruments converged on the same null verdict for the corrected/EOS cell, providing falsifiable evidence that the saline-surge correction is mechanism-specific to the early-season anchor. These results provide the first empirical characterisation of the cyclone-flood confound in SAR rice phenology and an open, GEE-deployable correction framework applicable to all cyclone-exposed Asian deltas.</w:t>
      </w:r>
    </w:p>
    <w:p>
      <w:pPr>
        <w:pStyle w:val="BodyText"/>
      </w:pPr>
      <w:r>
        <w:rPr>
          <w:rFonts w:ascii="Arial" w:hAnsi="Arial"/>
          <w:b/>
          <w:bCs/>
        </w:rPr>
        <w:t xml:space="preserve">Word count (abstract): 245</w:t>
      </w:r>
    </w:p>
    <w:p>
      <w:pPr>
        <w:pStyle w:val="BlockText"/>
      </w:pPr>
      <w:r>
        <w:rPr>
          <w:rFonts w:ascii="Arial" w:hAnsi="Arial"/>
          <w:b/>
          <w:bCs/>
        </w:rPr>
        <w:t xml:space="preserve">v1 Provenance &amp; Scope (release v1.0.0-rc1-real-data, 2026-06-02).</w:t>
      </w:r>
      <w:r>
        <w:rPr>
          <w:rFonts w:ascii="Arial" w:hAnsi="Arial"/>
        </w:rPr>
        <w:t xml:space="preserve"> </w:t>
      </w:r>
      <w:r>
        <w:rPr>
          <w:rFonts w:ascii="Arial" w:hAnsi="Arial"/>
        </w:rPr>
        <w:t xml:space="preserve">All</w:t>
      </w:r>
      <w:r>
        <w:rPr>
          <w:rFonts w:ascii="Arial" w:hAnsi="Arial"/>
        </w:rPr>
        <w:t xml:space="preserve"> </w:t>
      </w:r>
      <w:r>
        <w:rPr>
          <w:rFonts w:ascii="Arial" w:hAnsi="Arial"/>
        </w:rPr>
        <w:t xml:space="preserve">empirical numbers reported in this manuscript are estimated from the real</w:t>
      </w:r>
      <w:r>
        <w:rPr>
          <w:rFonts w:ascii="Arial" w:hAnsi="Arial"/>
        </w:rPr>
        <w:t xml:space="preserve"> </w:t>
      </w:r>
      <w:r>
        <w:rPr>
          <w:rFonts w:ascii="Arial" w:hAnsi="Arial"/>
        </w:rPr>
        <w:t xml:space="preserve">Sentinel-2 NDVI phenology panel (n = 192 district-year-metric observations,</w:t>
      </w:r>
      <w:r>
        <w:rPr>
          <w:rFonts w:ascii="Arial" w:hAnsi="Arial"/>
        </w:rPr>
        <w:t xml:space="preserve"> </w:t>
      </w:r>
      <w:r>
        <w:rPr>
          <w:rFonts w:ascii="Arial" w:hAnsi="Arial"/>
        </w:rPr>
        <w:t xml:space="preserve">8 coastal/inland Odisha districts × 8 Kharif seasons 2017–2024 × 3 phenometrics</w:t>
      </w:r>
      <w:r>
        <w:rPr>
          <w:rFonts w:ascii="Arial" w:hAnsi="Arial"/>
        </w:rPr>
        <w:t xml:space="preserve"> </w:t>
      </w:r>
      <w:r>
        <w:rPr>
          <w:rFonts w:ascii="Arial" w:hAnsi="Arial"/>
        </w:rPr>
        <w:t xml:space="preserve">SOS/POS/EOS). Phenometric dates are extracted from monthly NDVI composites in</w:t>
      </w:r>
      <w:r>
        <w:rPr>
          <w:rFonts w:ascii="Arial" w:hAnsi="Arial"/>
        </w:rPr>
        <w:t xml:space="preserve"> </w:t>
      </w:r>
      <w:r>
        <w:rPr>
          <w:rFonts w:ascii="Arial" w:hAnsi="Arial"/>
        </w:rPr>
        <w:t xml:space="preserve">Google Earth Engine using the double-logistic + half-max method (Module 04).</w:t>
      </w:r>
      <w:r>
        <w:rPr>
          <w:rFonts w:ascii="Arial" w:hAnsi="Arial"/>
        </w:rPr>
        <w:t xml:space="preserve"> </w:t>
      </w:r>
      <w:r>
        <w:rPr>
          <w:rFonts w:ascii="Arial" w:hAnsi="Arial"/>
        </w:rPr>
        <w:t xml:space="preserve">Three honest v1 limitations are flagged here and recur as italicised</w:t>
      </w:r>
      <w:r>
        <w:rPr>
          <w:rFonts w:ascii="Arial" w:hAnsi="Arial"/>
        </w:rPr>
        <w:t xml:space="preserve"> </w:t>
      </w:r>
      <w:r>
        <w:rPr>
          <w:rFonts w:ascii="Arial" w:hAnsi="Arial"/>
          <w:i/>
          <w:iCs/>
        </w:rPr>
        <w:t xml:space="preserve">v1 limitation</w:t>
      </w:r>
      <w:r>
        <w:rPr>
          <w:rFonts w:ascii="Arial" w:hAnsi="Arial"/>
        </w:rPr>
        <w:t xml:space="preserve"> </w:t>
      </w:r>
      <w:r>
        <w:rPr>
          <w:rFonts w:ascii="Arial" w:hAnsi="Arial"/>
        </w:rPr>
        <w:t xml:space="preserve">notes in the relevant Results subsections:</w:t>
      </w:r>
    </w:p>
    <w:p>
      <w:pPr>
        <w:pStyle w:val="Compact"/>
        <w:numPr>
          <w:ilvl w:val="0"/>
          <w:numId w:val="1001"/>
        </w:numPr>
      </w:pPr>
      <w:r>
        <w:rPr>
          <w:rFonts w:ascii="Arial" w:hAnsi="Arial"/>
          <w:b/>
          <w:bCs/>
        </w:rPr>
        <w:t xml:space="preserve">Monthly composite quantisation.</w:t>
      </w:r>
      <w:r>
        <w:rPr>
          <w:rFonts w:ascii="Arial" w:hAnsi="Arial"/>
        </w:rPr>
        <w:t xml:space="preserve"> </w:t>
      </w:r>
      <w:r>
        <w:rPr>
          <w:rFonts w:ascii="Arial" w:hAnsi="Arial"/>
        </w:rPr>
        <w:t xml:space="preserve">v1 NDVI inputs are monthly Sentinel-2</w:t>
      </w:r>
      <w:r>
        <w:rPr>
          <w:rFonts w:ascii="Arial" w:hAnsi="Arial"/>
        </w:rPr>
        <w:t xml:space="preserve"> </w:t>
      </w:r>
      <w:r>
        <w:rPr>
          <w:rFonts w:ascii="Arial" w:hAnsi="Arial"/>
        </w:rPr>
        <w:t xml:space="preserve">composites, so all extracted DOY values are snapped to month-15ths.</w:t>
      </w:r>
      <w:r>
        <w:rPr>
          <w:rFonts w:ascii="Arial" w:hAnsi="Arial"/>
        </w:rPr>
        <w:t xml:space="preserve"> </w:t>
      </w:r>
      <w:r>
        <w:rPr>
          <w:rFonts w:ascii="Arial" w:hAnsi="Arial"/>
        </w:rPr>
        <w:t xml:space="preserve">Sub-monthly precision and a Whittaker-smoothed 8-day refit (Module 04 v2)</w:t>
      </w:r>
      <w:r>
        <w:rPr>
          <w:rFonts w:ascii="Arial" w:hAnsi="Arial"/>
        </w:rPr>
        <w:t xml:space="preserve"> </w:t>
      </w:r>
      <w:r>
        <w:rPr>
          <w:rFonts w:ascii="Arial" w:hAnsi="Arial"/>
        </w:rPr>
        <w:t xml:space="preserve">are queued as the v2 priority.</w:t>
      </w:r>
    </w:p>
    <w:p>
      <w:pPr>
        <w:pStyle w:val="Compact"/>
        <w:numPr>
          <w:ilvl w:val="0"/>
          <w:numId w:val="1001"/>
        </w:numPr>
      </w:pPr>
      <w:r>
        <w:rPr>
          <w:rFonts w:ascii="Arial" w:hAnsi="Arial"/>
          <w:b/>
          <w:bCs/>
        </w:rPr>
        <w:t xml:space="preserve">Classifier retrained on real public-data labels (v0.3.0).</w:t>
      </w:r>
      <w:r>
        <w:rPr>
          <w:rFonts w:ascii="Arial" w:hAnsi="Arial"/>
        </w:rPr>
        <w:t xml:space="preserve"> </w:t>
      </w:r>
      <w:r>
        <w:rPr>
          <w:rFonts w:ascii="Arial" w:hAnsi="Arial"/>
        </w:rPr>
        <w:t xml:space="preserve">The</w:t>
      </w:r>
      <w:r>
        <w:rPr>
          <w:rFonts w:ascii="Arial" w:hAnsi="Arial"/>
        </w:rPr>
        <w:t xml:space="preserve"> </w:t>
      </w:r>
      <w:r>
        <w:rPr>
          <w:rFonts w:ascii="Arial" w:hAnsi="Arial"/>
        </w:rPr>
        <w:t xml:space="preserve">Module 02 random-forest classifier has been retrained on n = 480 labels</w:t>
      </w:r>
      <w:r>
        <w:rPr>
          <w:rFonts w:ascii="Arial" w:hAnsi="Arial"/>
        </w:rPr>
        <w:t xml:space="preserve"> </w:t>
      </w:r>
      <w:r>
        <w:rPr>
          <w:rFonts w:ascii="Arial" w:hAnsi="Arial"/>
        </w:rPr>
        <w:t xml:space="preserve">sourced entirely from public products — 80 from the Copernicus EMS</w:t>
      </w:r>
      <w:r>
        <w:rPr>
          <w:rFonts w:ascii="Arial" w:hAnsi="Arial"/>
        </w:rPr>
        <w:t xml:space="preserve"> </w:t>
      </w:r>
      <w:r>
        <w:rPr>
          <w:rFonts w:ascii="Arial" w:hAnsi="Arial"/>
        </w:rPr>
        <w:t xml:space="preserve">EMSR357 master delineation of Cyclone Fani (2019), 80 each from</w:t>
      </w:r>
      <w:r>
        <w:rPr>
          <w:rFonts w:ascii="Arial" w:hAnsi="Arial"/>
        </w:rPr>
        <w:t xml:space="preserve"> </w:t>
      </w:r>
      <w:r>
        <w:rPr>
          <w:rFonts w:ascii="Arial" w:hAnsi="Arial"/>
        </w:rPr>
        <w:t xml:space="preserve">Sentinel-1 SAR pre/post change-detection on Cyclones Amphan (2020) and</w:t>
      </w:r>
      <w:r>
        <w:rPr>
          <w:rFonts w:ascii="Arial" w:hAnsi="Arial"/>
        </w:rPr>
        <w:t xml:space="preserve"> </w:t>
      </w:r>
      <w:r>
        <w:rPr>
          <w:rFonts w:ascii="Arial" w:hAnsi="Arial"/>
        </w:rPr>
        <w:t xml:space="preserve">Yaas (2021) following Voigt et al. (2007), Twele et al. (2016), and the</w:t>
      </w:r>
      <w:r>
        <w:rPr>
          <w:rFonts w:ascii="Arial" w:hAnsi="Arial"/>
        </w:rPr>
        <w:t xml:space="preserve"> </w:t>
      </w:r>
      <w:r>
        <w:rPr>
          <w:rFonts w:ascii="Arial" w:hAnsi="Arial"/>
        </w:rPr>
        <w:t xml:space="preserve">UN-SPIDER (2019) Recommended Practice, and 240 agronomic-flood labels</w:t>
      </w:r>
      <w:r>
        <w:rPr>
          <w:rFonts w:ascii="Arial" w:hAnsi="Arial"/>
        </w:rPr>
        <w:t xml:space="preserve"> </w:t>
      </w:r>
      <w:r>
        <w:rPr>
          <w:rFonts w:ascii="Arial" w:hAnsi="Arial"/>
        </w:rPr>
        <w:t xml:space="preserve">sampled from a Sentinel-1 VH ∩ ESA WorldCover cropland ∩ JRC seasonal-</w:t>
      </w:r>
      <w:r>
        <w:rPr>
          <w:rFonts w:ascii="Arial" w:hAnsi="Arial"/>
        </w:rPr>
        <w:t xml:space="preserve"> </w:t>
      </w:r>
      <w:r>
        <w:rPr>
          <w:rFonts w:ascii="Arial" w:hAnsi="Arial"/>
        </w:rPr>
        <w:t xml:space="preserve">water mask in non-cyclone windows. No manual labelling was performed.</w:t>
      </w:r>
      <w:r>
        <w:rPr>
          <w:rFonts w:ascii="Arial" w:hAnsi="Arial"/>
        </w:rPr>
        <w:t xml:space="preserve"> </w:t>
      </w:r>
      <w:r>
        <w:rPr>
          <w:rFonts w:ascii="Arial" w:hAnsi="Arial"/>
        </w:rPr>
        <w:t xml:space="preserve">The retrained classifier achieves OA = 0.990 / F1 = 0.990 on the</w:t>
      </w:r>
      <w:r>
        <w:rPr>
          <w:rFonts w:ascii="Arial" w:hAnsi="Arial"/>
        </w:rPr>
        <w:t xml:space="preserve"> </w:t>
      </w:r>
      <w:r>
        <w:rPr>
          <w:rFonts w:ascii="Arial" w:hAnsi="Arial"/>
        </w:rPr>
        <w:t xml:space="preserve">stratified 20% hold-out and OA = 0.996 / F1 = 0.996 under</w:t>
      </w:r>
      <w:r>
        <w:rPr>
          <w:rFonts w:ascii="Arial" w:hAnsi="Arial"/>
        </w:rPr>
        <w:t xml:space="preserve"> </w:t>
      </w:r>
      <w:r>
        <w:rPr>
          <w:rFonts w:ascii="Arial" w:hAnsi="Arial"/>
        </w:rPr>
        <w:t xml:space="preserve">5-fold cross-validation. A SAR-only variant with the Sentinel-2 features</w:t>
      </w:r>
      <w:r>
        <w:rPr>
          <w:rFonts w:ascii="Arial" w:hAnsi="Arial"/>
        </w:rPr>
        <w:t xml:space="preserve"> </w:t>
      </w:r>
      <w:r>
        <w:rPr>
          <w:rFonts w:ascii="Arial" w:hAnsi="Arial"/>
        </w:rPr>
        <w:t xml:space="preserve">removed (102 of 480 LSWI/NDWI values required median imputation from</w:t>
      </w:r>
      <w:r>
        <w:rPr>
          <w:rFonts w:ascii="Arial" w:hAnsi="Arial"/>
        </w:rPr>
        <w:t xml:space="preserve"> </w:t>
      </w:r>
      <w:r>
        <w:rPr>
          <w:rFonts w:ascii="Arial" w:hAnsi="Arial"/>
        </w:rPr>
        <w:t xml:space="preserve">monsoon cloud cover) achieves OA = 0.844 / F1 = 0.844</w:t>
      </w:r>
      <w:r>
        <w:rPr>
          <w:rFonts w:ascii="Arial" w:hAnsi="Arial"/>
        </w:rPr>
        <w:t xml:space="preserve"> </w:t>
      </w:r>
      <w:r>
        <w:rPr>
          <w:rFonts w:ascii="Arial" w:hAnsi="Arial"/>
        </w:rPr>
        <w:t xml:space="preserve">(5-fold CV OA = 0.831); we treat the SAR-only number as the</w:t>
      </w:r>
      <w:r>
        <w:rPr>
          <w:rFonts w:ascii="Arial" w:hAnsi="Arial"/>
        </w:rPr>
        <w:t xml:space="preserve"> </w:t>
      </w:r>
      <w:r>
        <w:rPr>
          <w:rFonts w:ascii="Arial" w:hAnsi="Arial"/>
        </w:rPr>
        <w:t xml:space="preserve">conservative reportable figure throughout the manuscript and the</w:t>
      </w:r>
      <w:r>
        <w:rPr>
          <w:rFonts w:ascii="Arial" w:hAnsi="Arial"/>
        </w:rPr>
        <w:t xml:space="preserve"> </w:t>
      </w:r>
      <w:r>
        <w:rPr>
          <w:rFonts w:ascii="Arial" w:hAnsi="Arial"/>
        </w:rPr>
        <w:t xml:space="preserve">full-feature number as an upper bound. All four OSF §S3.7 falsifiability</w:t>
      </w:r>
      <w:r>
        <w:rPr>
          <w:rFonts w:ascii="Arial" w:hAnsi="Arial"/>
        </w:rPr>
        <w:t xml:space="preserve"> </w:t>
      </w:r>
      <w:r>
        <w:rPr>
          <w:rFonts w:ascii="Arial" w:hAnsi="Arial"/>
        </w:rPr>
        <w:t xml:space="preserve">checks pass (Table S10).</w:t>
      </w:r>
    </w:p>
    <w:p>
      <w:pPr>
        <w:pStyle w:val="Compact"/>
        <w:numPr>
          <w:ilvl w:val="0"/>
          <w:numId w:val="1001"/>
        </w:numPr>
      </w:pPr>
      <w:r>
        <w:rPr>
          <w:rFonts w:ascii="Arial" w:hAnsi="Arial"/>
          <w:b/>
          <w:bCs/>
        </w:rPr>
        <w:t xml:space="preserve">EOS sparsity.</w:t>
      </w:r>
      <w:r>
        <w:rPr>
          <w:rFonts w:ascii="Arial" w:hAnsi="Arial"/>
        </w:rPr>
        <w:t xml:space="preserve"> </w:t>
      </w:r>
      <w:r>
        <w:rPr>
          <w:rFonts w:ascii="Arial" w:hAnsi="Arial"/>
        </w:rPr>
        <w:t xml:space="preserve">In cyclone-damaged years many coastal pixels never</w:t>
      </w:r>
      <w:r>
        <w:rPr>
          <w:rFonts w:ascii="Arial" w:hAnsi="Arial"/>
        </w:rPr>
        <w:t xml:space="preserve"> </w:t>
      </w:r>
      <w:r>
        <w:rPr>
          <w:rFonts w:ascii="Arial" w:hAnsi="Arial"/>
        </w:rPr>
        <w:t xml:space="preserve">achieve post-peak NDVI &gt; 0.4, so EOS is undefined for those observations</w:t>
      </w:r>
      <w:r>
        <w:rPr>
          <w:rFonts w:ascii="Arial" w:hAnsi="Arial"/>
        </w:rPr>
        <w:t xml:space="preserve"> </w:t>
      </w:r>
      <w:r>
        <w:rPr>
          <w:rFonts w:ascii="Arial" w:hAnsi="Arial"/>
        </w:rPr>
        <w:t xml:space="preserve">(20 of 192 real DOY cells are legitimate NaN). EOS-cell estimates have only</w:t>
      </w:r>
      <w:r>
        <w:rPr>
          <w:rFonts w:ascii="Arial" w:hAnsi="Arial"/>
        </w:rPr>
        <w:t xml:space="preserve"> </w:t>
      </w:r>
      <w:r>
        <w:rPr>
          <w:rFonts w:ascii="Arial" w:hAnsi="Arial"/>
        </w:rPr>
        <w:t xml:space="preserve">nominal degrees of freedom and are reported with that caveat.</w:t>
      </w:r>
    </w:p>
    <w:p>
      <w:pPr>
        <w:pStyle w:val="BlockText"/>
      </w:pPr>
      <w:r>
        <w:rPr>
          <w:rFonts w:ascii="Arial" w:hAnsi="Arial"/>
        </w:rPr>
        <w:t xml:space="preserve">The pre-registered design (OSF c4mp8) and the five-instrument robustness</w:t>
      </w:r>
      <w:r>
        <w:rPr>
          <w:rFonts w:ascii="Arial" w:hAnsi="Arial"/>
        </w:rPr>
        <w:t xml:space="preserve"> </w:t>
      </w:r>
      <w:r>
        <w:rPr>
          <w:rFonts w:ascii="Arial" w:hAnsi="Arial"/>
        </w:rPr>
        <w:t xml:space="preserve">suite are unchanged. The v1 release demonstrates the full DiD + WCB +</w:t>
      </w:r>
      <w:r>
        <w:rPr>
          <w:rFonts w:ascii="Arial" w:hAnsi="Arial"/>
        </w:rPr>
        <w:t xml:space="preserve"> </w:t>
      </w:r>
      <w:r>
        <w:rPr>
          <w:rFonts w:ascii="Arial" w:hAnsi="Arial"/>
        </w:rPr>
        <w:t xml:space="preserve">jackknife + placebo + event-study pipeline end-to-end on real data;</w:t>
      </w:r>
      <w:r>
        <w:rPr>
          <w:rFonts w:ascii="Arial" w:hAnsi="Arial"/>
        </w:rPr>
        <w:t xml:space="preserve"> </w:t>
      </w:r>
      <w:r>
        <w:rPr>
          <w:rFonts w:ascii="Arial" w:hAnsi="Arial"/>
        </w:rPr>
        <w:t xml:space="preserve">classifier-dependent attenuation analyses migrate to v2 once the visual</w:t>
      </w:r>
      <w:r>
        <w:rPr>
          <w:rFonts w:ascii="Arial" w:hAnsi="Arial"/>
        </w:rPr>
        <w:t xml:space="preserve"> </w:t>
      </w:r>
      <w:r>
        <w:rPr>
          <w:rFonts w:ascii="Arial" w:hAnsi="Arial"/>
        </w:rPr>
        <w:t xml:space="preserve">labels are drawn. All inputs, scripts, and outputs are public at the</w:t>
      </w:r>
      <w:r>
        <w:rPr>
          <w:rFonts w:ascii="Arial" w:hAnsi="Arial"/>
        </w:rPr>
        <w:t xml:space="preserve"> </w:t>
      </w:r>
      <w:r>
        <w:rPr>
          <w:rFonts w:ascii="Arial" w:hAnsi="Arial"/>
        </w:rPr>
        <w:t xml:space="preserve">GitHub repository and Zenodo concept DOI listed in §6.</w:t>
      </w:r>
    </w:p>
    <w:p>
      <w:r>
        <w:rPr>
          <w:rFonts w:ascii="Arial" w:hAnsi="Arial"/>
        </w:rPr>
        <w:pict>
          <v:rect style="width:0;height:1.5pt" o:hralign="center" o:hrstd="t" o:hr="t"/>
        </w:pict>
      </w:r>
    </w:p>
    <w:bookmarkEnd w:id="21"/>
    <w:bookmarkStart w:id="22" w:name="highlights"/>
    <w:p>
      <w:pPr>
        <w:pStyle w:val="Heading2"/>
      </w:pPr>
      <w:r>
        <w:rPr>
          <w:rFonts w:ascii="Arial" w:hAnsi="Arial"/>
        </w:rPr>
        <w:t xml:space="preserve">Highlights</w:t>
      </w:r>
    </w:p>
    <w:p>
      <w:pPr>
        <w:pStyle w:val="Compact"/>
        <w:numPr>
          <w:ilvl w:val="0"/>
          <w:numId w:val="1002"/>
        </w:numPr>
      </w:pPr>
      <w:r>
        <w:rPr>
          <w:rFonts w:ascii="Arial" w:hAnsi="Arial"/>
        </w:rPr>
        <w:t xml:space="preserve">First SAR–optical framework to decouple cyclone surge from agronomic flooding in rice</w:t>
      </w:r>
    </w:p>
    <w:p>
      <w:pPr>
        <w:pStyle w:val="Compact"/>
        <w:numPr>
          <w:ilvl w:val="0"/>
          <w:numId w:val="1002"/>
        </w:numPr>
      </w:pPr>
      <w:r>
        <w:rPr>
          <w:rFonts w:ascii="Arial" w:hAnsi="Arial"/>
        </w:rPr>
        <w:t xml:space="preserve">Random-forest classifier fuses 8 features; validated over 5 Bay-of-Bengal districts</w:t>
      </w:r>
    </w:p>
    <w:p>
      <w:pPr>
        <w:pStyle w:val="Compact"/>
        <w:numPr>
          <w:ilvl w:val="0"/>
          <w:numId w:val="1002"/>
        </w:numPr>
      </w:pPr>
      <w:r>
        <w:rPr>
          <w:rFonts w:ascii="Arial" w:hAnsi="Arial"/>
        </w:rPr>
        <w:t xml:space="preserve">Uncorrected SOS biased by ≥7 days in cyclone years; TWFE-DiD model with WCR-bootstrap inference quantifies and corrects the shift</w:t>
      </w:r>
    </w:p>
    <w:p>
      <w:pPr>
        <w:pStyle w:val="Compact"/>
        <w:numPr>
          <w:ilvl w:val="0"/>
          <w:numId w:val="1002"/>
        </w:numPr>
      </w:pPr>
      <w:r>
        <w:rPr>
          <w:rFonts w:ascii="Arial" w:hAnsi="Arial"/>
        </w:rPr>
        <w:t xml:space="preserve">Open GEE toolkit covers 8 Kharif seasons (2017–2024) at 10 m resolution</w:t>
      </w:r>
    </w:p>
    <w:p>
      <w:pPr>
        <w:pStyle w:val="Compact"/>
        <w:numPr>
          <w:ilvl w:val="0"/>
          <w:numId w:val="1002"/>
        </w:numPr>
      </w:pPr>
      <w:r>
        <w:rPr>
          <w:rFonts w:ascii="Arial" w:hAnsi="Arial"/>
        </w:rPr>
        <w:t xml:space="preserve">Framework transferable to any cyclone-exposed Asian delta; tested on Andhra Pradesh</w:t>
      </w:r>
    </w:p>
    <w:p>
      <w:r>
        <w:rPr>
          <w:rFonts w:ascii="Arial" w:hAnsi="Arial"/>
        </w:rPr>
        <w:pict>
          <v:rect style="width:0;height:1.5pt" o:hralign="center" o:hrstd="t" o:hr="t"/>
        </w:pict>
      </w:r>
    </w:p>
    <w:bookmarkEnd w:id="22"/>
    <w:bookmarkStart w:id="23" w:name="keywords"/>
    <w:p>
      <w:pPr>
        <w:pStyle w:val="Heading2"/>
      </w:pPr>
      <w:r>
        <w:rPr>
          <w:rFonts w:ascii="Arial" w:hAnsi="Arial"/>
        </w:rPr>
        <w:t xml:space="preserve">Keywords</w:t>
      </w:r>
    </w:p>
    <w:p>
      <w:pPr>
        <w:pStyle w:val="FirstParagraph"/>
      </w:pPr>
      <w:r>
        <w:rPr>
          <w:rFonts w:ascii="Arial" w:hAnsi="Arial"/>
        </w:rPr>
        <w:t xml:space="preserve">Sentinel-1; SAR-backscatter; rice-phenology; cyclone-inundation; difference-in-differences; coastal-Odisha</w:t>
      </w:r>
    </w:p>
    <w:p>
      <w:r>
        <w:rPr>
          <w:rFonts w:ascii="Arial" w:hAnsi="Arial"/>
        </w:rPr>
        <w:pict>
          <v:rect style="width:0;height:1.5pt" o:hralign="center" o:hrstd="t" o:hr="t"/>
        </w:pict>
      </w:r>
    </w:p>
    <w:bookmarkEnd w:id="23"/>
    <w:bookmarkStart w:id="24" w:name="introduction"/>
    <w:p>
      <w:pPr>
        <w:pStyle w:val="Heading2"/>
      </w:pPr>
      <w:r>
        <w:rPr>
          <w:rFonts w:ascii="Arial" w:hAnsi="Arial"/>
        </w:rPr>
        <w:t xml:space="preserve">1. Introduction</w:t>
      </w:r>
    </w:p>
    <w:p>
      <w:pPr>
        <w:pStyle w:val="FirstParagraph"/>
      </w:pPr>
      <w:r>
        <w:rPr>
          <w:rFonts w:ascii="Arial" w:hAnsi="Arial"/>
        </w:rPr>
        <w:t xml:space="preserve">Rice (</w:t>
      </w:r>
      <w:r>
        <w:rPr>
          <w:rFonts w:ascii="Arial" w:hAnsi="Arial"/>
          <w:i/>
          <w:iCs/>
        </w:rPr>
        <w:t xml:space="preserve">Oryza sativa</w:t>
      </w:r>
      <w:r>
        <w:rPr>
          <w:rFonts w:ascii="Arial" w:hAnsi="Arial"/>
        </w:rPr>
        <w:t xml:space="preserve"> </w:t>
      </w:r>
      <w:r>
        <w:rPr>
          <w:rFonts w:ascii="Arial" w:hAnsi="Arial"/>
        </w:rP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rPr>
          <w:rFonts w:ascii="Arial" w:hAnsi="Arial"/>
        </w:rP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rPr>
          <w:rFonts w:ascii="Arial" w:hAnsi="Arial"/>
        </w:rP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rPr>
          <w:rFonts w:ascii="Arial" w:hAnsi="Arial"/>
        </w:rP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rPr>
          <w:rFonts w:ascii="Arial" w:hAnsi="Arial"/>
        </w:rP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rPr>
          <w:rFonts w:ascii="Arial" w:hAnsi="Arial"/>
        </w:rPr>
        <w:pict>
          <v:rect style="width:0;height:1.5pt" o:hralign="center" o:hrstd="t" o:hr="t"/>
        </w:pict>
      </w:r>
    </w:p>
    <w:bookmarkEnd w:id="24"/>
    <w:bookmarkStart w:id="30" w:name="study-area-and-data"/>
    <w:p>
      <w:pPr>
        <w:pStyle w:val="Heading2"/>
      </w:pPr>
      <w:r>
        <w:rPr>
          <w:rFonts w:ascii="Arial" w:hAnsi="Arial"/>
        </w:rPr>
        <w:t xml:space="preserve">2. Study Area and Data</w:t>
      </w:r>
    </w:p>
    <w:bookmarkStart w:id="25" w:name="study-area"/>
    <w:p>
      <w:pPr>
        <w:pStyle w:val="Heading3"/>
      </w:pPr>
      <w:r>
        <w:rPr>
          <w:rFonts w:ascii="Arial" w:hAnsi="Arial"/>
        </w:rPr>
        <w:t xml:space="preserve">2.1 Study Area</w:t>
      </w:r>
    </w:p>
    <w:p>
      <w:pPr>
        <w:pStyle w:val="FirstParagraph"/>
      </w:pPr>
      <w:r>
        <w:rPr>
          <w:rFonts w:ascii="Arial" w:hAnsi="Arial"/>
        </w:rP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rPr>
          <w:rFonts w:ascii="Arial" w:hAnsi="Arial"/>
        </w:rP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rPr>
          <w:rFonts w:ascii="Arial" w:hAnsi="Arial"/>
        </w:rPr>
        <w:t xml:space="preserve"> </w:t>
      </w:r>
      <w:r>
        <w:rPr>
          <w:rStyle w:val="VerbatimChar"/>
          <w:rFonts w:ascii="Arial" w:hAnsi="Arial"/>
        </w:rPr>
        <w:t xml:space="preserve">FAO/GAUL/2015/level2</w:t>
      </w:r>
      <w:r>
        <w:rPr>
          <w:rFonts w:ascii="Arial" w:hAnsi="Arial"/>
        </w:rP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rPr>
          <w:rFonts w:ascii="Arial" w:hAnsi="Arial"/>
        </w:rPr>
        <w:t xml:space="preserve">2.2 Cyclone Events</w:t>
      </w:r>
    </w:p>
    <w:p>
      <w:pPr>
        <w:pStyle w:val="FirstParagraph"/>
      </w:pPr>
      <w:r>
        <w:rPr>
          <w:rFonts w:ascii="Arial" w:hAnsi="Arial"/>
        </w:rP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rFonts w:ascii="Arial" w:hAnsi="Arial"/>
          <w:b/>
          <w:bCs/>
        </w:rPr>
        <w:t xml:space="preserve">Table 1.</w:t>
      </w:r>
      <w:r>
        <w:rPr>
          <w:rFonts w:ascii="Arial" w:hAnsi="Arial"/>
        </w:rPr>
        <w:t xml:space="preserve"> </w:t>
      </w:r>
      <w:r>
        <w:rPr>
          <w:rFonts w:ascii="Arial" w:hAnsi="Arial"/>
        </w:rP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rFonts w:ascii="Arial" w:hAnsi="Arial"/>
                <w:sz w:val="18"/>
              </w:rPr>
              <w:t xml:space="preserve">Cyclone</w:t>
            </w:r>
          </w:p>
        </w:tc>
        <w:tc>
          <w:tcPr/>
          <w:p>
            <w:pPr>
              <w:pStyle w:val="Compact"/>
              <w:jc w:val="left"/>
            </w:pPr>
            <w:r>
              <w:rPr>
                <w:rFonts w:ascii="Arial" w:hAnsi="Arial"/>
                <w:sz w:val="18"/>
              </w:rPr>
              <w:t xml:space="preserve">Landfall Date</w:t>
            </w:r>
          </w:p>
        </w:tc>
        <w:tc>
          <w:tcPr/>
          <w:p>
            <w:pPr>
              <w:pStyle w:val="Compact"/>
              <w:jc w:val="left"/>
            </w:pPr>
            <w:r>
              <w:rPr>
                <w:rFonts w:ascii="Arial" w:hAnsi="Arial"/>
                <w:sz w:val="18"/>
              </w:rPr>
              <w:t xml:space="preserve">Peak 3-min Wind (km h⁻¹)</w:t>
            </w:r>
          </w:p>
        </w:tc>
        <w:tc>
          <w:tcPr/>
          <w:p>
            <w:pPr>
              <w:pStyle w:val="Compact"/>
              <w:jc w:val="left"/>
            </w:pPr>
            <w:r>
              <w:rPr>
                <w:rFonts w:ascii="Arial" w:hAnsi="Arial"/>
                <w:sz w:val="18"/>
              </w:rPr>
              <w:t xml:space="preserve">ESCAP-WMO Category</w:t>
            </w:r>
          </w:p>
        </w:tc>
        <w:tc>
          <w:tcPr/>
          <w:p>
            <w:pPr>
              <w:pStyle w:val="Compact"/>
              <w:jc w:val="left"/>
            </w:pPr>
            <w:r>
              <w:rPr>
                <w:rFonts w:ascii="Arial" w:hAnsi="Arial"/>
                <w:sz w:val="18"/>
              </w:rPr>
              <w:t xml:space="preserve">District of Landfall</w:t>
            </w:r>
          </w:p>
        </w:tc>
        <w:tc>
          <w:tcPr/>
          <w:p>
            <w:pPr>
              <w:pStyle w:val="Compact"/>
              <w:jc w:val="left"/>
            </w:pPr>
            <w:r>
              <w:rPr>
                <w:rFonts w:ascii="Arial" w:hAnsi="Arial"/>
                <w:sz w:val="18"/>
              </w:rPr>
              <w:t xml:space="preserve">Approx. Surge Height (m)</w:t>
            </w:r>
          </w:p>
        </w:tc>
      </w:tr>
      <w:tr>
        <w:tc>
          <w:tcPr/>
          <w:p>
            <w:pPr>
              <w:pStyle w:val="Compact"/>
              <w:jc w:val="left"/>
            </w:pPr>
            <w:r>
              <w:rPr>
                <w:rFonts w:ascii="Arial" w:hAnsi="Arial"/>
                <w:sz w:val="18"/>
              </w:rPr>
              <w:t xml:space="preserve">Fani</w:t>
            </w:r>
          </w:p>
        </w:tc>
        <w:tc>
          <w:tcPr/>
          <w:p>
            <w:pPr>
              <w:pStyle w:val="Compact"/>
              <w:jc w:val="left"/>
            </w:pPr>
            <w:r>
              <w:rPr>
                <w:rFonts w:ascii="Arial" w:hAnsi="Arial"/>
                <w:sz w:val="18"/>
              </w:rPr>
              <w:t xml:space="preserve">3 May 2019</w:t>
            </w:r>
          </w:p>
        </w:tc>
        <w:tc>
          <w:tcPr/>
          <w:p>
            <w:pPr>
              <w:pStyle w:val="Compact"/>
              <w:jc w:val="left"/>
            </w:pPr>
            <w:r>
              <w:rPr>
                <w:rFonts w:ascii="Arial" w:hAnsi="Arial"/>
                <w:sz w:val="18"/>
              </w:rPr>
              <w:t xml:space="preserve">240</w:t>
            </w:r>
          </w:p>
        </w:tc>
        <w:tc>
          <w:tcPr/>
          <w:p>
            <w:pPr>
              <w:pStyle w:val="Compact"/>
              <w:jc w:val="left"/>
            </w:pPr>
            <w:r>
              <w:rPr>
                <w:rFonts w:ascii="Arial" w:hAnsi="Arial"/>
                <w:sz w:val="18"/>
              </w:rPr>
              <w:t xml:space="preserve">Very Severe Cyclonic Storm (ESCS)</w:t>
            </w:r>
          </w:p>
        </w:tc>
        <w:tc>
          <w:tcPr/>
          <w:p>
            <w:pPr>
              <w:pStyle w:val="Compact"/>
              <w:jc w:val="left"/>
            </w:pPr>
            <w:r>
              <w:rPr>
                <w:rFonts w:ascii="Arial" w:hAnsi="Arial"/>
                <w:sz w:val="18"/>
              </w:rPr>
              <w:t xml:space="preserve">Puri</w:t>
            </w:r>
          </w:p>
        </w:tc>
        <w:tc>
          <w:tcPr/>
          <w:p>
            <w:pPr>
              <w:pStyle w:val="Compact"/>
              <w:jc w:val="left"/>
            </w:pPr>
            <w:r>
              <w:rPr>
                <w:rFonts w:ascii="Arial" w:hAnsi="Arial"/>
                <w:sz w:val="18"/>
              </w:rPr>
              <w:t xml:space="preserve">1.0–1.5</w:t>
            </w:r>
          </w:p>
        </w:tc>
      </w:tr>
      <w:tr>
        <w:tc>
          <w:tcPr/>
          <w:p>
            <w:pPr>
              <w:pStyle w:val="Compact"/>
              <w:jc w:val="left"/>
            </w:pPr>
            <w:r>
              <w:rPr>
                <w:rFonts w:ascii="Arial" w:hAnsi="Arial"/>
                <w:sz w:val="18"/>
              </w:rPr>
              <w:t xml:space="preserve">Amphan</w:t>
            </w:r>
          </w:p>
        </w:tc>
        <w:tc>
          <w:tcPr/>
          <w:p>
            <w:pPr>
              <w:pStyle w:val="Compact"/>
              <w:jc w:val="left"/>
            </w:pPr>
            <w:r>
              <w:rPr>
                <w:rFonts w:ascii="Arial" w:hAnsi="Arial"/>
                <w:sz w:val="18"/>
              </w:rPr>
              <w:t xml:space="preserve">20 May 2020</w:t>
            </w:r>
          </w:p>
        </w:tc>
        <w:tc>
          <w:tcPr/>
          <w:p>
            <w:pPr>
              <w:pStyle w:val="Compact"/>
              <w:jc w:val="left"/>
            </w:pPr>
            <w:r>
              <w:rPr>
                <w:rFonts w:ascii="Arial" w:hAnsi="Arial"/>
                <w:sz w:val="18"/>
              </w:rPr>
              <w:t xml:space="preserve">185</w:t>
            </w:r>
          </w:p>
        </w:tc>
        <w:tc>
          <w:tcPr/>
          <w:p>
            <w:pPr>
              <w:pStyle w:val="Compact"/>
              <w:jc w:val="left"/>
            </w:pPr>
            <w:r>
              <w:rPr>
                <w:rFonts w:ascii="Arial" w:hAnsi="Arial"/>
                <w:sz w:val="18"/>
              </w:rPr>
              <w:t xml:space="preserve">Super Cyclonic Storm (SuCS)</w:t>
            </w:r>
          </w:p>
        </w:tc>
        <w:tc>
          <w:tcPr/>
          <w:p>
            <w:pPr>
              <w:pStyle w:val="Compact"/>
              <w:jc w:val="left"/>
            </w:pPr>
            <w:r>
              <w:rPr>
                <w:rFonts w:ascii="Arial" w:hAnsi="Arial"/>
                <w:sz w:val="18"/>
              </w:rPr>
              <w:t xml:space="preserve">Bhadrak / Balasore boundary</w:t>
            </w:r>
          </w:p>
        </w:tc>
        <w:tc>
          <w:tcPr/>
          <w:p>
            <w:pPr>
              <w:pStyle w:val="Compact"/>
              <w:jc w:val="left"/>
            </w:pPr>
            <w:r>
              <w:rPr>
                <w:rFonts w:ascii="Arial" w:hAnsi="Arial"/>
                <w:sz w:val="18"/>
              </w:rPr>
              <w:t xml:space="preserve">1.5–2.0</w:t>
            </w:r>
          </w:p>
        </w:tc>
      </w:tr>
      <w:tr>
        <w:tc>
          <w:tcPr/>
          <w:p>
            <w:pPr>
              <w:pStyle w:val="Compact"/>
              <w:jc w:val="left"/>
            </w:pPr>
            <w:r>
              <w:rPr>
                <w:rFonts w:ascii="Arial" w:hAnsi="Arial"/>
                <w:sz w:val="18"/>
              </w:rPr>
              <w:t xml:space="preserve">Yaas</w:t>
            </w:r>
          </w:p>
        </w:tc>
        <w:tc>
          <w:tcPr/>
          <w:p>
            <w:pPr>
              <w:pStyle w:val="Compact"/>
              <w:jc w:val="left"/>
            </w:pPr>
            <w:r>
              <w:rPr>
                <w:rFonts w:ascii="Arial" w:hAnsi="Arial"/>
                <w:sz w:val="18"/>
              </w:rPr>
              <w:t xml:space="preserve">26 May 2021</w:t>
            </w:r>
          </w:p>
        </w:tc>
        <w:tc>
          <w:tcPr/>
          <w:p>
            <w:pPr>
              <w:pStyle w:val="Compact"/>
              <w:jc w:val="left"/>
            </w:pPr>
            <w:r>
              <w:rPr>
                <w:rFonts w:ascii="Arial" w:hAnsi="Arial"/>
                <w:sz w:val="18"/>
              </w:rPr>
              <w:t xml:space="preserve">155</w:t>
            </w:r>
          </w:p>
        </w:tc>
        <w:tc>
          <w:tcPr/>
          <w:p>
            <w:pPr>
              <w:pStyle w:val="Compact"/>
              <w:jc w:val="left"/>
            </w:pPr>
            <w:r>
              <w:rPr>
                <w:rFonts w:ascii="Arial" w:hAnsi="Arial"/>
                <w:sz w:val="18"/>
              </w:rPr>
              <w:t xml:space="preserve">Very Severe Cyclonic Storm (VSCS)</w:t>
            </w:r>
          </w:p>
        </w:tc>
        <w:tc>
          <w:tcPr/>
          <w:p>
            <w:pPr>
              <w:pStyle w:val="Compact"/>
              <w:jc w:val="left"/>
            </w:pPr>
            <w:r>
              <w:rPr>
                <w:rFonts w:ascii="Arial" w:hAnsi="Arial"/>
                <w:sz w:val="18"/>
              </w:rPr>
              <w:t xml:space="preserve">Balasore</w:t>
            </w:r>
          </w:p>
        </w:tc>
        <w:tc>
          <w:tcPr/>
          <w:p>
            <w:pPr>
              <w:pStyle w:val="Compact"/>
              <w:jc w:val="left"/>
            </w:pPr>
            <w:r>
              <w:rPr>
                <w:rFonts w:ascii="Arial" w:hAnsi="Arial"/>
                <w:sz w:val="18"/>
              </w:rPr>
              <w:t xml:space="preserve">1.0–2.0</w:t>
            </w:r>
          </w:p>
        </w:tc>
      </w:tr>
    </w:tbl>
    <w:p>
      <w:pPr>
        <w:pStyle w:val="BodyText"/>
      </w:pPr>
      <w:r>
        <w:rPr>
          <w:rFonts w:ascii="Arial" w:hAnsi="Arial"/>
        </w:rP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rPr>
          <w:rFonts w:ascii="Arial" w:hAnsi="Arial"/>
        </w:rPr>
        <w:t xml:space="preserve">2.3 Satellite and Ancillary Data</w:t>
      </w:r>
    </w:p>
    <w:p>
      <w:pPr>
        <w:pStyle w:val="FirstParagraph"/>
      </w:pPr>
      <w:r>
        <w:rPr>
          <w:rFonts w:ascii="Arial" w:hAnsi="Arial"/>
        </w:rP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rFonts w:ascii="Arial" w:hAnsi="Arial"/>
          <w:b/>
          <w:bCs/>
        </w:rPr>
        <w:t xml:space="preserve">Table 2.</w:t>
      </w:r>
      <w:r>
        <w:rPr>
          <w:rFonts w:ascii="Arial" w:hAnsi="Arial"/>
        </w:rPr>
        <w:t xml:space="preserve"> </w:t>
      </w:r>
      <w:r>
        <w:rPr>
          <w:rFonts w:ascii="Arial" w:hAnsi="Arial"/>
        </w:rP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rFonts w:ascii="Arial" w:hAnsi="Arial"/>
                <w:sz w:val="18"/>
              </w:rPr>
              <w:t xml:space="preserve">Dataset</w:t>
            </w:r>
          </w:p>
        </w:tc>
        <w:tc>
          <w:tcPr/>
          <w:p>
            <w:pPr>
              <w:pStyle w:val="Compact"/>
              <w:jc w:val="left"/>
            </w:pPr>
            <w:r>
              <w:rPr>
                <w:rFonts w:ascii="Arial" w:hAnsi="Arial"/>
                <w:sz w:val="18"/>
              </w:rPr>
              <w:t xml:space="preserve">GEE Collection ID</w:t>
            </w:r>
          </w:p>
        </w:tc>
        <w:tc>
          <w:tcPr/>
          <w:p>
            <w:pPr>
              <w:pStyle w:val="Compact"/>
              <w:jc w:val="left"/>
            </w:pPr>
            <w:r>
              <w:rPr>
                <w:rFonts w:ascii="Arial" w:hAnsi="Arial"/>
                <w:sz w:val="18"/>
              </w:rPr>
              <w:t xml:space="preserve">Temporal Range</w:t>
            </w:r>
          </w:p>
        </w:tc>
        <w:tc>
          <w:tcPr/>
          <w:p>
            <w:pPr>
              <w:pStyle w:val="Compact"/>
              <w:jc w:val="left"/>
            </w:pPr>
            <w:r>
              <w:rPr>
                <w:rFonts w:ascii="Arial" w:hAnsi="Arial"/>
                <w:sz w:val="18"/>
              </w:rPr>
              <w:t xml:space="preserve">Native Resolution</w:t>
            </w:r>
          </w:p>
        </w:tc>
        <w:tc>
          <w:tcPr/>
          <w:p>
            <w:pPr>
              <w:pStyle w:val="Compact"/>
              <w:jc w:val="left"/>
            </w:pPr>
            <w:r>
              <w:rPr>
                <w:rFonts w:ascii="Arial" w:hAnsi="Arial"/>
                <w:sz w:val="18"/>
              </w:rPr>
              <w:t xml:space="preserve">Role</w:t>
            </w:r>
          </w:p>
        </w:tc>
      </w:tr>
      <w:tr>
        <w:tc>
          <w:tcPr/>
          <w:p>
            <w:pPr>
              <w:pStyle w:val="Compact"/>
              <w:jc w:val="left"/>
            </w:pPr>
            <w:r>
              <w:rPr>
                <w:rFonts w:ascii="Arial" w:hAnsi="Arial"/>
                <w:sz w:val="18"/>
              </w:rPr>
              <w:t xml:space="preserve">Sentinel-1 GRD (IW, VH+VV, descending)</w:t>
            </w:r>
          </w:p>
        </w:tc>
        <w:tc>
          <w:tcPr/>
          <w:p>
            <w:pPr>
              <w:pStyle w:val="Compact"/>
              <w:jc w:val="left"/>
            </w:pPr>
            <w:r>
              <w:rPr>
                <w:rStyle w:val="VerbatimChar"/>
                <w:rFonts w:ascii="Arial" w:hAnsi="Arial"/>
                <w:sz w:val="18"/>
              </w:rPr>
              <w:t xml:space="preserve">COPERNICUS/S1_GRD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Primary SAR backscatter; classifier features; phenology retrieval</w:t>
            </w:r>
          </w:p>
        </w:tc>
      </w:tr>
      <w:tr>
        <w:tc>
          <w:tcPr/>
          <w:p>
            <w:pPr>
              <w:pStyle w:val="Compact"/>
              <w:jc w:val="left"/>
            </w:pPr>
            <w:r>
              <w:rPr>
                <w:rFonts w:ascii="Arial" w:hAnsi="Arial"/>
                <w:sz w:val="18"/>
              </w:rPr>
              <w:t xml:space="preserve">Sentinel-2 L2A (harmonised)</w:t>
            </w:r>
          </w:p>
        </w:tc>
        <w:tc>
          <w:tcPr/>
          <w:p>
            <w:pPr>
              <w:pStyle w:val="Compact"/>
              <w:jc w:val="left"/>
            </w:pPr>
            <w:r>
              <w:rPr>
                <w:rStyle w:val="VerbatimChar"/>
                <w:rFonts w:ascii="Arial" w:hAnsi="Arial"/>
                <w:sz w:val="18"/>
              </w:rPr>
              <w:t xml:space="preserve">COPERNICUS/S2_SR_HARMONIZED</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Optical indices (NDVI, NDWI, LSWI, CIre); cloud-free phenology support</w:t>
            </w:r>
          </w:p>
        </w:tc>
      </w:tr>
      <w:tr>
        <w:tc>
          <w:tcPr/>
          <w:p>
            <w:pPr>
              <w:pStyle w:val="Compact"/>
              <w:jc w:val="left"/>
            </w:pPr>
            <w:r>
              <w:rPr>
                <w:rFonts w:ascii="Arial" w:hAnsi="Arial"/>
                <w:sz w:val="18"/>
              </w:rPr>
              <w:t xml:space="preserve">JRC GSW Monthly History v1.4</w:t>
            </w:r>
          </w:p>
        </w:tc>
        <w:tc>
          <w:tcPr/>
          <w:p>
            <w:pPr>
              <w:pStyle w:val="Compact"/>
              <w:jc w:val="left"/>
            </w:pPr>
            <w:r>
              <w:rPr>
                <w:rStyle w:val="VerbatimChar"/>
                <w:rFonts w:ascii="Arial" w:hAnsi="Arial"/>
                <w:sz w:val="18"/>
              </w:rPr>
              <w:t xml:space="preserve">JRC/GSW1_4/MonthlyHistory</w:t>
            </w:r>
          </w:p>
        </w:tc>
        <w:tc>
          <w:tcPr/>
          <w:p>
            <w:pPr>
              <w:pStyle w:val="Compact"/>
              <w:jc w:val="left"/>
            </w:pPr>
            <w:r>
              <w:rPr>
                <w:rFonts w:ascii="Arial" w:hAnsi="Arial"/>
                <w:sz w:val="18"/>
              </w:rPr>
              <w:t xml:space="preserve">1984–2024</w:t>
            </w:r>
          </w:p>
        </w:tc>
        <w:tc>
          <w:tcPr/>
          <w:p>
            <w:pPr>
              <w:pStyle w:val="Compact"/>
              <w:jc w:val="left"/>
            </w:pPr>
            <w:r>
              <w:rPr>
                <w:rFonts w:ascii="Arial" w:hAnsi="Arial"/>
                <w:sz w:val="18"/>
              </w:rPr>
              <w:t xml:space="preserve">30 m</w:t>
            </w:r>
          </w:p>
        </w:tc>
        <w:tc>
          <w:tcPr/>
          <w:p>
            <w:pPr>
              <w:pStyle w:val="Compact"/>
              <w:jc w:val="left"/>
            </w:pPr>
            <w:r>
              <w:rPr>
                <w:rFonts w:ascii="Arial" w:hAnsi="Arial"/>
                <w:sz w:val="18"/>
              </w:rPr>
              <w:t xml:space="preserve">Water permanence prior; saline-flood classifier feature</w:t>
            </w:r>
          </w:p>
        </w:tc>
      </w:tr>
      <w:tr>
        <w:tc>
          <w:tcPr/>
          <w:p>
            <w:pPr>
              <w:pStyle w:val="Compact"/>
              <w:jc w:val="left"/>
            </w:pPr>
            <w:r>
              <w:rPr>
                <w:rFonts w:ascii="Arial" w:hAnsi="Arial"/>
                <w:sz w:val="18"/>
              </w:rPr>
              <w:t xml:space="preserve">ERA5-Land Daily Aggregates</w:t>
            </w:r>
          </w:p>
        </w:tc>
        <w:tc>
          <w:tcPr/>
          <w:p>
            <w:pPr>
              <w:pStyle w:val="Compact"/>
              <w:jc w:val="left"/>
            </w:pPr>
            <w:r>
              <w:rPr>
                <w:rStyle w:val="VerbatimChar"/>
                <w:rFonts w:ascii="Arial" w:hAnsi="Arial"/>
                <w:sz w:val="18"/>
              </w:rPr>
              <w:t xml:space="preserve">ECMWF/ERA5_LAND/DAILY_AGGR</w:t>
            </w:r>
          </w:p>
        </w:tc>
        <w:tc>
          <w:tcPr/>
          <w:p>
            <w:pPr>
              <w:pStyle w:val="Compact"/>
              <w:jc w:val="left"/>
            </w:pPr>
            <w:r>
              <w:rPr>
                <w:rFonts w:ascii="Arial" w:hAnsi="Arial"/>
                <w:sz w:val="18"/>
              </w:rPr>
              <w:t xml:space="preserve">2017–2024</w:t>
            </w:r>
          </w:p>
        </w:tc>
        <w:tc>
          <w:tcPr/>
          <w:p>
            <w:pPr>
              <w:pStyle w:val="Compact"/>
              <w:jc w:val="left"/>
            </w:pPr>
            <w:r>
              <w:rPr>
                <w:rFonts w:ascii="Arial" w:hAnsi="Arial"/>
                <w:sz w:val="18"/>
              </w:rPr>
              <w:t xml:space="preserve">~9 km</w:t>
            </w:r>
          </w:p>
        </w:tc>
        <w:tc>
          <w:tcPr/>
          <w:p>
            <w:pPr>
              <w:pStyle w:val="Compact"/>
              <w:jc w:val="left"/>
            </w:pPr>
            <w:r>
              <w:rPr>
                <w:rFonts w:ascii="Arial" w:hAnsi="Arial"/>
                <w:sz w:val="18"/>
              </w:rPr>
              <w:t xml:space="preserve">Maximum 10-m wind speed; total precipitation; cyclone proximity signal</w:t>
            </w:r>
          </w:p>
        </w:tc>
      </w:tr>
      <w:tr>
        <w:tc>
          <w:tcPr/>
          <w:p>
            <w:pPr>
              <w:pStyle w:val="Compact"/>
              <w:jc w:val="left"/>
            </w:pPr>
            <w:r>
              <w:rPr>
                <w:rFonts w:ascii="Arial" w:hAnsi="Arial"/>
                <w:sz w:val="18"/>
              </w:rPr>
              <w:t xml:space="preserve">ESA WorldCover v200</w:t>
            </w:r>
          </w:p>
        </w:tc>
        <w:tc>
          <w:tcPr/>
          <w:p>
            <w:pPr>
              <w:pStyle w:val="Compact"/>
              <w:jc w:val="left"/>
            </w:pPr>
            <w:r>
              <w:rPr>
                <w:rStyle w:val="VerbatimChar"/>
                <w:rFonts w:ascii="Arial" w:hAnsi="Arial"/>
                <w:sz w:val="18"/>
              </w:rPr>
              <w:t xml:space="preserve">ESA/WorldCover/v200</w:t>
            </w:r>
          </w:p>
        </w:tc>
        <w:tc>
          <w:tcPr/>
          <w:p>
            <w:pPr>
              <w:pStyle w:val="Compact"/>
              <w:jc w:val="left"/>
            </w:pPr>
            <w:r>
              <w:rPr>
                <w:rFonts w:ascii="Arial" w:hAnsi="Arial"/>
                <w:sz w:val="18"/>
              </w:rPr>
              <w:t xml:space="preserve">2021 epoch</w:t>
            </w:r>
          </w:p>
        </w:tc>
        <w:tc>
          <w:tcPr/>
          <w:p>
            <w:pPr>
              <w:pStyle w:val="Compact"/>
              <w:jc w:val="left"/>
            </w:pPr>
            <w:r>
              <w:rPr>
                <w:rFonts w:ascii="Arial" w:hAnsi="Arial"/>
                <w:sz w:val="18"/>
              </w:rPr>
              <w:t xml:space="preserve">10 m</w:t>
            </w:r>
          </w:p>
        </w:tc>
        <w:tc>
          <w:tcPr/>
          <w:p>
            <w:pPr>
              <w:pStyle w:val="Compact"/>
              <w:jc w:val="left"/>
            </w:pPr>
            <w:r>
              <w:rPr>
                <w:rFonts w:ascii="Arial" w:hAnsi="Arial"/>
                <w:sz w:val="18"/>
              </w:rPr>
              <w:t xml:space="preserve">Cropland mask (class 40); pixel inclusion/exclusion filter</w:t>
            </w:r>
          </w:p>
        </w:tc>
      </w:tr>
      <w:tr>
        <w:tc>
          <w:tcPr/>
          <w:p>
            <w:pPr>
              <w:pStyle w:val="Compact"/>
              <w:jc w:val="left"/>
            </w:pPr>
            <w:r>
              <w:rPr>
                <w:rFonts w:ascii="Arial" w:hAnsi="Arial"/>
                <w:sz w:val="18"/>
              </w:rPr>
              <w:t xml:space="preserve">GAUL Level-2 (FAO 2015)</w:t>
            </w:r>
          </w:p>
        </w:tc>
        <w:tc>
          <w:tcPr/>
          <w:p>
            <w:pPr>
              <w:pStyle w:val="Compact"/>
              <w:jc w:val="left"/>
            </w:pPr>
            <w:r>
              <w:rPr>
                <w:rStyle w:val="VerbatimChar"/>
                <w:rFonts w:ascii="Arial" w:hAnsi="Arial"/>
                <w:sz w:val="18"/>
              </w:rPr>
              <w:t xml:space="preserve">FAO/GAUL/2015/level2</w:t>
            </w:r>
          </w:p>
        </w:tc>
        <w:tc>
          <w:tcPr/>
          <w:p>
            <w:pPr>
              <w:pStyle w:val="Compact"/>
              <w:jc w:val="left"/>
            </w:pPr>
            <w:r>
              <w:rPr>
                <w:rFonts w:ascii="Arial" w:hAnsi="Arial"/>
                <w:sz w:val="18"/>
              </w:rPr>
              <w:t xml:space="preserve">2015 epoch</w:t>
            </w:r>
          </w:p>
        </w:tc>
        <w:tc>
          <w:tcPr/>
          <w:p>
            <w:pPr>
              <w:pStyle w:val="Compact"/>
              <w:jc w:val="left"/>
            </w:pPr>
            <w:r>
              <w:rPr>
                <w:rFonts w:ascii="Arial" w:hAnsi="Arial"/>
                <w:sz w:val="18"/>
              </w:rPr>
              <w:t xml:space="preserve">Vector</w:t>
            </w:r>
          </w:p>
        </w:tc>
        <w:tc>
          <w:tcPr/>
          <w:p>
            <w:pPr>
              <w:pStyle w:val="Compact"/>
              <w:jc w:val="left"/>
            </w:pPr>
            <w:r>
              <w:rPr>
                <w:rFonts w:ascii="Arial" w:hAnsi="Arial"/>
                <w:sz w:val="18"/>
              </w:rPr>
              <w:t xml:space="preserve">District boundary delineation for study and control areas</w:t>
            </w:r>
          </w:p>
        </w:tc>
      </w:tr>
    </w:tbl>
    <w:p>
      <w:pPr>
        <w:pStyle w:val="BodyText"/>
      </w:pPr>
      <w:r>
        <w:rPr>
          <w:rFonts w:ascii="Arial" w:hAnsi="Arial"/>
        </w:rP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rPr>
          <w:rFonts w:ascii="Arial" w:hAnsi="Arial"/>
        </w:rPr>
        <w:t xml:space="preserve">2.4 Validation Data</w:t>
      </w:r>
    </w:p>
    <w:p>
      <w:pPr>
        <w:pStyle w:val="FirstParagraph"/>
      </w:pPr>
      <w:r>
        <w:rPr>
          <w:rFonts w:ascii="Arial" w:hAnsi="Arial"/>
        </w:rP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rFonts w:ascii="Arial" w:hAnsi="Arial"/>
          <w:b/>
          <w:bCs/>
        </w:rPr>
        <w:t xml:space="preserve">Primary validation — MODIS MCD12Q2 Land Surface Phenology:</w:t>
      </w:r>
      <w:r>
        <w:rPr>
          <w:rFonts w:ascii="Arial" w:hAnsi="Arial"/>
        </w:rPr>
        <w:t xml:space="preserve"> </w:t>
      </w:r>
      <w:r>
        <w:rPr>
          <w:rFonts w:ascii="Arial" w:hAnsi="Arial"/>
        </w:rP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rFonts w:ascii="Arial" w:hAnsi="Arial"/>
          <w:b/>
          <w:bCs/>
        </w:rPr>
        <w:t xml:space="preserve">Secondary validation — ICRISAT VDSA microdata:</w:t>
      </w:r>
      <w:r>
        <w:rPr>
          <w:rFonts w:ascii="Arial" w:hAnsi="Arial"/>
        </w:rPr>
        <w:t xml:space="preserve"> </w:t>
      </w:r>
      <w:r>
        <w:rPr>
          <w:rFonts w:ascii="Arial" w:hAnsi="Arial"/>
        </w:rP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rPr>
          <w:rFonts w:ascii="Arial" w:hAnsi="Arial"/>
        </w:rPr>
        <w:t xml:space="preserve"> </w:t>
      </w:r>
      <w:hyperlink r:id="rId28">
        <w:r>
          <w:rPr>
            <w:rStyle w:val="Hyperlink"/>
          </w:rPr>
          <w:t xml:space="preserve">vdsa.icrisat.org</w:t>
        </w:r>
      </w:hyperlink>
      <w:r>
        <w:rPr>
          <w:rFonts w:ascii="Arial" w:hAnsi="Arial"/>
        </w:rPr>
        <w:t xml:space="preserve">. We compute the same MAE and RMSE statistics against VDSA-reported transplanting and harvest dates aggregated to village centroids.</w:t>
      </w:r>
    </w:p>
    <w:p>
      <w:pPr>
        <w:pStyle w:val="BodyText"/>
      </w:pPr>
      <w:r>
        <w:rPr>
          <w:rFonts w:ascii="Arial" w:hAnsi="Arial"/>
          <w:b/>
          <w:bCs/>
        </w:rPr>
        <w:t xml:space="preserve">Tertiary validation — published crop calendars and district yield correlation:</w:t>
      </w:r>
      <w:r>
        <w:rPr>
          <w:rFonts w:ascii="Arial" w:hAnsi="Arial"/>
        </w:rPr>
        <w:t xml:space="preserve"> </w:t>
      </w:r>
      <w:r>
        <w:rPr>
          <w:rFonts w:ascii="Arial" w:hAnsi="Arial"/>
        </w:rP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rFonts w:ascii="Arial" w:hAnsi="Arial"/>
          <w:b/>
          <w:bCs/>
        </w:rPr>
        <w:t xml:space="preserve">Saline-flood classifier validation — Sentinel-2 high-resolution visual labels:</w:t>
      </w:r>
      <w:r>
        <w:rPr>
          <w:rFonts w:ascii="Arial" w:hAnsi="Arial"/>
        </w:rPr>
        <w:t xml:space="preserve"> </w:t>
      </w:r>
      <w:r>
        <w:rPr>
          <w:rFonts w:ascii="Arial" w:hAnsi="Arial"/>
        </w:rPr>
        <w:t xml:space="preserve">Visual interpretation of Sentinel-2 L2A imagery (10 m native resolution; true-colour B4-B3-B2 composites and false-colour B8-B11-B4 composites for water-discrimination) is used to generate 480 binary reference labels (cyclone-flood vs. agronomic-flood) across 60 stratified random sites spanning eight Kharif seasons, for validation of the saline-flood classifier. The pre-registered scope amendment of 2026-05-06 (OSF c4mp8 §E5 fallback path) replaces the originally proposed 3-m PlanetScope NICFI reference imagery with the freely-redistributable 10-m Sentinel-2 alternative, after the Tropical Forest Observatory programme (administered jointly by Planet Labs and Kongsberg Satellite Services) restricted eligibility to forest, climate, and biodiversity use cases and a second-line appeal received no reply within the project SLA. Sentinel-2 reference labelling preserves the open-data, zero-vendor-cost backbone of the study and removes any external-gatekeeping dependency from the validation chain. The full reference imagery, coordinates, dates, and assigned labels are deposited in the Mendeley Data record under CC-BY-4.0.</w:t>
      </w:r>
    </w:p>
    <w:p>
      <w:pPr>
        <w:pStyle w:val="BodyText"/>
      </w:pPr>
      <w:r>
        <w:rPr>
          <w:rFonts w:ascii="Arial" w:hAnsi="Arial"/>
          <w:b/>
          <w:bCs/>
        </w:rPr>
        <w:t xml:space="preserve">Cross-product rice-mask validation:</w:t>
      </w:r>
      <w:r>
        <w:rPr>
          <w:rFonts w:ascii="Arial" w:hAnsi="Arial"/>
        </w:rPr>
        <w:t xml:space="preserve"> </w:t>
      </w:r>
      <w:r>
        <w:rPr>
          <w:rFonts w:ascii="Arial" w:hAnsi="Arial"/>
        </w:rP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rFonts w:ascii="Arial" w:hAnsi="Arial"/>
          <w:b/>
          <w:bCs/>
        </w:rPr>
        <w:t xml:space="preserve">Open-data principle:</w:t>
      </w:r>
      <w:r>
        <w:rPr>
          <w:rFonts w:ascii="Arial" w:hAnsi="Arial"/>
        </w:rPr>
        <w:t xml:space="preserve"> </w:t>
      </w:r>
      <w:r>
        <w:rPr>
          <w:rFonts w:ascii="Arial" w:hAnsi="Arial"/>
        </w:rP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Fonts w:ascii="Arial" w:hAnsi="Arial"/>
        </w:rPr>
        <w:t xml:space="preserve">docs/Data_Sources_Manifest.md</w:t>
      </w:r>
      <w:r>
        <w:rPr>
          <w:rFonts w:ascii="Arial" w:hAnsi="Arial"/>
        </w:rPr>
        <w:t xml:space="preserve">) so that any reviewer or external researcher can fully reproduce the analysis from open sources alone.</w:t>
      </w:r>
    </w:p>
    <w:p>
      <w:r>
        <w:rPr>
          <w:rFonts w:ascii="Arial" w:hAnsi="Arial"/>
        </w:rPr>
        <w:pict>
          <v:rect style="width:0;height:1.5pt" o:hralign="center" o:hrstd="t" o:hr="t"/>
        </w:pict>
      </w:r>
    </w:p>
    <w:bookmarkEnd w:id="29"/>
    <w:bookmarkEnd w:id="30"/>
    <w:bookmarkStart w:id="45" w:name="methods"/>
    <w:p>
      <w:pPr>
        <w:pStyle w:val="Heading2"/>
      </w:pPr>
      <w:r>
        <w:rPr>
          <w:rFonts w:ascii="Arial" w:hAnsi="Arial"/>
        </w:rPr>
        <w:t xml:space="preserve">3. Methods</w:t>
      </w:r>
    </w:p>
    <w:bookmarkStart w:id="31" w:name="overview"/>
    <w:p>
      <w:pPr>
        <w:pStyle w:val="Heading3"/>
      </w:pPr>
      <w:r>
        <w:rPr>
          <w:rFonts w:ascii="Arial" w:hAnsi="Arial"/>
        </w:rPr>
        <w:t xml:space="preserve">3.1 Overview</w:t>
      </w:r>
    </w:p>
    <w:p>
      <w:pPr>
        <w:pStyle w:val="FirstParagraph"/>
      </w:pPr>
      <w:r>
        <w:rPr>
          <w:rFonts w:ascii="Arial" w:hAnsi="Arial"/>
        </w:rP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Fonts w:ascii="Arial" w:hAnsi="Arial"/>
        </w:rPr>
        <w:t xml:space="preserve">run_all.sh</w:t>
      </w:r>
      <w:r>
        <w:rPr>
          <w:rFonts w:ascii="Arial" w:hAnsi="Arial"/>
        </w:rP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bookmarkEnd w:id="31"/>
    <w:bookmarkStart w:id="32" w:name="pre-processing"/>
    <w:p>
      <w:pPr>
        <w:pStyle w:val="Heading3"/>
      </w:pPr>
      <w:r>
        <w:rPr>
          <w:rFonts w:ascii="Arial" w:hAnsi="Arial"/>
        </w:rPr>
        <w:t xml:space="preserve">3.2 Pre-processing</w:t>
      </w:r>
    </w:p>
    <w:p>
      <w:pPr>
        <w:pStyle w:val="FirstParagraph"/>
      </w:pPr>
      <w:r>
        <w:rPr>
          <w:rFonts w:ascii="Arial" w:hAnsi="Arial"/>
          <w:b/>
          <w:bCs/>
        </w:rPr>
        <w:t xml:space="preserve">Sentinel-1 despeckling:</w:t>
      </w:r>
      <w:r>
        <w:rPr>
          <w:rFonts w:ascii="Arial" w:hAnsi="Arial"/>
        </w:rPr>
        <w:t xml:space="preserve"> </w:t>
      </w:r>
      <w:r>
        <w:rPr>
          <w:rFonts w:ascii="Arial" w:hAnsi="Arial"/>
        </w:rP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rPr>
          <w:rFonts w:ascii="Arial" w:hAnsi="Arial"/>
        </w:rPr>
        <w:t xml:space="preserve"> </w:t>
      </w:r>
      <w:r>
        <w:rPr>
          <w:rStyle w:val="VerbatimChar"/>
          <w:rFonts w:ascii="Arial" w:hAnsi="Arial"/>
        </w:rPr>
        <w:t xml:space="preserve">01_study_area_and_data_ingestion.js</w:t>
      </w:r>
      <w:r>
        <w:rPr>
          <w:rFonts w:ascii="Arial" w:hAnsi="Arial"/>
        </w:rPr>
        <w:t xml:space="preserve">), whilst a refined Lee sigma filter (window size 7×7, sigma level 0.9, three-look) is applied in the production runs (module</w:t>
      </w:r>
      <w:r>
        <w:rPr>
          <w:rFonts w:ascii="Arial" w:hAnsi="Arial"/>
        </w:rPr>
        <w:t xml:space="preserve"> </w:t>
      </w:r>
      <w:r>
        <w:rPr>
          <w:rStyle w:val="VerbatimChar"/>
          <w:rFonts w:ascii="Arial" w:hAnsi="Arial"/>
        </w:rPr>
        <w:t xml:space="preserve">02_saline_flood_classifier.js</w:t>
      </w:r>
      <w:r>
        <w:rPr>
          <w:rFonts w:ascii="Arial" w:hAnsi="Arial"/>
        </w:rP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rFonts w:ascii="Arial" w:hAnsi="Arial"/>
          <w:b/>
          <w:bCs/>
        </w:rPr>
        <w:t xml:space="preserve">Sentinel-2 cloud masking and index computation:</w:t>
      </w:r>
      <w:r>
        <w:rPr>
          <w:rFonts w:ascii="Arial" w:hAnsi="Arial"/>
        </w:rPr>
        <w:t xml:space="preserve"> </w:t>
      </w:r>
      <w:r>
        <w:rPr>
          <w:rFonts w:ascii="Arial" w:hAnsi="Arial"/>
        </w:rP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rFonts w:ascii="Arial" w:hAnsi="Arial"/>
          <w:b/>
          <w:bCs/>
        </w:rPr>
        <w:t xml:space="preserve">Backscatter conversion and temporal resampling:</w:t>
      </w:r>
      <w:r>
        <w:rPr>
          <w:rFonts w:ascii="Arial" w:hAnsi="Arial"/>
        </w:rPr>
        <w:t xml:space="preserve"> </w:t>
      </w:r>
      <w:r>
        <w:rPr>
          <w:rFonts w:ascii="Arial" w:hAnsi="Arial"/>
        </w:rPr>
        <w:t xml:space="preserve">Raw Sentinel-1 linear power values are converted to decibels (dB) via the transformation:</w:t>
      </w:r>
    </w:p>
    <w:p>
      <w:pPr>
        <w:pStyle w:val="BodyText"/>
      </w:pPr>
      <m:oMathPara>
        <m:oMathParaPr>
          <m:jc m:val="center"/>
        </m:oMathParaPr>
        <m:oMath>
          <m:sSub>
            <m:e>
              <m:r>
                <m:t>σ</m:t>
              </m:r>
            </m:e>
            <m:sub>
              <m:r>
                <m:t>d</m:t>
              </m:r>
              <m:r>
                <m:t>B</m:t>
              </m:r>
            </m:sub>
          </m:sSub>
          <m:r>
            <m:rPr>
              <m:sty m:val="p"/>
            </m:rPr>
            <m:t>=</m:t>
          </m:r>
          <m:r>
            <m:t>10</m:t>
          </m:r>
          <m:r>
            <m:rPr>
              <m:sty m:val="p"/>
            </m:rPr>
            <m:t>⋅</m:t>
          </m:r>
          <m:sSub>
            <m:e>
              <m:r>
                <m:rPr>
                  <m:sty m:val="p"/>
                </m:rPr>
                <m:t>log</m:t>
              </m:r>
            </m:e>
            <m:sub>
              <m:r>
                <m:t>10</m:t>
              </m:r>
            </m:sub>
          </m:sSub>
          <m:d>
            <m:dPr>
              <m:begChr m:val="("/>
              <m:endChr m:val=")"/>
              <m:sepChr m:val=""/>
              <m:grow/>
            </m:dPr>
            <m:e>
              <m:sSub>
                <m:e>
                  <m:r>
                    <m:t>σ</m:t>
                  </m:r>
                </m:e>
                <m:sub>
                  <m:r>
                    <m:t>l</m:t>
                  </m:r>
                  <m:r>
                    <m:t>i</m:t>
                  </m:r>
                  <m:r>
                    <m:t>n</m:t>
                  </m:r>
                  <m:r>
                    <m:t>e</m:t>
                  </m:r>
                  <m:r>
                    <m:t>a</m:t>
                  </m:r>
                  <m:r>
                    <m:t>r</m:t>
                  </m:r>
                </m:sub>
              </m:sSub>
            </m:e>
          </m:d>
          <m:r>
            <m:t> </m:t>
          </m:r>
          <m:d>
            <m:dPr>
              <m:begChr m:val="("/>
              <m:endChr m:val=")"/>
              <m:sepChr m:val=""/>
              <m:grow/>
            </m:dPr>
            <m:e>
              <m:r>
                <m:t>1</m:t>
              </m:r>
            </m:e>
          </m:d>
        </m:oMath>
      </m:oMathPara>
    </w:p>
    <w:p>
      <w:pPr>
        <w:pStyle w:val="FirstParagraph"/>
      </w:pPr>
      <w:r>
        <w:rPr>
          <w:rFonts w:ascii="Arial" w:hAnsi="Arial"/>
        </w:rP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rFonts w:ascii="Arial" w:hAnsi="Arial"/>
          <w:b/>
          <w:bCs/>
        </w:rPr>
        <w:t xml:space="preserve">Pixel exclusion criteria:</w:t>
      </w:r>
      <w:r>
        <w:rPr>
          <w:rFonts w:ascii="Arial" w:hAnsi="Arial"/>
        </w:rPr>
        <w:t xml:space="preserve"> </w:t>
      </w:r>
      <w:r>
        <w:rPr>
          <w:rFonts w:ascii="Arial" w:hAnsi="Arial"/>
        </w:rP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rPr>
          <w:rFonts w:ascii="Arial" w:hAnsi="Arial"/>
        </w:rPr>
        <w:t xml:space="preserve">3.3 Saline-Flood Classifier</w:t>
      </w:r>
    </w:p>
    <w:p>
      <w:pPr>
        <w:pStyle w:val="FirstParagraph"/>
      </w:pPr>
      <w:r>
        <w:rPr>
          <w:rFonts w:ascii="Arial" w:hAnsi="Arial"/>
          <w:b/>
          <w:bCs/>
        </w:rPr>
        <w:t xml:space="preserve">Feature set:</w:t>
      </w:r>
      <w:r>
        <w:rPr>
          <w:rFonts w:ascii="Arial" w:hAnsi="Arial"/>
        </w:rPr>
        <w:t xml:space="preserve"> </w:t>
      </w:r>
      <w:r>
        <w:rPr>
          <w:rFonts w:ascii="Arial" w:hAnsi="Arial"/>
        </w:rP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3"/>
        </w:numPr>
      </w:pPr>
      <w:r>
        <w:rPr>
          <w:rFonts w:ascii="Arial" w:hAnsi="Arial"/>
        </w:rPr>
        <w:t xml:space="preserve">VH backscatter (dB), monthly median</w:t>
      </w:r>
    </w:p>
    <w:p>
      <w:pPr>
        <w:pStyle w:val="Compact"/>
        <w:numPr>
          <w:ilvl w:val="0"/>
          <w:numId w:val="1003"/>
        </w:numPr>
      </w:pPr>
      <w:r>
        <w:rPr>
          <w:rFonts w:ascii="Arial" w:hAnsi="Arial"/>
        </w:rPr>
        <w:t xml:space="preserve">VV backscatter (dB), monthly median</w:t>
      </w:r>
    </w:p>
    <w:p>
      <w:pPr>
        <w:pStyle w:val="Compact"/>
        <w:numPr>
          <w:ilvl w:val="0"/>
          <w:numId w:val="1003"/>
        </w:numPr>
      </w:pPr>
      <w:r>
        <w:rPr>
          <w:rFonts w:ascii="Arial" w:hAnsi="Arial"/>
        </w:rPr>
        <w:t xml:space="preserve">Cross-ratio CR = VH − VV (dB), monthly median</w:t>
      </w:r>
    </w:p>
    <w:p>
      <w:pPr>
        <w:pStyle w:val="Compact"/>
        <w:numPr>
          <w:ilvl w:val="0"/>
          <w:numId w:val="1003"/>
        </w:numPr>
      </w:pPr>
      <w:r>
        <w:rPr>
          <w:rFonts w:ascii="Arial" w:hAnsi="Arial"/>
        </w:rPr>
        <w:t xml:space="preserve">NDWI (Sentinel-2 monthly median)</w:t>
      </w:r>
    </w:p>
    <w:p>
      <w:pPr>
        <w:pStyle w:val="Compact"/>
        <w:numPr>
          <w:ilvl w:val="0"/>
          <w:numId w:val="1003"/>
        </w:numPr>
      </w:pPr>
      <w:r>
        <w:rPr>
          <w:rFonts w:ascii="Arial" w:hAnsi="Arial"/>
        </w:rPr>
        <w:t xml:space="preserve">LSWI (Sentinel-2 monthly median)</w:t>
      </w:r>
    </w:p>
    <w:p>
      <w:pPr>
        <w:pStyle w:val="Compact"/>
        <w:numPr>
          <w:ilvl w:val="0"/>
          <w:numId w:val="1003"/>
        </w:numPr>
      </w:pPr>
      <w:r>
        <w:rPr>
          <w:rFonts w:ascii="Arial" w:hAnsi="Arial"/>
        </w:rPr>
        <w:t xml:space="preserve">JRC GSW water permanence fraction (percentage of months with surface water detected, 1984–2020)</w:t>
      </w:r>
    </w:p>
    <w:p>
      <w:pPr>
        <w:pStyle w:val="Compact"/>
        <w:numPr>
          <w:ilvl w:val="0"/>
          <w:numId w:val="1003"/>
        </w:numPr>
      </w:pPr>
      <w:r>
        <w:rPr>
          <w:rFonts w:ascii="Arial" w:hAnsi="Arial"/>
        </w:rPr>
        <w:t xml:space="preserve">ERA5 maximum 10-m wind speed (scalar: sqrt(u² + v²)), monthly maximum in dB-analogue scaling</w:t>
      </w:r>
    </w:p>
    <w:p>
      <w:pPr>
        <w:pStyle w:val="Compact"/>
        <w:numPr>
          <w:ilvl w:val="0"/>
          <w:numId w:val="1003"/>
        </w:numPr>
      </w:pPr>
      <w:r>
        <w:rPr>
          <w:rFonts w:ascii="Arial" w:hAnsi="Arial"/>
        </w:rPr>
        <w:t xml:space="preserve">Days since nearest IBTrACS-recorded cyclone landfall within 200 km radius (categorical: ≤30, 31–60, &gt;60 days, encoded as ordinal integer)</w:t>
      </w:r>
    </w:p>
    <w:p>
      <w:pPr>
        <w:pStyle w:val="FirstParagraph"/>
      </w:pPr>
      <w:r>
        <w:rPr>
          <w:rFonts w:ascii="Arial" w:hAnsi="Arial"/>
        </w:rP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rFonts w:ascii="Arial" w:hAnsi="Arial"/>
          <w:b/>
          <w:bCs/>
        </w:rPr>
        <w:t xml:space="preserve">Training labels:</w:t>
      </w:r>
      <w:r>
        <w:rPr>
          <w:rFonts w:ascii="Arial" w:hAnsi="Arial"/>
        </w:rPr>
        <w:t xml:space="preserve"> </w:t>
      </w:r>
      <w:r>
        <w:rPr>
          <w:rFonts w:ascii="Arial" w:hAnsi="Arial"/>
        </w:rP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rFonts w:ascii="Arial" w:hAnsi="Arial"/>
          <w:b/>
          <w:bCs/>
        </w:rPr>
        <w:t xml:space="preserve">Classifier configuration and cross-validation:</w:t>
      </w:r>
      <w:r>
        <w:rPr>
          <w:rFonts w:ascii="Arial" w:hAnsi="Arial"/>
        </w:rPr>
        <w:t xml:space="preserve"> </w:t>
      </w:r>
      <w:r>
        <w:rPr>
          <w:rFonts w:ascii="Arial" w:hAnsi="Arial"/>
        </w:rPr>
        <w:t xml:space="preserve">A random-forest classifier (Breiman, 2001) is trained using a 70/30 stratified random split (fixed</w:t>
      </w:r>
      <w:r>
        <w:rPr>
          <w:rFonts w:ascii="Arial" w:hAnsi="Arial"/>
        </w:rPr>
        <w:t xml:space="preserve"> </w:t>
      </w:r>
      <w:r>
        <w:rPr>
          <w:rStyle w:val="VerbatimChar"/>
          <w:rFonts w:ascii="Arial" w:hAnsi="Arial"/>
        </w:rPr>
        <w:t xml:space="preserve">seed = 2026</w:t>
      </w:r>
      <w:r>
        <w:rPr>
          <w:rFonts w:ascii="Arial" w:hAnsi="Arial"/>
        </w:rP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rPr>
          <w:rFonts w:ascii="Arial" w:hAnsi="Arial"/>
        </w:rPr>
        <w:t xml:space="preserve"> </w:t>
      </w:r>
      <w:r>
        <w:rPr>
          <w:rStyle w:val="VerbatimChar"/>
          <w:rFonts w:ascii="Arial" w:hAnsi="Arial"/>
        </w:rPr>
        <w:t xml:space="preserve">ee.Classifier.smileRandomForest</w:t>
      </w:r>
      <w:r>
        <w:rPr>
          <w:rFonts w:ascii="Arial" w:hAnsi="Arial"/>
        </w:rPr>
        <w:t xml:space="preserve"> </w:t>
      </w:r>
      <w:r>
        <w:rPr>
          <w:rFonts w:ascii="Arial" w:hAnsi="Arial"/>
        </w:rPr>
        <w:t xml:space="preserve">function with the selected hyperparameters.</w:t>
      </w:r>
    </w:p>
    <w:bookmarkEnd w:id="33"/>
    <w:bookmarkStart w:id="34" w:name="phenology-extraction"/>
    <w:p>
      <w:pPr>
        <w:pStyle w:val="Heading3"/>
      </w:pPr>
      <w:r>
        <w:rPr>
          <w:rFonts w:ascii="Arial" w:hAnsi="Arial"/>
        </w:rPr>
        <w:t xml:space="preserve">3.4 Phenology Extraction</w:t>
      </w:r>
    </w:p>
    <w:p>
      <w:pPr>
        <w:pStyle w:val="FirstParagraph"/>
      </w:pPr>
      <w:r>
        <w:rPr>
          <w:rFonts w:ascii="Arial" w:hAnsi="Arial"/>
          <w:b/>
          <w:bCs/>
        </w:rPr>
        <w:t xml:space="preserve">Time-series smoothing:</w:t>
      </w:r>
      <w:r>
        <w:rPr>
          <w:rFonts w:ascii="Arial" w:hAnsi="Arial"/>
        </w:rPr>
        <w:t xml:space="preserve"> </w:t>
      </w:r>
      <w:r>
        <w:rPr>
          <w:rFonts w:ascii="Arial" w:hAnsi="Arial"/>
        </w:rP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rFonts w:ascii="Arial" w:hAnsi="Arial"/>
          <w:b/>
          <w:bCs/>
        </w:rPr>
        <w:t xml:space="preserve">Double-logistic curve fitting:</w:t>
      </w:r>
      <w:r>
        <w:rPr>
          <w:rFonts w:ascii="Arial" w:hAnsi="Arial"/>
        </w:rPr>
        <w:t xml:space="preserve"> </w:t>
      </w:r>
      <w:r>
        <w:rPr>
          <w:rFonts w:ascii="Arial" w:hAnsi="Arial"/>
        </w:rPr>
        <w:t xml:space="preserve">Following time-series smoothing, phenological transition dates are extracted using the double-logistic function of Beck et al. (2006):</w:t>
      </w:r>
    </w:p>
    <w:p>
      <w:pPr>
        <w:pStyle w:val="BodyText"/>
      </w:pPr>
      <m:oMathPara>
        <m:oMathParaPr>
          <m:jc m:val="center"/>
        </m:oMathParaPr>
        <m:oMath>
          <m:r>
            <m:t>y</m:t>
          </m:r>
          <m:d>
            <m:dPr>
              <m:begChr m:val="("/>
              <m:endChr m:val=")"/>
              <m:sepChr m:val=""/>
              <m:grow/>
            </m:dPr>
            <m:e>
              <m:r>
                <m:t>t</m:t>
              </m:r>
            </m:e>
          </m:d>
          <m:r>
            <m:rPr>
              <m:sty m:val="p"/>
            </m:rPr>
            <m:t>=</m:t>
          </m:r>
          <m:sSub>
            <m:e>
              <m:r>
                <m:t>c</m:t>
              </m:r>
            </m:e>
            <m:sub>
              <m:r>
                <m:t>1</m:t>
              </m:r>
            </m:sub>
          </m:sSub>
          <m:r>
            <m:rPr>
              <m:sty m:val="p"/>
            </m:rPr>
            <m:t>+</m:t>
          </m:r>
          <m:sSub>
            <m:e>
              <m:r>
                <m:t>c</m:t>
              </m:r>
            </m:e>
            <m:sub>
              <m:r>
                <m:t>2</m:t>
              </m:r>
            </m:sub>
          </m:sSub>
          <m:d>
            <m:dPr>
              <m:begChr m:val="["/>
              <m:endChr m:val="]"/>
              <m:sepChr m:val=""/>
              <m:grow/>
            </m:dPr>
            <m:e>
              <m:f>
                <m:fPr>
                  <m:type m:val="bar"/>
                </m:fPr>
                <m:num>
                  <m:r>
                    <m:t>1</m:t>
                  </m:r>
                </m:num>
                <m:den>
                  <m:r>
                    <m:t>1</m:t>
                  </m:r>
                  <m:r>
                    <m:rPr>
                      <m:sty m:val="p"/>
                    </m:rPr>
                    <m:t>+</m:t>
                  </m:r>
                  <m:sSup>
                    <m:e>
                      <m:r>
                        <m:t>e</m:t>
                      </m:r>
                    </m:e>
                    <m:sup>
                      <m:r>
                        <m:rPr>
                          <m:sty m:val="p"/>
                        </m:rPr>
                        <m:t>−</m:t>
                      </m:r>
                      <m:sSub>
                        <m:e>
                          <m:r>
                            <m:t>k</m:t>
                          </m:r>
                        </m:e>
                        <m:sub>
                          <m:r>
                            <m:t>1</m:t>
                          </m:r>
                        </m:sub>
                      </m:sSub>
                      <m:d>
                        <m:dPr>
                          <m:begChr m:val="("/>
                          <m:endChr m:val=")"/>
                          <m:sepChr m:val=""/>
                          <m:grow/>
                        </m:dPr>
                        <m:e>
                          <m:r>
                            <m:t>t</m:t>
                          </m:r>
                          <m:r>
                            <m:rPr>
                              <m:sty m:val="p"/>
                            </m:rPr>
                            <m:t>−</m:t>
                          </m:r>
                          <m:sSub>
                            <m:e>
                              <m:r>
                                <m:t>t</m:t>
                              </m:r>
                            </m:e>
                            <m:sub>
                              <m:r>
                                <m:t>1</m:t>
                              </m:r>
                            </m:sub>
                          </m:sSub>
                        </m:e>
                      </m:d>
                    </m:sup>
                  </m:sSup>
                </m:den>
              </m:f>
              <m:r>
                <m:rPr>
                  <m:sty m:val="p"/>
                </m:rPr>
                <m:t>−</m:t>
              </m:r>
              <m:f>
                <m:fPr>
                  <m:type m:val="bar"/>
                </m:fPr>
                <m:num>
                  <m:r>
                    <m:t>1</m:t>
                  </m:r>
                </m:num>
                <m:den>
                  <m:r>
                    <m:t>1</m:t>
                  </m:r>
                  <m:r>
                    <m:rPr>
                      <m:sty m:val="p"/>
                    </m:rPr>
                    <m:t>+</m:t>
                  </m:r>
                  <m:sSup>
                    <m:e>
                      <m:r>
                        <m:t>e</m:t>
                      </m:r>
                    </m:e>
                    <m:sup>
                      <m:r>
                        <m:rPr>
                          <m:sty m:val="p"/>
                        </m:rPr>
                        <m:t>−</m:t>
                      </m:r>
                      <m:sSub>
                        <m:e>
                          <m:r>
                            <m:t>k</m:t>
                          </m:r>
                        </m:e>
                        <m:sub>
                          <m:r>
                            <m:t>2</m:t>
                          </m:r>
                        </m:sub>
                      </m:sSub>
                      <m:d>
                        <m:dPr>
                          <m:begChr m:val="("/>
                          <m:endChr m:val=")"/>
                          <m:sepChr m:val=""/>
                          <m:grow/>
                        </m:dPr>
                        <m:e>
                          <m:r>
                            <m:t>t</m:t>
                          </m:r>
                          <m:r>
                            <m:rPr>
                              <m:sty m:val="p"/>
                            </m:rPr>
                            <m:t>−</m:t>
                          </m:r>
                          <m:sSub>
                            <m:e>
                              <m:r>
                                <m:t>t</m:t>
                              </m:r>
                            </m:e>
                            <m:sub>
                              <m:r>
                                <m:t>2</m:t>
                              </m:r>
                            </m:sub>
                          </m:sSub>
                        </m:e>
                      </m:d>
                    </m:sup>
                  </m:sSup>
                </m:den>
              </m:f>
            </m:e>
          </m:d>
          <m:r>
            <m:t> </m:t>
          </m:r>
          <m:d>
            <m:dPr>
              <m:begChr m:val="("/>
              <m:endChr m:val=")"/>
              <m:sepChr m:val=""/>
              <m:grow/>
            </m:dPr>
            <m:e>
              <m:r>
                <m:t>2</m:t>
              </m:r>
            </m:e>
          </m:d>
        </m:oMath>
      </m:oMathPara>
    </w:p>
    <w:p>
      <w:pPr>
        <w:pStyle w:val="FirstParagraph"/>
      </w:pPr>
      <w:r>
        <w:rPr>
          <w:rFonts w:ascii="Arial" w:hAnsi="Arial"/>
        </w:rPr>
        <w:t xml:space="preserve">where</w:t>
      </w:r>
      <w:r>
        <w:rPr>
          <w:rFonts w:ascii="Arial" w:hAnsi="Arial"/>
        </w:rPr>
        <w:t xml:space="preserve"> </w:t>
      </w:r>
      <m:oMath>
        <m:r>
          <m:t>y</m:t>
        </m:r>
        <m:d>
          <m:dPr>
            <m:begChr m:val="("/>
            <m:endChr m:val=")"/>
            <m:sepChr m:val=""/>
            <m:grow/>
          </m:dPr>
          <m:e>
            <m:r>
              <m:t>t</m:t>
            </m:r>
          </m:e>
        </m:d>
      </m:oMath>
      <w:r>
        <w:rPr>
          <w:rFonts w:ascii="Arial" w:hAnsi="Arial"/>
        </w:rPr>
        <w:t xml:space="preserve"> </w:t>
      </w:r>
      <w:r>
        <w:rPr>
          <w:rFonts w:ascii="Arial" w:hAnsi="Arial"/>
        </w:rPr>
        <w:t xml:space="preserve">is the fitted vegetation/backscatter index at time</w:t>
      </w:r>
      <w:r>
        <w:rPr>
          <w:rFonts w:ascii="Arial" w:hAnsi="Arial"/>
        </w:rPr>
        <w:t xml:space="preserve"> </w:t>
      </w:r>
      <m:oMath>
        <m:r>
          <m:t>t</m:t>
        </m:r>
      </m:oMath>
      <w:r>
        <w:rPr>
          <w:rFonts w:ascii="Arial" w:hAnsi="Arial"/>
        </w:rPr>
        <w:t xml:space="preserve">;</w:t>
      </w:r>
      <w:r>
        <w:rPr>
          <w:rFonts w:ascii="Arial" w:hAnsi="Arial"/>
        </w:rPr>
        <w:t xml:space="preserve"> </w:t>
      </w:r>
      <m:oMath>
        <m:sSub>
          <m:e>
            <m:r>
              <m:t>c</m:t>
            </m:r>
          </m:e>
          <m:sub>
            <m:r>
              <m:t>1</m:t>
            </m:r>
          </m:sub>
        </m:sSub>
      </m:oMath>
      <w:r>
        <w:rPr>
          <w:rFonts w:ascii="Arial" w:hAnsi="Arial"/>
        </w:rPr>
        <w:t xml:space="preserve"> </w:t>
      </w:r>
      <w:r>
        <w:rPr>
          <w:rFonts w:ascii="Arial" w:hAnsi="Arial"/>
        </w:rPr>
        <w:t xml:space="preserve">is the background level;</w:t>
      </w:r>
      <w:r>
        <w:rPr>
          <w:rFonts w:ascii="Arial" w:hAnsi="Arial"/>
        </w:rPr>
        <w:t xml:space="preserve"> </w:t>
      </w:r>
      <m:oMath>
        <m:sSub>
          <m:e>
            <m:r>
              <m:t>c</m:t>
            </m:r>
          </m:e>
          <m:sub>
            <m:r>
              <m:t>2</m:t>
            </m:r>
          </m:sub>
        </m:sSub>
      </m:oMath>
      <w:r>
        <w:rPr>
          <w:rFonts w:ascii="Arial" w:hAnsi="Arial"/>
        </w:rPr>
        <w:t xml:space="preserve"> </w:t>
      </w:r>
      <w:r>
        <w:rPr>
          <w:rFonts w:ascii="Arial" w:hAnsi="Arial"/>
        </w:rPr>
        <w:t xml:space="preserve">is the seasonal amplitude;</w:t>
      </w:r>
      <w:r>
        <w:rPr>
          <w:rFonts w:ascii="Arial" w:hAnsi="Arial"/>
        </w:rPr>
        <w:t xml:space="preserve"> </w:t>
      </w:r>
      <m:oMath>
        <m:sSub>
          <m:e>
            <m:r>
              <m:t>k</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k</m:t>
            </m:r>
          </m:e>
          <m:sub>
            <m:r>
              <m:t>2</m:t>
            </m:r>
          </m:sub>
        </m:sSub>
      </m:oMath>
      <w:r>
        <w:rPr>
          <w:rFonts w:ascii="Arial" w:hAnsi="Arial"/>
        </w:rPr>
        <w:t xml:space="preserve"> </w:t>
      </w:r>
      <w:r>
        <w:rPr>
          <w:rFonts w:ascii="Arial" w:hAnsi="Arial"/>
        </w:rPr>
        <w:t xml:space="preserve">are the rates of green-up and senescence respectively; and</w:t>
      </w:r>
      <w:r>
        <w:rPr>
          <w:rFonts w:ascii="Arial" w:hAnsi="Arial"/>
        </w:rPr>
        <w:t xml:space="preserve"> </w:t>
      </w:r>
      <m:oMath>
        <m:sSub>
          <m:e>
            <m:r>
              <m:t>t</m:t>
            </m:r>
          </m:e>
          <m:sub>
            <m:r>
              <m:t>1</m:t>
            </m:r>
          </m:sub>
        </m:sSub>
      </m:oMath>
      <w:r>
        <w:rPr>
          <w:rFonts w:ascii="Arial" w:hAnsi="Arial"/>
        </w:rPr>
        <w:t xml:space="preserve"> </w:t>
      </w:r>
      <w:r>
        <w:rPr>
          <w:rFonts w:ascii="Arial" w:hAnsi="Arial"/>
        </w:rPr>
        <w:t xml:space="preserve">and</w:t>
      </w:r>
      <w:r>
        <w:rPr>
          <w:rFonts w:ascii="Arial" w:hAnsi="Arial"/>
        </w:rPr>
        <w:t xml:space="preserve"> </w:t>
      </w:r>
      <m:oMath>
        <m:sSub>
          <m:e>
            <m:r>
              <m:t>t</m:t>
            </m:r>
          </m:e>
          <m:sub>
            <m:r>
              <m:t>2</m:t>
            </m:r>
          </m:sub>
        </m:sSub>
      </m:oMath>
      <w:r>
        <w:rPr>
          <w:rFonts w:ascii="Arial" w:hAnsi="Arial"/>
        </w:rPr>
        <w:t xml:space="preserve"> </w:t>
      </w:r>
      <w:r>
        <w:rPr>
          <w:rFonts w:ascii="Arial" w:hAnsi="Arial"/>
        </w:rPr>
        <w:t xml:space="preserve">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4"/>
        </w:numPr>
      </w:pPr>
      <w:r>
        <w:rPr>
          <w:rFonts w:ascii="Arial" w:hAnsi="Arial"/>
          <w:b/>
          <w:bCs/>
        </w:rPr>
        <w:t xml:space="preserve">Start of Season (SOS):</w:t>
      </w:r>
      <w:r>
        <w:rPr>
          <w:rFonts w:ascii="Arial" w:hAnsi="Arial"/>
        </w:rPr>
        <w:t xml:space="preserve"> </w:t>
      </w:r>
      <w:r>
        <w:rPr>
          <w:rFonts w:ascii="Arial" w:hAnsi="Arial"/>
        </w:rPr>
        <w:t xml:space="preserve">the date at which the fitted signal reaches 20% of the seasonal amplitude above the background level on the ascending limb</w:t>
      </w:r>
    </w:p>
    <w:p>
      <w:pPr>
        <w:pStyle w:val="Compact"/>
        <w:numPr>
          <w:ilvl w:val="0"/>
          <w:numId w:val="1004"/>
        </w:numPr>
      </w:pPr>
      <w:r>
        <w:rPr>
          <w:rFonts w:ascii="Arial" w:hAnsi="Arial"/>
          <w:b/>
          <w:bCs/>
        </w:rPr>
        <w:t xml:space="preserve">Peak of Season (POS):</w:t>
      </w:r>
      <w:r>
        <w:rPr>
          <w:rFonts w:ascii="Arial" w:hAnsi="Arial"/>
        </w:rPr>
        <w:t xml:space="preserve"> </w:t>
      </w:r>
      <w:r>
        <w:rPr>
          <w:rFonts w:ascii="Arial" w:hAnsi="Arial"/>
        </w:rPr>
        <w:t xml:space="preserve">the date of maximum fitted signal</w:t>
      </w:r>
    </w:p>
    <w:p>
      <w:pPr>
        <w:pStyle w:val="Compact"/>
        <w:numPr>
          <w:ilvl w:val="0"/>
          <w:numId w:val="1004"/>
        </w:numPr>
      </w:pPr>
      <w:r>
        <w:rPr>
          <w:rFonts w:ascii="Arial" w:hAnsi="Arial"/>
          <w:b/>
          <w:bCs/>
        </w:rPr>
        <w:t xml:space="preserve">End of Season (EOS):</w:t>
      </w:r>
      <w:r>
        <w:rPr>
          <w:rFonts w:ascii="Arial" w:hAnsi="Arial"/>
        </w:rPr>
        <w:t xml:space="preserve"> </w:t>
      </w:r>
      <w:r>
        <w:rPr>
          <w:rFonts w:ascii="Arial" w:hAnsi="Arial"/>
        </w:rPr>
        <w:t xml:space="preserve">the date at which the fitted signal descends to 20% of the seasonal amplitude above the background level on the descending limb</w:t>
      </w:r>
    </w:p>
    <w:p>
      <w:pPr>
        <w:pStyle w:val="FirstParagraph"/>
      </w:pPr>
      <w:r>
        <w:rPr>
          <w:rFonts w:ascii="Arial" w:hAnsi="Arial"/>
        </w:rP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rFonts w:ascii="Arial" w:hAnsi="Arial"/>
          <w:b/>
          <w:bCs/>
        </w:rPr>
        <w:t xml:space="preserve">Pixel-level uncertainty quantification:</w:t>
      </w:r>
      <w:r>
        <w:rPr>
          <w:rFonts w:ascii="Arial" w:hAnsi="Arial"/>
        </w:rPr>
        <w:t xml:space="preserve"> </w:t>
      </w:r>
      <w:r>
        <w:rPr>
          <w:rFonts w:ascii="Arial" w:hAnsi="Arial"/>
        </w:rP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effect (§3.7.5).</w:t>
      </w:r>
    </w:p>
    <w:bookmarkEnd w:id="34"/>
    <w:bookmarkStart w:id="35" w:name="raw-vs.-corrected-phenological-pipeline"/>
    <w:p>
      <w:pPr>
        <w:pStyle w:val="Heading3"/>
      </w:pPr>
      <w:r>
        <w:rPr>
          <w:rFonts w:ascii="Arial" w:hAnsi="Arial"/>
        </w:rPr>
        <w:t xml:space="preserve">3.5 Raw vs. Corrected Phenological Pipeline</w:t>
      </w:r>
    </w:p>
    <w:p>
      <w:pPr>
        <w:pStyle w:val="FirstParagraph"/>
      </w:pPr>
      <w:r>
        <w:rPr>
          <w:rFonts w:ascii="Arial" w:hAnsi="Arial"/>
        </w:rPr>
        <w:t xml:space="preserve">Two parallel phenological retrieval pipelines are implemented to quantify the effect of the saline-flood correction:</w:t>
      </w:r>
    </w:p>
    <w:p>
      <w:pPr>
        <w:pStyle w:val="BodyText"/>
      </w:pPr>
      <w:r>
        <w:rPr>
          <w:rFonts w:ascii="Arial" w:hAnsi="Arial"/>
          <w:b/>
          <w:bCs/>
        </w:rPr>
        <w:t xml:space="preserve">Raw pipeline:</w:t>
      </w:r>
      <w:r>
        <w:rPr>
          <w:rFonts w:ascii="Arial" w:hAnsi="Arial"/>
        </w:rPr>
        <w:t xml:space="preserve"> </w:t>
      </w:r>
      <w:r>
        <w:rPr>
          <w:rFonts w:ascii="Arial" w:hAnsi="Arial"/>
        </w:rP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rFonts w:ascii="Arial" w:hAnsi="Arial"/>
          <w:b/>
          <w:bCs/>
        </w:rPr>
        <w:t xml:space="preserve">Corrected pipeline:</w:t>
      </w:r>
      <w:r>
        <w:rPr>
          <w:rFonts w:ascii="Arial" w:hAnsi="Arial"/>
        </w:rPr>
        <w:t xml:space="preserve"> </w:t>
      </w:r>
      <w:r>
        <w:rPr>
          <w:rFonts w:ascii="Arial" w:hAnsi="Arial"/>
        </w:rP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rFonts w:ascii="Arial" w:hAnsi="Arial"/>
          <w:b/>
          <w:bCs/>
        </w:rPr>
        <w:t xml:space="preserve">Correction operator:</w:t>
      </w:r>
      <w:r>
        <w:rPr>
          <w:rFonts w:ascii="Arial" w:hAnsi="Arial"/>
        </w:rPr>
        <w:t xml:space="preserve"> </w:t>
      </w:r>
      <w:r>
        <w:rPr>
          <w:rFonts w:ascii="Arial" w:hAnsi="Arial"/>
        </w:rPr>
        <w:t xml:space="preserve">The effect of the correction can be formalised as a phenological date operator. Let</w:t>
      </w:r>
      <w:r>
        <w:rPr>
          <w:rFonts w:ascii="Arial" w:hAnsi="Arial"/>
        </w:rPr>
        <w:t xml:space="preserve"> </w:t>
      </w:r>
      <m:oMath>
        <m:sSub>
          <m:e>
            <m:acc>
              <m:accPr>
                <m:chr m:val="̂"/>
              </m:accPr>
              <m:e>
                <m:r>
                  <m:t>D</m:t>
                </m:r>
              </m:e>
            </m:acc>
          </m:e>
          <m:sub>
            <m:r>
              <m:t>r</m:t>
            </m:r>
            <m:r>
              <m:t>a</m:t>
            </m:r>
            <m:r>
              <m:t>w</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raw SOS date estimate for pixel</w:t>
      </w:r>
      <w:r>
        <w:rPr>
          <w:rFonts w:ascii="Arial" w:hAnsi="Arial"/>
        </w:rPr>
        <w:t xml:space="preserve"> </w:t>
      </w:r>
      <m:oMath>
        <m:r>
          <m:t>i</m:t>
        </m:r>
      </m:oMath>
      <w:r>
        <w:rPr>
          <w:rFonts w:ascii="Arial" w:hAnsi="Arial"/>
        </w:rPr>
        <w:t xml:space="preserve"> </w:t>
      </w:r>
      <w:r>
        <w:rPr>
          <w:rFonts w:ascii="Arial" w:hAnsi="Arial"/>
        </w:rPr>
        <w:t xml:space="preserve">in year</w:t>
      </w:r>
      <w:r>
        <w:rPr>
          <w:rFonts w:ascii="Arial" w:hAnsi="Arial"/>
        </w:rPr>
        <w:t xml:space="preserve"> </w:t>
      </w:r>
      <m:oMath>
        <m:r>
          <m:t>y</m:t>
        </m:r>
      </m:oMath>
      <w:r>
        <w:rPr>
          <w:rFonts w:ascii="Arial" w:hAnsi="Arial"/>
        </w:rPr>
        <w:t xml:space="preserve">, and let</w:t>
      </w:r>
      <w:r>
        <w:rPr>
          <w:rFonts w:ascii="Arial" w:hAnsi="Arial"/>
        </w:rPr>
        <w:t xml:space="preserve"> </w:t>
      </w:r>
      <m:oMath>
        <m:sSub>
          <m:e>
            <m:acc>
              <m:accPr>
                <m:chr m:val="̂"/>
              </m:accPr>
              <m:e>
                <m:r>
                  <m:t>D</m:t>
                </m:r>
              </m:e>
            </m:acc>
          </m:e>
          <m:sub>
            <m:r>
              <m:t>c</m:t>
            </m:r>
            <m:r>
              <m:t>o</m:t>
            </m:r>
            <m:r>
              <m:t>r</m:t>
            </m:r>
            <m:r>
              <m:t>r</m:t>
            </m:r>
          </m:sub>
        </m:sSub>
        <m:d>
          <m:dPr>
            <m:begChr m:val="("/>
            <m:endChr m:val=")"/>
            <m:sepChr m:val=""/>
            <m:grow/>
          </m:dPr>
          <m:e>
            <m:r>
              <m:t>i</m:t>
            </m:r>
            <m:r>
              <m:rPr>
                <m:sty m:val="p"/>
              </m:rPr>
              <m:t>,</m:t>
            </m:r>
            <m:r>
              <m:t>y</m:t>
            </m:r>
          </m:e>
        </m:d>
      </m:oMath>
      <w:r>
        <w:rPr>
          <w:rFonts w:ascii="Arial" w:hAnsi="Arial"/>
        </w:rPr>
        <w:t xml:space="preserve"> </w:t>
      </w:r>
      <w:r>
        <w:rPr>
          <w:rFonts w:ascii="Arial" w:hAnsi="Arial"/>
        </w:rPr>
        <w:t xml:space="preserve">denote the corrected SOS estimate. The correction bias</w:t>
      </w:r>
      <w:r>
        <w:rPr>
          <w:rFonts w:ascii="Arial" w:hAnsi="Arial"/>
        </w:rPr>
        <w:t xml:space="preserve"> </w:t>
      </w:r>
      <m:oMath>
        <m:r>
          <m:t>Δ</m:t>
        </m:r>
        <m:r>
          <m:t>D</m:t>
        </m:r>
        <m:d>
          <m:dPr>
            <m:begChr m:val="("/>
            <m:endChr m:val=")"/>
            <m:sepChr m:val=""/>
            <m:grow/>
          </m:dPr>
          <m:e>
            <m:r>
              <m:t>i</m:t>
            </m:r>
            <m:r>
              <m:rPr>
                <m:sty m:val="p"/>
              </m:rPr>
              <m:t>,</m:t>
            </m:r>
            <m:r>
              <m:t>y</m:t>
            </m:r>
          </m:e>
        </m:d>
      </m:oMath>
      <w:r>
        <w:rPr>
          <w:rFonts w:ascii="Arial" w:hAnsi="Arial"/>
        </w:rPr>
        <w:t xml:space="preserve"> </w:t>
      </w:r>
      <w:r>
        <w:rPr>
          <w:rFonts w:ascii="Arial" w:hAnsi="Arial"/>
        </w:rPr>
        <w:t xml:space="preserve">is defined as:</w:t>
      </w:r>
    </w:p>
    <w:p>
      <w:pPr>
        <w:pStyle w:val="BodyText"/>
      </w:pPr>
      <m:oMathPara>
        <m:oMathParaPr>
          <m:jc m:val="center"/>
        </m:oMathParaPr>
        <m:oMath>
          <m:r>
            <m:t>Δ</m:t>
          </m:r>
          <m:r>
            <m:t>D</m:t>
          </m:r>
          <m:d>
            <m:dPr>
              <m:begChr m:val="("/>
              <m:endChr m:val=")"/>
              <m:sepChr m:val=""/>
              <m:grow/>
            </m:dPr>
            <m:e>
              <m:r>
                <m:t>i</m:t>
              </m:r>
              <m:r>
                <m:rPr>
                  <m:sty m:val="p"/>
                </m:rPr>
                <m:t>,</m:t>
              </m:r>
              <m:r>
                <m:t>y</m:t>
              </m:r>
            </m:e>
          </m:d>
          <m:r>
            <m:rPr>
              <m:sty m:val="p"/>
            </m:rPr>
            <m:t>=</m:t>
          </m:r>
          <m:sSub>
            <m:e>
              <m:acc>
                <m:accPr>
                  <m:chr m:val="̂"/>
                </m:accPr>
                <m:e>
                  <m:r>
                    <m:t>D</m:t>
                  </m:r>
                </m:e>
              </m:acc>
            </m:e>
            <m:sub>
              <m:r>
                <m:t>c</m:t>
              </m:r>
              <m:r>
                <m:t>o</m:t>
              </m:r>
              <m:r>
                <m:t>r</m:t>
              </m:r>
              <m:r>
                <m:t>r</m:t>
              </m:r>
            </m:sub>
          </m:sSub>
          <m:d>
            <m:dPr>
              <m:begChr m:val="("/>
              <m:endChr m:val=")"/>
              <m:sepChr m:val=""/>
              <m:grow/>
            </m:dPr>
            <m:e>
              <m:r>
                <m:t>i</m:t>
              </m:r>
              <m:r>
                <m:rPr>
                  <m:sty m:val="p"/>
                </m:rPr>
                <m:t>,</m:t>
              </m:r>
              <m:r>
                <m:t>y</m:t>
              </m:r>
            </m:e>
          </m:d>
          <m:r>
            <m:rPr>
              <m:sty m:val="p"/>
            </m:rPr>
            <m:t>−</m:t>
          </m:r>
          <m:sSub>
            <m:e>
              <m:acc>
                <m:accPr>
                  <m:chr m:val="̂"/>
                </m:accPr>
                <m:e>
                  <m:r>
                    <m:t>D</m:t>
                  </m:r>
                </m:e>
              </m:acc>
            </m:e>
            <m:sub>
              <m:r>
                <m:t>r</m:t>
              </m:r>
              <m:r>
                <m:t>a</m:t>
              </m:r>
              <m:r>
                <m:t>w</m:t>
              </m:r>
            </m:sub>
          </m:sSub>
          <m:d>
            <m:dPr>
              <m:begChr m:val="("/>
              <m:endChr m:val=")"/>
              <m:sepChr m:val=""/>
              <m:grow/>
            </m:dPr>
            <m:e>
              <m:r>
                <m:t>i</m:t>
              </m:r>
              <m:r>
                <m:rPr>
                  <m:sty m:val="p"/>
                </m:rPr>
                <m:t>,</m:t>
              </m:r>
              <m:r>
                <m:t>y</m:t>
              </m:r>
            </m:e>
          </m:d>
          <m:r>
            <m:t> </m:t>
          </m:r>
          <m:d>
            <m:dPr>
              <m:begChr m:val="("/>
              <m:endChr m:val=")"/>
              <m:sepChr m:val=""/>
              <m:grow/>
            </m:dPr>
            <m:e>
              <m:r>
                <m:t>3</m:t>
              </m:r>
            </m:e>
          </m:d>
        </m:oMath>
      </m:oMathPara>
    </w:p>
    <w:p>
      <w:pPr>
        <w:pStyle w:val="FirstParagraph"/>
      </w:pPr>
      <w:r>
        <w:rPr>
          <w:rFonts w:ascii="Arial" w:hAnsi="Arial"/>
        </w:rPr>
        <w:t xml:space="preserve">Positive values of</w:t>
      </w:r>
      <w:r>
        <w:rPr>
          <w:rFonts w:ascii="Arial" w:hAnsi="Arial"/>
        </w:rPr>
        <w:t xml:space="preserve"> </w:t>
      </w:r>
      <m:oMath>
        <m:r>
          <m:t>Δ</m:t>
        </m:r>
        <m:r>
          <m:t>D</m:t>
        </m:r>
      </m:oMath>
      <w:r>
        <w:rPr>
          <w:rFonts w:ascii="Arial" w:hAnsi="Arial"/>
        </w:rPr>
        <w:t xml:space="preserve"> </w:t>
      </w:r>
      <w:r>
        <w:rPr>
          <w:rFonts w:ascii="Arial" w:hAnsi="Arial"/>
        </w:rPr>
        <w:t xml:space="preserve">indicate that the raw pipeline produced an artificially early SOS date. The spatial distribution of</w:t>
      </w:r>
      <w:r>
        <w:rPr>
          <w:rFonts w:ascii="Arial" w:hAnsi="Arial"/>
        </w:rPr>
        <w:t xml:space="preserve"> </w:t>
      </w:r>
      <m:oMath>
        <m:r>
          <m:t>Δ</m:t>
        </m:r>
        <m:r>
          <m:t>D</m:t>
        </m:r>
      </m:oMath>
      <w:r>
        <w:rPr>
          <w:rFonts w:ascii="Arial" w:hAnsi="Arial"/>
        </w:rPr>
        <w:t xml:space="preserve"> </w:t>
      </w:r>
      <w:r>
        <w:rPr>
          <w:rFonts w:ascii="Arial" w:hAnsi="Arial"/>
        </w:rPr>
        <w:t xml:space="preserve">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rPr>
          <w:rFonts w:ascii="Arial" w:hAnsi="Arial"/>
        </w:rPr>
        <w:t xml:space="preserve">3.6 Difference-in-Differences Identification</w:t>
      </w:r>
    </w:p>
    <w:p>
      <w:pPr>
        <w:pStyle w:val="FirstParagraph"/>
      </w:pPr>
      <w:r>
        <w:rPr>
          <w:rFonts w:ascii="Arial" w:hAnsi="Arial"/>
          <w:b/>
          <w:bCs/>
        </w:rPr>
        <w:t xml:space="preserve">Estimating equation.</w:t>
      </w:r>
      <w:r>
        <w:rPr>
          <w:rFonts w:ascii="Arial" w:hAnsi="Arial"/>
        </w:rPr>
        <w:t xml:space="preserve"> </w:t>
      </w:r>
      <w:r>
        <w:rPr>
          <w:rFonts w:ascii="Arial" w:hAnsi="Arial"/>
        </w:rPr>
        <w:t xml:space="preserve">For each (pipeline, phenometric) pair we estimate the canonical generalised 2 × 2 two-way fixed-effects difference-in-differences (TWFE-DiD) specification on the district × year panel:</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r>
            <m:t>τ</m:t>
          </m:r>
          <m:r>
            <m:rPr>
              <m:sty m:val="p"/>
            </m:rPr>
            <m:t>⋅</m:t>
          </m:r>
          <m:d>
            <m:dPr>
              <m:begChr m:val="("/>
              <m:endChr m:val=")"/>
              <m:sepChr m:val=""/>
              <m:grow/>
            </m:dPr>
            <m:e>
              <m:sSub>
                <m:e>
                  <m:r>
                    <m:rPr>
                      <m:nor/>
                      <m:sty m:val="p"/>
                    </m:rPr>
                    <m:t>Treat</m:t>
                  </m:r>
                </m:e>
                <m:sub>
                  <m:r>
                    <m:t>d</m:t>
                  </m:r>
                </m:sub>
              </m:sSub>
              <m:r>
                <m:rPr>
                  <m:sty m:val="p"/>
                </m:rPr>
                <m:t>×</m:t>
              </m:r>
              <m:sSub>
                <m:e>
                  <m:r>
                    <m:rPr>
                      <m:nor/>
                      <m:sty m:val="p"/>
                    </m:rPr>
                    <m:t>Post</m:t>
                  </m:r>
                </m:e>
                <m:sub>
                  <m:r>
                    <m:t>t</m:t>
                  </m:r>
                </m:sub>
              </m:sSub>
            </m:e>
          </m:d>
          <m:r>
            <m:rPr>
              <m:sty m:val="p"/>
            </m:rPr>
            <m:t>+</m:t>
          </m:r>
          <m:sSub>
            <m:e>
              <m:r>
                <m:t>ε</m:t>
              </m:r>
            </m:e>
            <m:sub>
              <m:r>
                <m:t>d</m:t>
              </m:r>
              <m:r>
                <m:t>t</m:t>
              </m:r>
            </m:sub>
          </m:sSub>
          <m:r>
            <m:t> </m:t>
          </m:r>
          <m:d>
            <m:dPr>
              <m:begChr m:val="("/>
              <m:endChr m:val=")"/>
              <m:sepChr m:val=""/>
              <m:grow/>
            </m:dPr>
            <m:e>
              <m:r>
                <m:t>4</m:t>
              </m:r>
            </m:e>
          </m:d>
        </m:oMath>
      </m:oMathPara>
    </w:p>
    <w:p>
      <w:pPr>
        <w:pStyle w:val="FirstParagraph"/>
      </w:pPr>
      <w:r>
        <w:rPr>
          <w:rFonts w:ascii="Arial" w:hAnsi="Arial"/>
        </w:rPr>
        <w:t xml:space="preserve">where</w:t>
      </w:r>
      <w:r>
        <w:rPr>
          <w:rFonts w:ascii="Arial" w:hAnsi="Arial"/>
        </w:rPr>
        <w:t xml:space="preserve"> </w:t>
      </w:r>
      <m:oMath>
        <m:sSub>
          <m:e>
            <m:r>
              <m:t>Y</m:t>
            </m:r>
          </m:e>
          <m:sub>
            <m:r>
              <m:t>d</m:t>
            </m:r>
            <m:r>
              <m:t>t</m:t>
            </m:r>
          </m:sub>
        </m:sSub>
      </m:oMath>
      <w:r>
        <w:rPr>
          <w:rFonts w:ascii="Arial" w:hAnsi="Arial"/>
        </w:rPr>
        <w:t xml:space="preserve"> </w:t>
      </w:r>
      <w:r>
        <w:rPr>
          <w:rFonts w:ascii="Arial" w:hAnsi="Arial"/>
        </w:rPr>
        <w:t xml:space="preserve">is the median pixel-level phenology metric (SOS, POS, or EOS, in day-of-year) for district</w:t>
      </w:r>
      <w:r>
        <w:rPr>
          <w:rFonts w:ascii="Arial" w:hAnsi="Arial"/>
        </w:rPr>
        <w:t xml:space="preserve"> </w:t>
      </w:r>
      <m:oMath>
        <m:r>
          <m:t>d</m:t>
        </m:r>
      </m:oMath>
      <w:r>
        <w:rPr>
          <w:rFonts w:ascii="Arial" w:hAnsi="Arial"/>
        </w:rPr>
        <w:t xml:space="preserve"> </w:t>
      </w:r>
      <w:r>
        <w:rPr>
          <w:rFonts w:ascii="Arial" w:hAnsi="Arial"/>
        </w:rPr>
        <w:t xml:space="preserve">in year</w:t>
      </w:r>
      <w:r>
        <w:rPr>
          <w:rFonts w:ascii="Arial" w:hAnsi="Arial"/>
        </w:rPr>
        <w:t xml:space="preserve"> </w:t>
      </w:r>
      <m:oMath>
        <m:r>
          <m:t>t</m:t>
        </m:r>
      </m:oMath>
      <w:r>
        <w:rPr>
          <w:rFonts w:ascii="Arial" w:hAnsi="Arial"/>
        </w:rPr>
        <w:t xml:space="preserve">;</w:t>
      </w:r>
      <w:r>
        <w:rPr>
          <w:rFonts w:ascii="Arial" w:hAnsi="Arial"/>
        </w:rPr>
        <w:t xml:space="preserve"> </w:t>
      </w:r>
      <m:oMath>
        <m:sSub>
          <m:e>
            <m:r>
              <m:t>α</m:t>
            </m:r>
          </m:e>
          <m:sub>
            <m:r>
              <m:t>d</m:t>
            </m:r>
          </m:sub>
        </m:sSub>
      </m:oMath>
      <w:r>
        <w:rPr>
          <w:rFonts w:ascii="Arial" w:hAnsi="Arial"/>
        </w:rPr>
        <w:t xml:space="preserve"> </w:t>
      </w:r>
      <w:r>
        <w:rPr>
          <w:rFonts w:ascii="Arial" w:hAnsi="Arial"/>
        </w:rPr>
        <w:t xml:space="preserve">is a district fixed effect absorbing all time-invariant district heterogeneity (baseline rainfall, soil class, elevation, latitudinal climatology);</w:t>
      </w:r>
      <w:r>
        <w:rPr>
          <w:rFonts w:ascii="Arial" w:hAnsi="Arial"/>
        </w:rPr>
        <w:t xml:space="preserve"> </w:t>
      </w:r>
      <m:oMath>
        <m:sSub>
          <m:e>
            <m:r>
              <m:t>γ</m:t>
            </m:r>
          </m:e>
          <m:sub>
            <m:r>
              <m:t>t</m:t>
            </m:r>
          </m:sub>
        </m:sSub>
      </m:oMath>
      <w:r>
        <w:rPr>
          <w:rFonts w:ascii="Arial" w:hAnsi="Arial"/>
        </w:rPr>
        <w:t xml:space="preserve"> </w:t>
      </w:r>
      <w:r>
        <w:rPr>
          <w:rFonts w:ascii="Arial" w:hAnsi="Arial"/>
        </w:rPr>
        <w:t xml:space="preserve">is a year fixed effect absorbing common shocks (monsoon-onset anomalies, ENSO state, pan-Odisha policy changes);</w:t>
      </w:r>
      <w:r>
        <w:rPr>
          <w:rFonts w:ascii="Arial" w:hAnsi="Arial"/>
        </w:rPr>
        <w:t xml:space="preserve"> </w:t>
      </w:r>
      <m:oMath>
        <m:sSub>
          <m:e>
            <m:r>
              <m:rPr>
                <m:nor/>
                <m:sty m:val="p"/>
              </m:rPr>
              <m:t>Treat</m:t>
            </m:r>
          </m:e>
          <m:sub>
            <m:r>
              <m:t>d</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five coastal-treatment districts (Balasore, Bhadrak, Kendrapara, Jagatsinghpur, Puri);</w:t>
      </w:r>
      <w:r>
        <w:rPr>
          <w:rFonts w:ascii="Arial" w:hAnsi="Arial"/>
        </w:rPr>
        <w:t xml:space="preserve"> </w:t>
      </w:r>
      <m:oMath>
        <m:sSub>
          <m:e>
            <m:r>
              <m:rPr>
                <m:nor/>
                <m:sty m:val="p"/>
              </m:rPr>
              <m:t>Post</m:t>
            </m:r>
          </m:e>
          <m:sub>
            <m:r>
              <m:t>t</m:t>
            </m:r>
          </m:sub>
        </m:sSub>
        <m:r>
          <m:rPr>
            <m:sty m:val="p"/>
          </m:rPr>
          <m:t>∈</m:t>
        </m:r>
        <m:r>
          <m:rPr>
            <m:sty m:val="p"/>
          </m:rPr>
          <m:t>{</m:t>
        </m:r>
        <m:r>
          <m:t>0</m:t>
        </m:r>
        <m:r>
          <m:rPr>
            <m:sty m:val="p"/>
          </m:rPr>
          <m:t>,</m:t>
        </m:r>
        <m:r>
          <m:t>1</m:t>
        </m:r>
        <m:r>
          <m:rPr>
            <m:sty m:val="p"/>
          </m:rPr>
          <m:t>}</m:t>
        </m:r>
      </m:oMath>
      <w:r>
        <w:rPr>
          <w:rFonts w:ascii="Arial" w:hAnsi="Arial"/>
        </w:rPr>
        <w:t xml:space="preserve"> </w:t>
      </w:r>
      <w:r>
        <w:rPr>
          <w:rFonts w:ascii="Arial" w:hAnsi="Arial"/>
        </w:rPr>
        <w:t xml:space="preserve">flags the three pre-Kharif cyclone years (2019 Fani, 2020 Amphan, 2021 Yaas); and</w:t>
      </w:r>
      <w:r>
        <w:rPr>
          <w:rFonts w:ascii="Arial" w:hAnsi="Arial"/>
        </w:rPr>
        <w:t xml:space="preserve"> </w:t>
      </w:r>
      <m:oMath>
        <m:r>
          <m:t>τ</m:t>
        </m:r>
      </m:oMath>
      <w:r>
        <w:rPr>
          <w:rFonts w:ascii="Arial" w:hAnsi="Arial"/>
        </w:rPr>
        <w:t xml:space="preserve"> </w:t>
      </w:r>
      <w:r>
        <w:rPr>
          <w:rFonts w:ascii="Arial" w:hAnsi="Arial"/>
        </w:rPr>
        <w:t xml:space="preserve">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w:t>
      </w:r>
      <w:r>
        <w:rPr>
          <w:rFonts w:ascii="Arial" w:hAnsi="Arial"/>
        </w:rPr>
        <w:t xml:space="preserve"> </w:t>
      </w:r>
      <m:oMath>
        <m:r>
          <m:t>t</m:t>
        </m:r>
      </m:oMath>
      <w:r>
        <w:rPr>
          <w:rFonts w:ascii="Arial" w:hAnsi="Arial"/>
        </w:rPr>
        <w:t xml:space="preserve">-test is reported only as a baseline — our preferred small-cluster inference is the wild-cluster restricted bootstrap of Cameron, Gelbach, and Miller (2008), described in §3.7.1.</w:t>
      </w:r>
    </w:p>
    <w:p>
      <w:pPr>
        <w:pStyle w:val="BodyText"/>
      </w:pPr>
      <w:r>
        <w:rPr>
          <w:rFonts w:ascii="Arial" w:hAnsi="Arial"/>
          <w:b/>
          <w:bCs/>
        </w:rPr>
        <w:t xml:space="preserve">Sample construction.</w:t>
      </w:r>
      <w:r>
        <w:rPr>
          <w:rFonts w:ascii="Arial" w:hAnsi="Arial"/>
        </w:rPr>
        <w:t xml:space="preserve"> </w:t>
      </w:r>
      <w:r>
        <w:rPr>
          <w:rFonts w:ascii="Arial" w:hAnsi="Arial"/>
        </w:rP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w:t>
      </w:r>
      <w:r>
        <w:rPr>
          <w:rFonts w:ascii="Arial" w:hAnsi="Arial"/>
        </w:rPr>
        <w:t xml:space="preserve"> </w:t>
      </w:r>
      <m:oMath>
        <m:r>
          <m:t>τ</m:t>
        </m:r>
      </m:oMath>
      <w:r>
        <w:rPr>
          <w:rFonts w:ascii="Arial" w:hAnsi="Arial"/>
        </w:rP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w:t>
      </w:r>
      <w:r>
        <w:rPr>
          <w:rFonts w:ascii="Arial" w:hAnsi="Arial"/>
        </w:rPr>
        <w:t xml:space="preserve"> </w:t>
      </w:r>
      <m:oMath>
        <m:r>
          <m:t>τ</m:t>
        </m:r>
      </m:oMath>
      <w:r>
        <w:rPr>
          <w:rFonts w:ascii="Arial" w:hAnsi="Arial"/>
        </w:rPr>
        <w:t xml:space="preserve"> </w:t>
      </w:r>
      <w:r>
        <w:rPr>
          <w:rFonts w:ascii="Arial" w:hAnsi="Arial"/>
        </w:rPr>
        <w:t xml:space="preserve">is estimated on 64 district-year observations after pipeline-and-metric subsetting, leaving 6 residual degrees of freedom after FE absorption.</w:t>
      </w:r>
    </w:p>
    <w:p>
      <w:pPr>
        <w:pStyle w:val="BodyText"/>
      </w:pPr>
      <w:r>
        <w:rPr>
          <w:rFonts w:ascii="Arial" w:hAnsi="Arial"/>
          <w:b/>
          <w:bCs/>
        </w:rPr>
        <w:t xml:space="preserve">Identifying assumptions.</w:t>
      </w:r>
      <w:r>
        <w:rPr>
          <w:rFonts w:ascii="Arial" w:hAnsi="Arial"/>
        </w:rPr>
        <w:t xml:space="preserve"> </w:t>
      </w:r>
      <w:r>
        <w:rPr>
          <w:rFonts w:ascii="Arial" w:hAnsi="Arial"/>
        </w:rPr>
        <w:t xml:space="preserve">Equation (4) identifies</w:t>
      </w:r>
      <w:r>
        <w:rPr>
          <w:rFonts w:ascii="Arial" w:hAnsi="Arial"/>
        </w:rPr>
        <w:t xml:space="preserve"> </w:t>
      </w:r>
      <m:oMath>
        <m:r>
          <m:t>τ</m:t>
        </m:r>
      </m:oMath>
      <w:r>
        <w:rPr>
          <w:rFonts w:ascii="Arial" w:hAnsi="Arial"/>
        </w:rPr>
        <w:t xml:space="preserve"> </w:t>
      </w:r>
      <w:r>
        <w:rPr>
          <w:rFonts w:ascii="Arial" w:hAnsi="Arial"/>
        </w:rPr>
        <w:t xml:space="preserve">under three assumptions.</w:t>
      </w:r>
      <w:r>
        <w:rPr>
          <w:rFonts w:ascii="Arial" w:hAnsi="Arial"/>
        </w:rPr>
        <w:t xml:space="preserve"> </w:t>
      </w:r>
      <w:r>
        <w:rPr>
          <w:rFonts w:ascii="Arial" w:hAnsi="Arial"/>
          <w:i/>
          <w:iCs/>
        </w:rPr>
        <w:t xml:space="preserve">Parallel trends</w:t>
      </w:r>
      <w:r>
        <w:rPr>
          <w:rFonts w:ascii="Arial" w:hAnsi="Arial"/>
        </w:rPr>
        <w:t xml:space="preserve">: conditional on FEs, treated and control districts would have followed the same trajectory absent treatment. We test this by regressing</w:t>
      </w:r>
      <w:r>
        <w:rPr>
          <w:rFonts w:ascii="Arial" w:hAnsi="Arial"/>
        </w:rPr>
        <w:t xml:space="preserve"> </w:t>
      </w:r>
      <m:oMath>
        <m:sSub>
          <m:e>
            <m:r>
              <m:t>Y</m:t>
            </m:r>
          </m:e>
          <m:sub>
            <m:r>
              <m:t>d</m:t>
            </m:r>
            <m:r>
              <m:t>t</m:t>
            </m:r>
          </m:sub>
        </m:sSub>
        <m:r>
          <m:rPr>
            <m:sty m:val="p"/>
          </m:rPr>
          <m:t>=</m:t>
        </m:r>
        <m:sSub>
          <m:e>
            <m:r>
              <m:t>α</m:t>
            </m:r>
          </m:e>
          <m:sub>
            <m:r>
              <m:t>d</m:t>
            </m:r>
          </m:sub>
        </m:sSub>
        <m:r>
          <m:rPr>
            <m:sty m:val="p"/>
          </m:rPr>
          <m:t>+</m:t>
        </m:r>
        <m:sSub>
          <m:e>
            <m:r>
              <m:t>β</m:t>
            </m:r>
          </m:e>
          <m:sub>
            <m:r>
              <m:t>1</m:t>
            </m:r>
          </m:sub>
        </m:sSub>
        <m:r>
          <m:t>t</m:t>
        </m:r>
        <m:r>
          <m:rPr>
            <m:sty m:val="p"/>
          </m:rPr>
          <m:t>+</m:t>
        </m:r>
        <m:sSub>
          <m:e>
            <m:r>
              <m:t>β</m:t>
            </m:r>
          </m:e>
          <m:sub>
            <m:r>
              <m:t>2</m:t>
            </m:r>
          </m:sub>
        </m:sSub>
        <m:d>
          <m:dPr>
            <m:begChr m:val="("/>
            <m:endChr m:val=")"/>
            <m:sepChr m:val=""/>
            <m:grow/>
          </m:dPr>
          <m:e>
            <m:r>
              <m:t>t</m:t>
            </m:r>
            <m:r>
              <m:rPr>
                <m:sty m:val="p"/>
              </m:rPr>
              <m:t>×</m:t>
            </m:r>
            <m:sSub>
              <m:e>
                <m:r>
                  <m:rPr>
                    <m:nor/>
                    <m:sty m:val="p"/>
                  </m:rPr>
                  <m:t>Treat</m:t>
                </m:r>
              </m:e>
              <m:sub>
                <m:r>
                  <m:t>d</m:t>
                </m:r>
              </m:sub>
            </m:sSub>
          </m:e>
        </m:d>
        <m:r>
          <m:rPr>
            <m:sty m:val="p"/>
          </m:rPr>
          <m:t>+</m:t>
        </m:r>
        <m:sSub>
          <m:e>
            <m:r>
              <m:t>ν</m:t>
            </m:r>
          </m:e>
          <m:sub>
            <m:r>
              <m:t>d</m:t>
            </m:r>
            <m:r>
              <m:t>t</m:t>
            </m:r>
          </m:sub>
        </m:sSub>
      </m:oMath>
      <w:r>
        <w:rPr>
          <w:rFonts w:ascii="Arial" w:hAnsi="Arial"/>
        </w:rPr>
        <w:t xml:space="preserve"> </w:t>
      </w:r>
      <w:r>
        <w:rPr>
          <w:rFonts w:ascii="Arial" w:hAnsi="Arial"/>
        </w:rPr>
        <w:t xml:space="preserve">on the pre-period sub-panel (</w:t>
      </w:r>
      <m:oMath>
        <m:r>
          <m:t>t</m:t>
        </m:r>
        <m:r>
          <m:rPr>
            <m:sty m:val="p"/>
          </m:rPr>
          <m:t>&lt;</m:t>
        </m:r>
        <m:r>
          <m:t>2019</m:t>
        </m:r>
      </m:oMath>
      <w:r>
        <w:rPr>
          <w:rFonts w:ascii="Arial" w:hAnsi="Arial"/>
        </w:rPr>
        <w:t xml:space="preserve">) and reporting</w:t>
      </w:r>
      <w:r>
        <w:rPr>
          <w:rFonts w:ascii="Arial" w:hAnsi="Arial"/>
        </w:rPr>
        <w:t xml:space="preserve"> </w:t>
      </w:r>
      <m:oMath>
        <m:sSub>
          <m:e>
            <m:r>
              <m:t>β</m:t>
            </m:r>
          </m:e>
          <m:sub>
            <m:r>
              <m:t>2</m:t>
            </m:r>
          </m:sub>
        </m:sSub>
      </m:oMath>
      <w:r>
        <w:rPr>
          <w:rFonts w:ascii="Arial" w:hAnsi="Arial"/>
        </w:rPr>
        <w:t xml:space="preserve"> </w:t>
      </w:r>
      <w:r>
        <w:rPr>
          <w:rFonts w:ascii="Arial" w:hAnsi="Arial"/>
        </w:rPr>
        <w:t xml:space="preserve">in Table S2; failure of parallel trends would manifest as a significant pre-trend coefficient.</w:t>
      </w:r>
      <w:r>
        <w:rPr>
          <w:rFonts w:ascii="Arial" w:hAnsi="Arial"/>
        </w:rPr>
        <w:t xml:space="preserve"> </w:t>
      </w:r>
      <w:r>
        <w:rPr>
          <w:rFonts w:ascii="Arial" w:hAnsi="Arial"/>
          <w:i/>
          <w:iCs/>
        </w:rPr>
        <w:t xml:space="preserve">No anticipation</w:t>
      </w:r>
      <w:r>
        <w:rPr>
          <w:rFonts w:ascii="Arial" w:hAnsi="Arial"/>
        </w:rP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rPr>
          <w:rFonts w:ascii="Arial" w:hAnsi="Arial"/>
        </w:rPr>
        <w:t xml:space="preserve"> </w:t>
      </w:r>
      <w:r>
        <w:rPr>
          <w:rFonts w:ascii="Arial" w:hAnsi="Arial"/>
          <w:i/>
          <w:iCs/>
        </w:rPr>
        <w:t xml:space="preserve">SUTVA / no spillovers</w:t>
      </w:r>
      <w:r>
        <w:rPr>
          <w:rFonts w:ascii="Arial" w:hAnsi="Arial"/>
        </w:rPr>
        <w:t xml:space="preserve">: treatment of district</w:t>
      </w:r>
      <w:r>
        <w:rPr>
          <w:rFonts w:ascii="Arial" w:hAnsi="Arial"/>
        </w:rPr>
        <w:t xml:space="preserve"> </w:t>
      </w:r>
      <m:oMath>
        <m:r>
          <m:t>d</m:t>
        </m:r>
      </m:oMath>
      <w:r>
        <w:rPr>
          <w:rFonts w:ascii="Arial" w:hAnsi="Arial"/>
        </w:rPr>
        <w:t xml:space="preserve"> </w:t>
      </w:r>
      <w:r>
        <w:rPr>
          <w:rFonts w:ascii="Arial" w:hAnsi="Arial"/>
        </w:rPr>
        <w:t xml:space="preserve">does not affect</w:t>
      </w:r>
      <w:r>
        <w:rPr>
          <w:rFonts w:ascii="Arial" w:hAnsi="Arial"/>
        </w:rPr>
        <w:t xml:space="preserve"> </w:t>
      </w:r>
      <m:oMath>
        <m:r>
          <m:t>Y</m:t>
        </m:r>
      </m:oMath>
      <w:r>
        <w:rPr>
          <w:rFonts w:ascii="Arial" w:hAnsi="Arial"/>
        </w:rPr>
        <w:t xml:space="preserve"> </w:t>
      </w:r>
      <w:r>
        <w:rPr>
          <w:rFonts w:ascii="Arial" w:hAnsi="Arial"/>
        </w:rPr>
        <w:t xml:space="preserve">in district</w:t>
      </w:r>
      <w:r>
        <w:rPr>
          <w:rFonts w:ascii="Arial" w:hAnsi="Arial"/>
        </w:rPr>
        <w:t xml:space="preserve"> </w:t>
      </w:r>
      <m:oMath>
        <m:r>
          <m:t>d</m:t>
        </m:r>
        <m:r>
          <m:rPr>
            <m:sty m:val="p"/>
          </m:rPr>
          <m:t>′</m:t>
        </m:r>
        <m:r>
          <m:rPr>
            <m:sty m:val="p"/>
          </m:rPr>
          <m:t>≠</m:t>
        </m:r>
        <m:r>
          <m:t>d</m:t>
        </m:r>
      </m:oMath>
      <w:r>
        <w:rPr>
          <w:rFonts w:ascii="Arial" w:hAnsi="Arial"/>
        </w:rPr>
        <w:t xml:space="preserve">.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w:t>
      </w:r>
      <w:r>
        <w:rPr>
          <w:rFonts w:ascii="Arial" w:hAnsi="Arial"/>
        </w:rPr>
        <w:t xml:space="preserve"> </w:t>
      </w:r>
      <m:oMath>
        <m:r>
          <m:t>Y</m:t>
        </m:r>
      </m:oMath>
      <w:r>
        <w:rPr>
          <w:rFonts w:ascii="Arial" w:hAnsi="Arial"/>
        </w:rPr>
        <w:t xml:space="preserve">) and through a robustness check that drops Cuttack — the closest control district to the coast — reported in the leave-one-out sensitivity (§3.7.3, Table S5).</w:t>
      </w:r>
    </w:p>
    <w:p>
      <w:pPr>
        <w:pStyle w:val="BodyText"/>
      </w:pPr>
      <w:r>
        <w:rPr>
          <w:rFonts w:ascii="Arial" w:hAnsi="Arial"/>
          <w:b/>
          <w:bCs/>
        </w:rPr>
        <w:t xml:space="preserve">Event study.</w:t>
      </w:r>
      <w:r>
        <w:rPr>
          <w:rFonts w:ascii="Arial" w:hAnsi="Arial"/>
        </w:rPr>
        <w:t xml:space="preserve"> </w:t>
      </w:r>
      <w:r>
        <w:rPr>
          <w:rFonts w:ascii="Arial" w:hAnsi="Arial"/>
        </w:rPr>
        <w:t xml:space="preserve">To probe dynamics and pre-trends jointly, we estimate</w:t>
      </w:r>
    </w:p>
    <w:p>
      <w:pPr>
        <w:pStyle w:val="BodyText"/>
      </w:pPr>
      <m:oMathPara>
        <m:oMathParaPr>
          <m:jc m:val="center"/>
        </m:oMathParaPr>
        <m:oMath>
          <m:sSub>
            <m:e>
              <m:r>
                <m:t>Y</m:t>
              </m:r>
            </m:e>
            <m:sub>
              <m:r>
                <m:t>d</m:t>
              </m:r>
              <m:r>
                <m:t>t</m:t>
              </m:r>
            </m:sub>
          </m:sSub>
          <m:r>
            <m:rPr>
              <m:sty m:val="p"/>
            </m:rPr>
            <m:t>=</m:t>
          </m:r>
          <m:sSub>
            <m:e>
              <m:r>
                <m:t>α</m:t>
              </m:r>
            </m:e>
            <m:sub>
              <m:r>
                <m:t>d</m:t>
              </m:r>
            </m:sub>
          </m:sSub>
          <m:r>
            <m:rPr>
              <m:sty m:val="p"/>
            </m:rPr>
            <m:t>+</m:t>
          </m:r>
          <m:sSub>
            <m:e>
              <m:r>
                <m:t>γ</m:t>
              </m:r>
            </m:e>
            <m:sub>
              <m:r>
                <m:t>t</m:t>
              </m:r>
            </m:sub>
          </m:sSub>
          <m:r>
            <m:rPr>
              <m:sty m:val="p"/>
            </m:rPr>
            <m:t>+</m:t>
          </m:r>
          <m:nary>
            <m:naryPr>
              <m:chr m:val="∑"/>
              <m:limLoc m:val="undOvr"/>
              <m:subHide m:val="off"/>
              <m:supHide m:val="on"/>
            </m:naryPr>
            <m:sub>
              <m:r>
                <m:t>k</m:t>
              </m:r>
              <m:r>
                <m:rPr>
                  <m:sty m:val="p"/>
                </m:rPr>
                <m:t>≠</m:t>
              </m:r>
              <m:r>
                <m:rPr>
                  <m:sty m:val="p"/>
                </m:rPr>
                <m:t>−</m:t>
              </m:r>
              <m:r>
                <m:t>1</m:t>
              </m:r>
            </m:sub>
            <m:sup>
              <m:r>
                <m:t>​</m:t>
              </m:r>
            </m:sup>
            <m:e>
              <m:sSub>
                <m:e>
                  <m:r>
                    <m:t>β</m:t>
                  </m:r>
                </m:e>
                <m:sub>
                  <m:r>
                    <m:t>k</m:t>
                  </m:r>
                </m:sub>
              </m:sSub>
            </m:e>
          </m:nary>
          <m:r>
            <m:t> </m:t>
          </m:r>
          <m:r>
            <m:rPr>
              <m:sty m:val="b"/>
            </m:rPr>
            <m:t>1</m:t>
          </m:r>
          <m:d>
            <m:dPr>
              <m:begChr m:val="["/>
              <m:endChr m:val="]"/>
              <m:sepChr m:val=""/>
              <m:grow/>
            </m:dPr>
            <m:e>
              <m:r>
                <m:t>t</m:t>
              </m:r>
              <m:r>
                <m:rPr>
                  <m:sty m:val="p"/>
                </m:rPr>
                <m:t>−</m:t>
              </m:r>
              <m:r>
                <m:t>2019</m:t>
              </m:r>
              <m:r>
                <m:rPr>
                  <m:sty m:val="p"/>
                </m:rPr>
                <m:t>=</m:t>
              </m:r>
              <m:r>
                <m:t>k</m:t>
              </m:r>
            </m:e>
          </m:d>
          <m:r>
            <m:rPr>
              <m:sty m:val="p"/>
            </m:rPr>
            <m:t>⋅</m:t>
          </m:r>
          <m:sSub>
            <m:e>
              <m:r>
                <m:rPr>
                  <m:nor/>
                  <m:sty m:val="p"/>
                </m:rPr>
                <m:t>Treat</m:t>
              </m:r>
            </m:e>
            <m:sub>
              <m:r>
                <m:t>d</m:t>
              </m:r>
            </m:sub>
          </m:sSub>
          <m:r>
            <m:rPr>
              <m:sty m:val="p"/>
            </m:rPr>
            <m:t>+</m:t>
          </m:r>
          <m:sSub>
            <m:e>
              <m:r>
                <m:t>ε</m:t>
              </m:r>
            </m:e>
            <m:sub>
              <m:r>
                <m:t>d</m:t>
              </m:r>
              <m:r>
                <m:t>t</m:t>
              </m:r>
            </m:sub>
          </m:sSub>
          <m:r>
            <m:t> </m:t>
          </m:r>
          <m:d>
            <m:dPr>
              <m:begChr m:val="("/>
              <m:endChr m:val=")"/>
              <m:sepChr m:val=""/>
              <m:grow/>
            </m:dPr>
            <m:e>
              <m:r>
                <m:t>5</m:t>
              </m:r>
            </m:e>
          </m:d>
        </m:oMath>
      </m:oMathPara>
    </w:p>
    <w:p>
      <w:pPr>
        <w:pStyle w:val="FirstParagraph"/>
      </w:pPr>
      <w:r>
        <w:rPr>
          <w:rFonts w:ascii="Arial" w:hAnsi="Arial"/>
        </w:rPr>
        <w:t xml:space="preserve">with</w:t>
      </w:r>
      <w:r>
        <w:rPr>
          <w:rFonts w:ascii="Arial" w:hAnsi="Arial"/>
        </w:rPr>
        <w:t xml:space="preserve"> </w:t>
      </w:r>
      <m:oMath>
        <m:r>
          <m:t>k</m:t>
        </m:r>
        <m:r>
          <m:rPr>
            <m:sty m:val="p"/>
          </m:rPr>
          <m:t>=</m:t>
        </m:r>
        <m:r>
          <m:rPr>
            <m:sty m:val="p"/>
          </m:rPr>
          <m:t>−</m:t>
        </m:r>
        <m:r>
          <m:t>1</m:t>
        </m:r>
      </m:oMath>
      <w:r>
        <w:rPr>
          <w:rFonts w:ascii="Arial" w:hAnsi="Arial"/>
        </w:rPr>
        <w:t xml:space="preserve"> </w:t>
      </w:r>
      <w:r>
        <w:rPr>
          <w:rFonts w:ascii="Arial" w:hAnsi="Arial"/>
        </w:rPr>
        <w:t xml:space="preserve">(year 2018) the omitted reference. Coefficients</w:t>
      </w:r>
      <w:r>
        <w:rPr>
          <w:rFonts w:ascii="Arial" w:hAnsi="Arial"/>
        </w:rPr>
        <w:t xml:space="preserve"> </w:t>
      </w:r>
      <m:oMath>
        <m:sSub>
          <m:e>
            <m:r>
              <m:t>β</m:t>
            </m:r>
          </m:e>
          <m:sub>
            <m:r>
              <m:t>k</m:t>
            </m:r>
          </m:sub>
        </m:sSub>
      </m:oMath>
      <w:r>
        <w:rPr>
          <w:rFonts w:ascii="Arial" w:hAnsi="Arial"/>
        </w:rPr>
        <w:t xml:space="preserve"> </w:t>
      </w:r>
      <w:r>
        <w:rPr>
          <w:rFonts w:ascii="Arial" w:hAnsi="Arial"/>
        </w:rPr>
        <w:t xml:space="preserve">at</w:t>
      </w:r>
      <w:r>
        <w:rPr>
          <w:rFonts w:ascii="Arial" w:hAnsi="Arial"/>
        </w:rPr>
        <w:t xml:space="preserve"> </w:t>
      </w:r>
      <m:oMath>
        <m:r>
          <m:t>k</m:t>
        </m:r>
        <m:r>
          <m:rPr>
            <m:sty m:val="p"/>
          </m:rPr>
          <m:t>&lt;</m:t>
        </m:r>
        <m:r>
          <m:t>0</m:t>
        </m:r>
      </m:oMath>
      <w:r>
        <w:rPr>
          <w:rFonts w:ascii="Arial" w:hAnsi="Arial"/>
        </w:rPr>
        <w:t xml:space="preserve"> </w:t>
      </w:r>
      <w:r>
        <w:rPr>
          <w:rFonts w:ascii="Arial" w:hAnsi="Arial"/>
        </w:rPr>
        <w:t xml:space="preserve">test for pre-trends; coefficients at</w:t>
      </w:r>
      <w:r>
        <w:rPr>
          <w:rFonts w:ascii="Arial" w:hAnsi="Arial"/>
        </w:rPr>
        <w:t xml:space="preserve"> </w:t>
      </w:r>
      <m:oMath>
        <m:r>
          <m:t>k</m:t>
        </m:r>
        <m:r>
          <m:rPr>
            <m:sty m:val="p"/>
          </m:rPr>
          <m:t>≥</m:t>
        </m:r>
        <m:r>
          <m:t>0</m:t>
        </m:r>
      </m:oMath>
      <w:r>
        <w:rPr>
          <w:rFonts w:ascii="Arial" w:hAnsi="Arial"/>
        </w:rPr>
        <w:t xml:space="preserve"> </w:t>
      </w:r>
      <w:r>
        <w:rPr>
          <w:rFonts w:ascii="Arial" w:hAnsi="Arial"/>
        </w:rPr>
        <w:t xml:space="preserve">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rFonts w:ascii="Arial" w:hAnsi="Arial"/>
          <w:b/>
          <w:bCs/>
        </w:rPr>
        <w:t xml:space="preserve">Pre-registered prediction (locked at OSF c4mp8).</w:t>
      </w:r>
      <w:r>
        <w:rPr>
          <w:rFonts w:ascii="Arial" w:hAnsi="Arial"/>
        </w:rPr>
        <w:t xml:space="preserve"> </w:t>
      </w:r>
      <w:r>
        <w:rPr>
          <w:rFonts w:ascii="Arial" w:hAnsi="Arial"/>
        </w:rPr>
        <w:t xml:space="preserve">We pre-registered the directional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the raw VH-min pipeline is expected to over-attribute the cyclone shock because flood-induced VH dips are read as delayed SOS in districts where standing water lingers; the corrected pipeline masks those flood pixels and should attenuate the bias by 50–80%. Falsification:</w:t>
      </w:r>
      <w:r>
        <w:rPr>
          <w:rFonts w:ascii="Arial" w:hAnsi="Arial"/>
        </w:rPr>
        <w:t xml:space="preserve"> </w:t>
      </w:r>
      <m:oMath>
        <m:sSub>
          <m:e>
            <m:r>
              <m:t>τ</m:t>
            </m:r>
          </m:e>
          <m:sub>
            <m:r>
              <m:rPr>
                <m:nor/>
                <m:sty m:val="p"/>
              </m:rPr>
              <m:t>SOS, corrected</m:t>
            </m:r>
          </m:sub>
        </m:sSub>
        <m:r>
          <m:rPr>
            <m:sty m:val="p"/>
          </m:rPr>
          <m:t>&lt;</m:t>
        </m:r>
        <m:r>
          <m:t>0</m:t>
        </m:r>
      </m:oMath>
      <w:r>
        <w:rPr>
          <w:rFonts w:ascii="Arial" w:hAnsi="Arial"/>
        </w:rPr>
        <w:t xml:space="preserve"> </w:t>
      </w:r>
      <w:r>
        <w:rPr>
          <w:rFonts w:ascii="Arial" w:hAnsi="Arial"/>
        </w:rPr>
        <w:t xml:space="preserve">(planting</w:t>
      </w:r>
      <w:r>
        <w:rPr>
          <w:rFonts w:ascii="Arial" w:hAnsi="Arial"/>
        </w:rPr>
        <w:t xml:space="preserve"> </w:t>
      </w:r>
      <w:r>
        <w:rPr>
          <w:rFonts w:ascii="Arial" w:hAnsi="Arial"/>
          <w:i/>
          <w:iCs/>
        </w:rPr>
        <w:t xml:space="preserve">advances</w:t>
      </w:r>
      <w:r>
        <w:rPr>
          <w:rFonts w:ascii="Arial" w:hAnsi="Arial"/>
        </w:rPr>
        <w:t xml:space="preserve"> </w:t>
      </w:r>
      <w:r>
        <w:rPr>
          <w:rFonts w:ascii="Arial" w:hAnsi="Arial"/>
        </w:rPr>
        <w:t xml:space="preserve">in cyclone years), or</w:t>
      </w:r>
      <w:r>
        <w:rPr>
          <w:rFonts w:ascii="Arial" w:hAnsi="Arial"/>
        </w:rPr>
        <w:t xml:space="preserve"> </w:t>
      </w:r>
      <m:oMath>
        <m:d>
          <m:dPr>
            <m:begChr m:val="|"/>
            <m:endChr m:val="|"/>
            <m:sepChr m:val=""/>
            <m:grow/>
          </m:dPr>
          <m:e>
            <m:sSub>
              <m:e>
                <m:r>
                  <m:t>τ</m:t>
                </m:r>
              </m:e>
              <m:sub>
                <m:r>
                  <m:rPr>
                    <m:nor/>
                    <m:sty m:val="p"/>
                  </m:rPr>
                  <m:t>SOS, raw</m:t>
                </m:r>
              </m:sub>
            </m:sSub>
          </m:e>
        </m:d>
        <m:r>
          <m:rPr>
            <m:sty m:val="p"/>
          </m:rPr>
          <m:t>&lt;</m:t>
        </m:r>
        <m:d>
          <m:dPr>
            <m:begChr m:val="|"/>
            <m:endChr m:val="|"/>
            <m:sepChr m:val=""/>
            <m:grow/>
          </m:dPr>
          <m:e>
            <m:sSub>
              <m:e>
                <m:r>
                  <m:t>τ</m:t>
                </m:r>
              </m:e>
              <m:sub>
                <m:r>
                  <m:rPr>
                    <m:nor/>
                    <m:sty m:val="p"/>
                  </m:rPr>
                  <m:t>SOS, corrected</m:t>
                </m:r>
              </m:sub>
            </m:sSub>
          </m:e>
        </m:d>
      </m:oMath>
      <w:r>
        <w:rPr>
          <w:rFonts w:ascii="Arial" w:hAnsi="Arial"/>
        </w:rPr>
        <w:t xml:space="preserve"> </w:t>
      </w:r>
      <w:r>
        <w:rPr>
          <w:rFonts w:ascii="Arial" w:hAnsi="Arial"/>
        </w:rPr>
        <w:t xml:space="preserve">(correction</w:t>
      </w:r>
      <w:r>
        <w:rPr>
          <w:rFonts w:ascii="Arial" w:hAnsi="Arial"/>
        </w:rPr>
        <w:t xml:space="preserve"> </w:t>
      </w:r>
      <w:r>
        <w:rPr>
          <w:rFonts w:ascii="Arial" w:hAnsi="Arial"/>
          <w:i/>
          <w:iCs/>
        </w:rPr>
        <w:t xml:space="preserve">amplifies</w:t>
      </w:r>
      <w:r>
        <w:rPr>
          <w:rFonts w:ascii="Arial" w:hAnsi="Arial"/>
        </w:rPr>
        <w:t xml:space="preserve"> </w:t>
      </w:r>
      <w:r>
        <w:rPr>
          <w:rFonts w:ascii="Arial" w:hAnsi="Arial"/>
        </w:rPr>
        <w:t xml:space="preserve">rather than damps the shock), would refute the mechanism and be reported as a null finding.</w:t>
      </w:r>
    </w:p>
    <w:p>
      <w:pPr>
        <w:pStyle w:val="BodyText"/>
      </w:pPr>
      <w:r>
        <w:rPr>
          <w:rFonts w:ascii="Arial" w:hAnsi="Arial"/>
          <w:b/>
          <w:bCs/>
        </w:rPr>
        <w:t xml:space="preserve">Goodman-Bacon decomposition (not applicable).</w:t>
      </w:r>
      <w:r>
        <w:rPr>
          <w:rFonts w:ascii="Arial" w:hAnsi="Arial"/>
        </w:rPr>
        <w:t xml:space="preserve"> </w:t>
      </w:r>
      <w:r>
        <w:rPr>
          <w:rFonts w:ascii="Arial" w:hAnsi="Arial"/>
        </w:rPr>
        <w:t xml:space="preserve">The design is single-cohort (all five treated districts exposed in 2019–2021; three never-treated controls). The Bacon (2021) decomposition collapses to a single 2 × 2 comparison and the</w:t>
      </w:r>
      <w:r>
        <w:rPr>
          <w:rFonts w:ascii="Arial" w:hAnsi="Arial"/>
        </w:rPr>
        <w:t xml:space="preserve"> </w:t>
      </w:r>
      <w:r>
        <w:rPr>
          <w:rFonts w:ascii="Arial" w:hAnsi="Arial"/>
        </w:rPr>
        <w:t xml:space="preserve">“</w:t>
      </w:r>
      <w:r>
        <w:rPr>
          <w:rFonts w:ascii="Arial" w:hAnsi="Arial"/>
        </w:rPr>
        <w:t xml:space="preserve">forbidden</w:t>
      </w:r>
      <w:r>
        <w:rPr>
          <w:rFonts w:ascii="Arial" w:hAnsi="Arial"/>
        </w:rPr>
        <w:t xml:space="preserve">”</w:t>
      </w:r>
      <w:r>
        <w:rPr>
          <w:rFonts w:ascii="Arial" w:hAnsi="Arial"/>
        </w:rPr>
        <w:t xml:space="preserve"> </w:t>
      </w:r>
      <w:r>
        <w:rPr>
          <w:rFonts w:ascii="Arial" w:hAnsi="Arial"/>
        </w:rPr>
        <w:t xml:space="preserve">treated-as-control weight is zero by construction; we therefore do not report Bacon weights and refer reviewers to Goodman-Bacon (2021, §3.1).</w:t>
      </w:r>
    </w:p>
    <w:bookmarkEnd w:id="36"/>
    <w:bookmarkStart w:id="42" w:name="robustness-suite"/>
    <w:p>
      <w:pPr>
        <w:pStyle w:val="Heading3"/>
      </w:pPr>
      <w:r>
        <w:rPr>
          <w:rFonts w:ascii="Arial" w:hAnsi="Arial"/>
        </w:rPr>
        <w:t xml:space="preserve">3.7 Robustness Suite</w:t>
      </w:r>
    </w:p>
    <w:p>
      <w:pPr>
        <w:pStyle w:val="FirstParagraph"/>
      </w:pPr>
      <w:r>
        <w:rPr>
          <w:rFonts w:ascii="Arial" w:hAnsi="Arial"/>
        </w:rPr>
        <w:t xml:space="preserve">The headline TWFE-DiD coefficient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rPr>
          <w:rFonts w:ascii="Arial" w:hAnsi="Arial"/>
        </w:rPr>
        <w:t xml:space="preserve"> </w:t>
      </w:r>
      <w:r>
        <w:rPr>
          <w:rStyle w:val="VerbatimChar"/>
          <w:rFonts w:ascii="Arial" w:hAnsi="Arial"/>
        </w:rPr>
        <w:t xml:space="preserve">run_all.sh</w:t>
      </w:r>
      <w:r>
        <w:rPr>
          <w:rFonts w:ascii="Arial" w:hAnsi="Arial"/>
        </w:rPr>
        <w:t xml:space="preserve"> </w:t>
      </w:r>
      <w:r>
        <w:rPr>
          <w:rFonts w:ascii="Arial" w:hAnsi="Arial"/>
        </w:rPr>
        <w:t xml:space="preserve">reproduces all five in a single command.</w:t>
      </w:r>
    </w:p>
    <w:bookmarkStart w:id="37" w:name="Xce3fba7e0a5807fa6b7c1bb709d33c6f279dafe"/>
    <w:p>
      <w:pPr>
        <w:pStyle w:val="Heading4"/>
      </w:pPr>
      <w:r>
        <w:rPr>
          <w:rFonts w:ascii="Arial" w:hAnsi="Arial"/>
        </w:rPr>
        <w:t xml:space="preserve">3.7.1 Wild-cluster restricted bootstrap (Module 05a, Table S4)</w:t>
      </w:r>
    </w:p>
    <w:p>
      <w:pPr>
        <w:pStyle w:val="FirstParagraph"/>
      </w:pPr>
      <w:r>
        <w:rPr>
          <w:rFonts w:ascii="Arial" w:hAnsi="Arial"/>
        </w:rPr>
        <w:t xml:space="preserve">The eight-cluster panel is below the asymptotic threshold for cluster-robust inference, so we re-test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with the wild-cluster restricted bootstrap of Cameron, Gelbach, and Miller (2008, hereafter CGM): residuals are imposed under the null and multiplied by Rademacher cluster weights (±1), yielding</w:t>
      </w:r>
      <w:r>
        <w:rPr>
          <w:rFonts w:ascii="Arial" w:hAnsi="Arial"/>
        </w:rPr>
        <w:t xml:space="preserve"> </w:t>
      </w:r>
      <m:oMath>
        <m:r>
          <m:t>B</m:t>
        </m:r>
        <m:r>
          <m:rPr>
            <m:sty m:val="p"/>
          </m:rPr>
          <m:t>=</m:t>
        </m:r>
        <m:r>
          <m:t>9</m:t>
        </m:r>
        <m:r>
          <m:rPr>
            <m:sty m:val="p"/>
          </m:rPr>
          <m:t>,</m:t>
        </m:r>
        <m:r>
          <m:t>999</m:t>
        </m:r>
      </m:oMath>
      <w:r>
        <w:rPr>
          <w:rFonts w:ascii="Arial" w:hAnsi="Arial"/>
        </w:rPr>
        <w:t xml:space="preserve"> </w:t>
      </w:r>
      <w:r>
        <w:rPr>
          <w:rFonts w:ascii="Arial" w:hAnsi="Arial"/>
        </w:rPr>
        <w:t xml:space="preserve">bootstrap replicates of the studentised statistic. 95% confidence intervals are constructed by inversion on a 41-point grid with</w:t>
      </w:r>
      <w:r>
        <w:rPr>
          <w:rFonts w:ascii="Arial" w:hAnsi="Arial"/>
        </w:rPr>
        <w:t xml:space="preserve"> </w:t>
      </w:r>
      <m:oMath>
        <m:sSub>
          <m:e>
            <m:r>
              <m:t>B</m:t>
            </m:r>
          </m:e>
          <m:sub>
            <m:r>
              <m:t>c</m:t>
            </m:r>
            <m:r>
              <m:t>i</m:t>
            </m:r>
          </m:sub>
        </m:sSub>
        <m:r>
          <m:rPr>
            <m:sty m:val="p"/>
          </m:rPr>
          <m:t>=</m:t>
        </m:r>
        <m:r>
          <m:t>499</m:t>
        </m:r>
      </m:oMath>
      <w:r>
        <w:rPr>
          <w:rFonts w:ascii="Arial" w:hAnsi="Arial"/>
        </w:rPr>
        <w:t xml:space="preserve"> </w:t>
      </w:r>
      <w:r>
        <w:rPr>
          <w:rFonts w:ascii="Arial" w:hAnsi="Arial"/>
        </w:rPr>
        <w:t xml:space="preserve">replicates per grid point. WCR-restricted</w:t>
      </w:r>
      <w:r>
        <w:rPr>
          <w:rFonts w:ascii="Arial" w:hAnsi="Arial"/>
        </w:rPr>
        <w:t xml:space="preserve"> </w:t>
      </w:r>
      <m:oMath>
        <m:r>
          <m:t>p</m:t>
        </m:r>
      </m:oMath>
      <w:r>
        <w:rPr>
          <w:rFonts w:ascii="Arial" w:hAnsi="Arial"/>
        </w:rPr>
        <w:t xml:space="preserve">-values dominate the CR1 cluster-robust</w:t>
      </w:r>
      <w:r>
        <w:rPr>
          <w:rFonts w:ascii="Arial" w:hAnsi="Arial"/>
        </w:rPr>
        <w:t xml:space="preserve"> </w:t>
      </w:r>
      <m:oMath>
        <m:r>
          <m:t>p</m:t>
        </m:r>
      </m:oMath>
      <w:r>
        <w:rPr>
          <w:rFonts w:ascii="Arial" w:hAnsi="Arial"/>
        </w:rPr>
        <w:t xml:space="preserve">-values throughout; we report both but interpret WCR as the inferential ground truth.</w:t>
      </w:r>
    </w:p>
    <w:bookmarkEnd w:id="37"/>
    <w:bookmarkStart w:id="38" w:name="X622c297a11e278d2703f5748bdbb6f7035905b7"/>
    <w:p>
      <w:pPr>
        <w:pStyle w:val="Heading4"/>
      </w:pPr>
      <w:r>
        <w:rPr>
          <w:rFonts w:ascii="Arial" w:hAnsi="Arial"/>
        </w:rPr>
        <w:t xml:space="preserve">3.7.2 Out-of-sample transferability — Cyclone Bulbul (Module 05b, Table S3)</w:t>
      </w:r>
    </w:p>
    <w:p>
      <w:pPr>
        <w:pStyle w:val="FirstParagraph"/>
      </w:pPr>
      <w:r>
        <w:rPr>
          <w:rFonts w:ascii="Arial" w:hAnsi="Arial"/>
        </w:rPr>
        <w:t xml:space="preserve">To probe whether the corrected pipeline transfers to a</w:t>
      </w:r>
      <w:r>
        <w:rPr>
          <w:rFonts w:ascii="Arial" w:hAnsi="Arial"/>
        </w:rPr>
        <w:t xml:space="preserve"> </w:t>
      </w:r>
      <w:r>
        <w:rPr>
          <w:rFonts w:ascii="Arial" w:hAnsi="Arial"/>
          <w:i/>
          <w:iCs/>
        </w:rPr>
        <w:t xml:space="preserve">different cyclone class</w:t>
      </w:r>
      <w:r>
        <w:rPr>
          <w:rFonts w:ascii="Arial" w:hAnsi="Arial"/>
        </w:rPr>
        <w:t xml:space="preserve"> </w:t>
      </w:r>
      <w:r>
        <w:rPr>
          <w:rFonts w:ascii="Arial" w:hAnsi="Arial"/>
        </w:rPr>
        <w:t xml:space="preserve">than the three pre-Kharif treatment events (Fani, Amphan, Yaas — all summer-monsoon-window cyclones with surge as the dominant inundation mechanism), we apply the trained</w:t>
      </w:r>
      <w:r>
        <w:rPr>
          <w:rFonts w:ascii="Arial" w:hAnsi="Arial"/>
        </w:rPr>
        <w:t xml:space="preserve"> </w:t>
      </w:r>
      <m:oMath>
        <m:sSub>
          <m:e>
            <m:acc>
              <m:accPr>
                <m:chr m:val="̂"/>
              </m:accPr>
              <m:e>
                <m:r>
                  <m:t>τ</m:t>
                </m:r>
              </m:e>
            </m:acc>
          </m:e>
          <m:sub>
            <m:r>
              <m:rPr>
                <m:nor/>
                <m:sty m:val="p"/>
              </m:rPr>
              <m:t>corrected, SOS</m:t>
            </m:r>
          </m:sub>
        </m:sSub>
      </m:oMath>
      <w:r>
        <w:rPr>
          <w:rFonts w:ascii="Arial" w:hAnsi="Arial"/>
        </w:rPr>
        <w:t xml:space="preserve"> </w:t>
      </w:r>
      <w:r>
        <w:rPr>
          <w:rFonts w:ascii="Arial" w:hAnsi="Arial"/>
        </w:rPr>
        <w:t xml:space="preserve">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w:t>
      </w:r>
      <w:r>
        <w:rPr>
          <w:rFonts w:ascii="Arial" w:hAnsi="Arial"/>
        </w:rPr>
        <w:t xml:space="preserve"> </w:t>
      </w:r>
      <m:oMath>
        <m:r>
          <m:rPr>
            <m:sty m:val="p"/>
          </m:rPr>
          <m:t>≥</m:t>
        </m:r>
        <m:r>
          <m:t>5</m:t>
        </m:r>
        <m:r>
          <m:rPr>
            <m:sty m:val="p"/>
          </m:rPr>
          <m:t>/</m:t>
        </m:r>
        <m:r>
          <m:t>6</m:t>
        </m:r>
      </m:oMath>
      <w:r>
        <w:rPr>
          <w:rFonts w:ascii="Arial" w:hAnsi="Arial"/>
        </w:rPr>
        <w:t xml:space="preserve"> </w:t>
      </w:r>
      <w:r>
        <w:rPr>
          <w:rFonts w:ascii="Arial" w:hAnsi="Arial"/>
        </w:rPr>
        <w:t xml:space="preserve">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w:t>
      </w:r>
      <w:r>
        <w:rPr>
          <w:rFonts w:ascii="Arial" w:hAnsi="Arial"/>
        </w:rPr>
        <w:t xml:space="preserve"> </w:t>
      </w:r>
      <m:oMath>
        <m:acc>
          <m:accPr>
            <m:chr m:val="̂"/>
          </m:accPr>
          <m:e>
            <m:r>
              <m:t>τ</m:t>
            </m:r>
          </m:e>
        </m:acc>
      </m:oMath>
      <w:r>
        <w:rPr>
          <w:rFonts w:ascii="Arial" w:hAnsi="Arial"/>
        </w:rPr>
        <w:t xml:space="preserve">.</w:t>
      </w:r>
    </w:p>
    <w:bookmarkEnd w:id="38"/>
    <w:bookmarkStart w:id="39" w:name="X8b2c3bb67c248fa3a77cda1f321419ffa2b7e87"/>
    <w:p>
      <w:pPr>
        <w:pStyle w:val="Heading4"/>
      </w:pPr>
      <w:r>
        <w:rPr>
          <w:rFonts w:ascii="Arial" w:hAnsi="Arial"/>
        </w:rPr>
        <w:t xml:space="preserve">3.7.3 Leave-one-out jackknife sensitivity (Module 05d, Table S5)</w:t>
      </w:r>
    </w:p>
    <w:p>
      <w:pPr>
        <w:pStyle w:val="FirstParagraph"/>
      </w:pPr>
      <w:r>
        <w:rPr>
          <w:rFonts w:ascii="Arial" w:hAnsi="Arial"/>
        </w:rPr>
        <w:t xml:space="preserve">We re-fit Eq. 4 dropping each of the eight districts and each of the eight years in turn, yielding 16</w:t>
      </w:r>
      <w:r>
        <w:rPr>
          <w:rFonts w:ascii="Arial" w:hAnsi="Arial"/>
        </w:rPr>
        <w:t xml:space="preserve"> </w:t>
      </w:r>
      <m:oMath>
        <m:sSub>
          <m:e>
            <m:acc>
              <m:accPr>
                <m:chr m:val="̂"/>
              </m:accPr>
              <m:e>
                <m:r>
                  <m:t>τ</m:t>
                </m:r>
              </m:e>
            </m:acc>
          </m:e>
          <m:sub>
            <m:r>
              <m:rPr>
                <m:nor/>
                <m:sty m:val="p"/>
              </m:rPr>
              <m:t>LOO</m:t>
            </m:r>
          </m:sub>
        </m:sSub>
      </m:oMath>
      <w:r>
        <w:rPr>
          <w:rFonts w:ascii="Arial" w:hAnsi="Arial"/>
        </w:rPr>
        <w:t xml:space="preserve"> </w:t>
      </w:r>
      <w:r>
        <w:rPr>
          <w:rFonts w:ascii="Arial" w:hAnsi="Arial"/>
        </w:rPr>
        <w:t xml:space="preserve">values per cell. Each cell is classified</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(max</w:t>
      </w:r>
      <w:r>
        <w:rPr>
          <w:rFonts w:ascii="Arial" w:hAnsi="Arial"/>
        </w:rPr>
        <w:t xml:space="preserve"> </w:t>
      </w:r>
      <m:oMath>
        <m:d>
          <m:dPr>
            <m:begChr m:val="|"/>
            <m:endChr m:val="|"/>
            <m:sepChr m:val=""/>
            <m:grow/>
          </m:dPr>
          <m:e>
            <m:sSub>
              <m:e>
                <m:acc>
                  <m:accPr>
                    <m:chr m:val="̂"/>
                  </m:accPr>
                  <m:e>
                    <m:r>
                      <m:t>τ</m:t>
                    </m:r>
                  </m:e>
                </m:acc>
              </m:e>
              <m:sub>
                <m:r>
                  <m:rPr>
                    <m:nor/>
                    <m:sty m:val="p"/>
                  </m:rPr>
                  <m:t>LOO</m:t>
                </m:r>
              </m:sub>
            </m:sSub>
            <m:r>
              <m:rPr>
                <m:sty m:val="p"/>
              </m:rPr>
              <m:t>−</m:t>
            </m:r>
            <m:acc>
              <m:accPr>
                <m:chr m:val="̂"/>
              </m:accPr>
              <m:e>
                <m:r>
                  <m:t>τ</m:t>
                </m:r>
              </m:e>
            </m:acc>
          </m:e>
        </m:d>
        <m:r>
          <m:rPr>
            <m:sty m:val="p"/>
          </m:rPr>
          <m:t>/</m:t>
        </m:r>
        <m:d>
          <m:dPr>
            <m:begChr m:val="|"/>
            <m:endChr m:val="|"/>
            <m:sepChr m:val=""/>
            <m:grow/>
          </m:dPr>
          <m:e>
            <m:acc>
              <m:accPr>
                <m:chr m:val="̂"/>
              </m:accPr>
              <m:e>
                <m:r>
                  <m:t>τ</m:t>
                </m:r>
              </m:e>
            </m:acc>
          </m:e>
        </m:d>
        <m:r>
          <m:rPr>
            <m:sty m:val="p"/>
          </m:rPr>
          <m:t>&lt;</m:t>
        </m:r>
        <m:r>
          <m:t>25</m:t>
        </m:r>
        <m:r>
          <m:rPr>
            <m:sty m:val="p"/>
          </m:rPr>
          <m:t>%</m:t>
        </m:r>
      </m:oMath>
      <w:r>
        <w:rPr>
          <w:rFonts w:ascii="Arial" w:hAnsi="Arial"/>
        </w:rPr>
        <w:t xml:space="preserve"> </w:t>
      </w:r>
      <w:r>
        <w:rPr>
          <w:rFonts w:ascii="Arial" w:hAnsi="Arial"/>
        </w:rPr>
        <w:t xml:space="preserve">and no sign flip),</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(one observation drives</w:t>
      </w:r>
      <w:r>
        <w:rPr>
          <w:rFonts w:ascii="Arial" w:hAnsi="Arial"/>
        </w:rPr>
        <w:t xml:space="preserve"> </w:t>
      </w:r>
      <m:oMath>
        <m:r>
          <m:rPr>
            <m:sty m:val="p"/>
          </m:rPr>
          <m:t>&gt;</m:t>
        </m:r>
        <m:r>
          <m:t>25</m:t>
        </m:r>
        <m:r>
          <m:rPr>
            <m:sty m:val="p"/>
          </m:rPr>
          <m:t>%</m:t>
        </m:r>
      </m:oMath>
      <w:r>
        <w:rPr>
          <w:rFonts w:ascii="Arial" w:hAnsi="Arial"/>
        </w:rPr>
        <w:t xml:space="preserve"> </w:t>
      </w:r>
      <w:r>
        <w:rPr>
          <w:rFonts w:ascii="Arial" w:hAnsi="Arial"/>
        </w:rPr>
        <w:t xml:space="preserve">shift, no sign flip), 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(some LOO flips the sign of</w:t>
      </w:r>
      <w:r>
        <w:rPr>
          <w:rFonts w:ascii="Arial" w:hAnsi="Arial"/>
        </w:rPr>
        <w:t xml:space="preserve"> </w:t>
      </w:r>
      <m:oMath>
        <m:acc>
          <m:accPr>
            <m:chr m:val="̂"/>
          </m:accPr>
          <m:e>
            <m:r>
              <m:t>τ</m:t>
            </m:r>
          </m:e>
        </m:acc>
      </m:oMath>
      <w:r>
        <w:rPr>
          <w:rFonts w:ascii="Arial" w:hAnsi="Arial"/>
        </w:rPr>
        <w:t xml:space="preserve">). We additionally report the most-leveraging district / year per cell. For the headline coefficients (</w:t>
      </w:r>
      <m:oMath>
        <m:sSub>
          <m:e>
            <m:acc>
              <m:accPr>
                <m:chr m:val="̂"/>
              </m:accPr>
              <m:e>
                <m:r>
                  <m:t>τ</m:t>
                </m:r>
              </m:e>
            </m:acc>
          </m:e>
          <m:sub>
            <m:r>
              <m:rPr>
                <m:nor/>
                <m:sty m:val="p"/>
              </m:rPr>
              <m:t>raw,SOS</m:t>
            </m:r>
          </m:sub>
        </m:sSub>
      </m:oMath>
      <w:r>
        <w:rPr>
          <w:rFonts w:ascii="Arial" w:hAnsi="Arial"/>
        </w:rPr>
        <w:t xml:space="preserve">,</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w:t>
      </w:r>
      <w:r>
        <w:rPr>
          <w:rFonts w:ascii="Arial" w:hAnsi="Arial"/>
        </w:rPr>
        <w:t xml:space="preserve"> </w:t>
      </w:r>
      <m:oMath>
        <m:sSub>
          <m:e>
            <m:acc>
              <m:accPr>
                <m:chr m:val="̂"/>
              </m:accPr>
              <m:e>
                <m:r>
                  <m:t>τ</m:t>
                </m:r>
              </m:e>
            </m:acc>
          </m:e>
          <m:sub>
            <m:r>
              <m:rPr>
                <m:nor/>
                <m:sty m:val="p"/>
              </m:rPr>
              <m:t>*,POS</m:t>
            </m:r>
          </m:sub>
        </m:sSub>
      </m:oMath>
      <w:r>
        <w:rPr>
          <w:rFonts w:ascii="Arial" w:hAnsi="Arial"/>
        </w:rPr>
        <w:t xml:space="preserve">) we expect</w:t>
      </w:r>
      <w:r>
        <w:rPr>
          <w:rFonts w:ascii="Arial" w:hAnsi="Arial"/>
        </w:rPr>
        <w:t xml:space="preserve"> </w:t>
      </w:r>
      <w:r>
        <w:rPr>
          <w:rStyle w:val="VerbatimChar"/>
          <w:rFonts w:ascii="Arial" w:hAnsi="Arial"/>
        </w:rPr>
        <w:t xml:space="preserve">stable</w:t>
      </w:r>
      <w:r>
        <w:rPr>
          <w:rFonts w:ascii="Arial" w:hAnsi="Arial"/>
        </w:rPr>
        <w:t xml:space="preserve">; the corrected/EOS cell is anticipated as</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based on the synthetic-panel verification, and a</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flag in the real GEE export will be reported alongside the headline result.</w:t>
      </w:r>
    </w:p>
    <w:bookmarkEnd w:id="39"/>
    <w:bookmarkStart w:id="40" w:name="Xa6e558f80873110a09fd9195f91682c3595408b"/>
    <w:p>
      <w:pPr>
        <w:pStyle w:val="Heading4"/>
      </w:pPr>
      <w:r>
        <w:rPr>
          <w:rFonts w:ascii="Arial" w:hAnsi="Arial"/>
        </w:rPr>
        <w:t xml:space="preserve">3.7.4 Placebo / falsification tests (Module 05e, Table S7, Figure 6)</w:t>
      </w:r>
    </w:p>
    <w:p>
      <w:pPr>
        <w:pStyle w:val="FirstParagraph"/>
      </w:pPr>
      <w:r>
        <w:rPr>
          <w:rFonts w:ascii="Arial" w:hAnsi="Arial"/>
        </w:rP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rFonts w:ascii="Arial" w:hAnsi="Arial"/>
          <w:i/>
          <w:iCs/>
        </w:rPr>
        <w:t xml:space="preserve">In-space donor-swap permutation (primary).</w:t>
      </w:r>
      <w:r>
        <w:rPr>
          <w:rFonts w:ascii="Arial" w:hAnsi="Arial"/>
        </w:rPr>
        <w:t xml:space="preserve"> </w:t>
      </w:r>
      <w:r>
        <w:rPr>
          <w:rFonts w:ascii="Arial" w:hAnsi="Arial"/>
        </w:rPr>
        <w:t xml:space="preserve">We re-assign the</w:t>
      </w:r>
      <w:r>
        <w:rPr>
          <w:rFonts w:ascii="Arial" w:hAnsi="Arial"/>
        </w:rPr>
        <w:t xml:space="preserve"> </w:t>
      </w:r>
      <w:r>
        <w:rPr>
          <w:rFonts w:ascii="Arial" w:hAnsi="Arial"/>
        </w:rPr>
        <w:t xml:space="preserve">“</w:t>
      </w:r>
      <w:r>
        <w:rPr>
          <w:rFonts w:ascii="Arial" w:hAnsi="Arial"/>
        </w:rPr>
        <w:t xml:space="preserve">treated</w:t>
      </w:r>
      <w:r>
        <w:rPr>
          <w:rFonts w:ascii="Arial" w:hAnsi="Arial"/>
        </w:rPr>
        <w:t xml:space="preserve">”</w:t>
      </w:r>
      <w:r>
        <w:rPr>
          <w:rFonts w:ascii="Arial" w:hAnsi="Arial"/>
        </w:rPr>
        <w:t xml:space="preserve"> </w:t>
      </w:r>
      <w:r>
        <w:rPr>
          <w:rFonts w:ascii="Arial" w:hAnsi="Arial"/>
        </w:rPr>
        <w:t xml:space="preserve">label to all C(G, k) = C(8, 5) = 56 possible subsets of districts of size k = 5 (the size of the real treated set), holding the post-period fixed at 2019–2021. For each permutation we re-estimate Eq. 4 on the subsetted panel and record the placebo coefficient</w:t>
      </w:r>
      <w:r>
        <w:rPr>
          <w:rFonts w:ascii="Arial" w:hAnsi="Arial"/>
        </w:rPr>
        <w:t xml:space="preserve"> </w:t>
      </w:r>
      <m:oMath>
        <m:sSub>
          <m:e>
            <m:acc>
              <m:accPr>
                <m:chr m:val="̂"/>
              </m:accPr>
              <m:e>
                <m:r>
                  <m:t>τ</m:t>
                </m:r>
              </m:e>
            </m:acc>
          </m:e>
          <m:sub>
            <m:r>
              <m:t>p</m:t>
            </m:r>
          </m:sub>
        </m:sSub>
      </m:oMath>
      <w:r>
        <w:rPr>
          <w:rFonts w:ascii="Arial" w:hAnsi="Arial"/>
        </w:rPr>
        <w:t xml:space="preserve">. The two-sided permutation p-value is</w:t>
      </w:r>
    </w:p>
    <w:p>
      <w:pPr>
        <w:pStyle w:val="BodyText"/>
      </w:pPr>
      <m:oMathPara>
        <m:oMathParaPr>
          <m:jc m:val="center"/>
        </m:oMathParaPr>
        <m:oMath>
          <m:sSub>
            <m:e>
              <m:r>
                <m:t>p</m:t>
              </m:r>
            </m:e>
            <m:sub>
              <m:r>
                <m:rPr>
                  <m:sty m:val="p"/>
                </m:rPr>
                <m:t>p</m:t>
              </m:r>
              <m:r>
                <m:rPr>
                  <m:sty m:val="p"/>
                </m:rPr>
                <m:t>e</m:t>
              </m:r>
              <m:r>
                <m:rPr>
                  <m:sty m:val="p"/>
                </m:rPr>
                <m:t>r</m:t>
              </m:r>
              <m:r>
                <m:rPr>
                  <m:sty m:val="p"/>
                </m:rPr>
                <m:t>m</m:t>
              </m:r>
            </m:sub>
          </m:sSub>
          <m:r>
            <m:rPr>
              <m:sty m:val="p"/>
            </m:rPr>
            <m:t>=</m:t>
          </m:r>
          <m:f>
            <m:fPr>
              <m:type m:val="bar"/>
            </m:fPr>
            <m:num>
              <m:r>
                <m:rPr>
                  <m:sty m:val="p"/>
                </m:rPr>
                <m:t>#</m:t>
              </m:r>
              <m:r>
                <m:rPr>
                  <m:sty m:val="p"/>
                </m:rPr>
                <m:t>{</m:t>
              </m:r>
              <m:d>
                <m:dPr>
                  <m:begChr m:val="|"/>
                  <m:endChr m:val="|"/>
                  <m:sepChr m:val=""/>
                  <m:grow/>
                </m:dPr>
                <m:e>
                  <m:sSub>
                    <m:e>
                      <m:acc>
                        <m:accPr>
                          <m:chr m:val="̂"/>
                        </m:accPr>
                        <m:e>
                          <m:r>
                            <m:t>τ</m:t>
                          </m:r>
                        </m:e>
                      </m:acc>
                    </m:e>
                    <m:sub>
                      <m:r>
                        <m:t>p</m:t>
                      </m:r>
                    </m:sub>
                  </m:sSub>
                </m:e>
              </m:d>
              <m:r>
                <m:rPr>
                  <m:sty m:val="p"/>
                </m:rPr>
                <m:t>≥</m:t>
              </m:r>
              <m:d>
                <m:dPr>
                  <m:begChr m:val="|"/>
                  <m:endChr m:val="|"/>
                  <m:sepChr m:val=""/>
                  <m:grow/>
                </m:dPr>
                <m:e>
                  <m:sSub>
                    <m:e>
                      <m:acc>
                        <m:accPr>
                          <m:chr m:val="̂"/>
                        </m:accPr>
                        <m:e>
                          <m:r>
                            <m:t>τ</m:t>
                          </m:r>
                        </m:e>
                      </m:acc>
                    </m:e>
                    <m:sub>
                      <m:r>
                        <m:rPr>
                          <m:sty m:val="p"/>
                        </m:rPr>
                        <m:t>r</m:t>
                      </m:r>
                      <m:r>
                        <m:rPr>
                          <m:sty m:val="p"/>
                        </m:rPr>
                        <m:t>e</m:t>
                      </m:r>
                      <m:r>
                        <m:rPr>
                          <m:sty m:val="p"/>
                        </m:rPr>
                        <m:t>a</m:t>
                      </m:r>
                      <m:r>
                        <m:rPr>
                          <m:sty m:val="p"/>
                        </m:rPr>
                        <m:t>l</m:t>
                      </m:r>
                    </m:sub>
                  </m:sSub>
                </m:e>
              </m:d>
              <m:r>
                <m:rPr>
                  <m:sty m:val="p"/>
                </m:rPr>
                <m:t>}</m:t>
              </m:r>
              <m:r>
                <m:rPr>
                  <m:sty m:val="p"/>
                </m:rPr>
                <m:t>+</m:t>
              </m:r>
              <m:r>
                <m:t>1</m:t>
              </m:r>
            </m:num>
            <m:den>
              <m:sSub>
                <m:e>
                  <m:r>
                    <m:t>n</m:t>
                  </m:r>
                </m:e>
                <m:sub>
                  <m:r>
                    <m:rPr>
                      <m:sty m:val="p"/>
                    </m:rPr>
                    <m:t>p</m:t>
                  </m:r>
                  <m:r>
                    <m:rPr>
                      <m:sty m:val="p"/>
                    </m:rPr>
                    <m:t>e</m:t>
                  </m:r>
                  <m:r>
                    <m:rPr>
                      <m:sty m:val="p"/>
                    </m:rPr>
                    <m:t>r</m:t>
                  </m:r>
                  <m:r>
                    <m:rPr>
                      <m:sty m:val="p"/>
                    </m:rPr>
                    <m:t>m</m:t>
                  </m:r>
                </m:sub>
              </m:sSub>
              <m:r>
                <m:rPr>
                  <m:sty m:val="p"/>
                </m:rPr>
                <m:t>+</m:t>
              </m:r>
              <m:r>
                <m:t>1</m:t>
              </m:r>
            </m:den>
          </m:f>
          <m:r>
            <m:t> </m:t>
          </m:r>
          <m:d>
            <m:dPr>
              <m:begChr m:val="("/>
              <m:endChr m:val=")"/>
              <m:sepChr m:val=""/>
              <m:grow/>
            </m:dPr>
            <m:e>
              <m:r>
                <m:t>6</m:t>
              </m:r>
            </m:e>
          </m:d>
        </m:oMath>
      </m:oMathPara>
    </w:p>
    <w:p>
      <w:pPr>
        <w:pStyle w:val="FirstParagraph"/>
      </w:pPr>
      <w:r>
        <w:rPr>
          <w:rFonts w:ascii="Arial" w:hAnsi="Arial"/>
        </w:rPr>
        <w:t xml:space="preserve">with the +1 correction following Phipson and Smyth (2010). The smallest attainable</w:t>
      </w:r>
      <w:r>
        <w:rPr>
          <w:rFonts w:ascii="Arial" w:hAnsi="Arial"/>
        </w:rPr>
        <w:t xml:space="preserve"> </w:t>
      </w:r>
      <m:oMath>
        <m:sSub>
          <m:e>
            <m:r>
              <m:t>p</m:t>
            </m:r>
          </m:e>
          <m:sub>
            <m:r>
              <m:rPr>
                <m:sty m:val="p"/>
              </m:rPr>
              <m:t>p</m:t>
            </m:r>
            <m:r>
              <m:rPr>
                <m:sty m:val="p"/>
              </m:rPr>
              <m:t>e</m:t>
            </m:r>
            <m:r>
              <m:rPr>
                <m:sty m:val="p"/>
              </m:rPr>
              <m:t>r</m:t>
            </m:r>
            <m:r>
              <m:rPr>
                <m:sty m:val="p"/>
              </m:rPr>
              <m:t>m</m:t>
            </m:r>
          </m:sub>
        </m:sSub>
      </m:oMath>
      <w:r>
        <w:rPr>
          <w:rFonts w:ascii="Arial" w:hAnsi="Arial"/>
        </w:rPr>
        <w:t xml:space="preserve"> </w:t>
      </w:r>
      <w:r>
        <w:rPr>
          <w:rFonts w:ascii="Arial" w:hAnsi="Arial"/>
        </w:rPr>
        <w:t xml:space="preserve">on this design is 1/57 ≈ 0.018 (real assignment alone in the tail). On the synthetic-panel verification, real treated effects sit in the extreme tails for five of six cells (</w:t>
      </w:r>
      <m:oMath>
        <m:sSub>
          <m:e>
            <m:r>
              <m:t>p</m:t>
            </m:r>
          </m:e>
          <m:sub>
            <m:r>
              <m:rPr>
                <m:sty m:val="p"/>
              </m:rPr>
              <m:t>p</m:t>
            </m:r>
            <m:r>
              <m:rPr>
                <m:sty m:val="p"/>
              </m:rPr>
              <m:t>e</m:t>
            </m:r>
            <m:r>
              <m:rPr>
                <m:sty m:val="p"/>
              </m:rPr>
              <m:t>r</m:t>
            </m:r>
            <m:r>
              <m:rPr>
                <m:sty m:val="p"/>
              </m:rPr>
              <m:t>m</m:t>
            </m:r>
          </m:sub>
        </m:sSub>
        <m:r>
          <m:rPr>
            <m:sty m:val="p"/>
          </m:rPr>
          <m:t>≤</m:t>
        </m:r>
        <m:r>
          <m:t>0.054</m:t>
        </m:r>
      </m:oMath>
      <w:r>
        <w:rPr>
          <w:rFonts w:ascii="Arial" w:hAnsi="Arial"/>
        </w:rPr>
        <w:t xml:space="preserve">, three at the design floor); placebo distributions centre on zero (median</w:t>
      </w:r>
      <w:r>
        <w:rPr>
          <w:rFonts w:ascii="Arial" w:hAnsi="Arial"/>
        </w:rPr>
        <w:t xml:space="preserve"> </w:t>
      </w:r>
      <m:oMath>
        <m:sSub>
          <m:e>
            <m:acc>
              <m:accPr>
                <m:chr m:val="̂"/>
              </m:accPr>
              <m:e>
                <m:r>
                  <m:t>τ</m:t>
                </m:r>
              </m:e>
            </m:acc>
          </m:e>
          <m:sub>
            <m:r>
              <m:t>p</m:t>
            </m:r>
          </m:sub>
        </m:sSub>
        <m:r>
          <m:rPr>
            <m:sty m:val="p"/>
          </m:rPr>
          <m:t>∈</m:t>
        </m:r>
        <m:d>
          <m:dPr>
            <m:begChr m:val="["/>
            <m:endChr m:val="]"/>
            <m:sepChr m:val=""/>
            <m:grow/>
          </m:dPr>
          <m:e>
            <m:r>
              <m:rPr>
                <m:sty m:val="p"/>
              </m:rPr>
              <m:t>−</m:t>
            </m:r>
            <m:r>
              <m:t>0.27</m:t>
            </m:r>
            <m:r>
              <m:rPr>
                <m:sty m:val="p"/>
              </m:rPr>
              <m:t>,</m:t>
            </m:r>
            <m:r>
              <m:rPr>
                <m:sty m:val="p"/>
              </m:rPr>
              <m:t>+</m:t>
            </m:r>
            <m:r>
              <m:t>0.02</m:t>
            </m:r>
          </m:e>
        </m:d>
      </m:oMath>
      <w:r>
        <w:rPr>
          <w:rFonts w:ascii="Arial" w:hAnsi="Arial"/>
        </w:rPr>
        <w:t xml:space="preserve"> </w:t>
      </w:r>
      <w:r>
        <w:rPr>
          <w:rFonts w:ascii="Arial" w:hAnsi="Arial"/>
        </w:rPr>
        <w:t xml:space="preserve">d). The single failing cell (corrected/EOS,</w:t>
      </w:r>
      <w:r>
        <w:rPr>
          <w:rFonts w:ascii="Arial" w:hAnsi="Arial"/>
        </w:rPr>
        <w:t xml:space="preserve"> </w:t>
      </w:r>
      <m:oMath>
        <m:sSub>
          <m:e>
            <m:r>
              <m:t>p</m:t>
            </m:r>
          </m:e>
          <m:sub>
            <m:r>
              <m:rPr>
                <m:sty m:val="p"/>
              </m:rPr>
              <m:t>p</m:t>
            </m:r>
            <m:r>
              <m:rPr>
                <m:sty m:val="p"/>
              </m:rPr>
              <m:t>e</m:t>
            </m:r>
            <m:r>
              <m:rPr>
                <m:sty m:val="p"/>
              </m:rPr>
              <m:t>r</m:t>
            </m:r>
            <m:r>
              <m:rPr>
                <m:sty m:val="p"/>
              </m:rPr>
              <m:t>m</m:t>
            </m:r>
          </m:sub>
        </m:sSub>
        <m:r>
          <m:rPr>
            <m:sty m:val="p"/>
          </m:rPr>
          <m:t>=</m:t>
        </m:r>
        <m:r>
          <m:t>0.27</m:t>
        </m:r>
      </m:oMath>
      <w:r>
        <w:rPr>
          <w:rFonts w:ascii="Arial" w:hAnsi="Arial"/>
        </w:rPr>
        <w:t xml:space="preserve">) is the same cell flagged null by WCR, by the post-hoc MDE (§3.7.5), and by the LOO leverage diagnostic — all four robustness instruments converge on the same verdict, which we interpret as evidence that the saline-surge mechanism is specific to the early-season anchor and does not transfer to end-of-season phenology.</w:t>
      </w:r>
    </w:p>
    <w:p>
      <w:pPr>
        <w:pStyle w:val="BodyText"/>
      </w:pPr>
      <w:r>
        <w:rPr>
          <w:rFonts w:ascii="Arial" w:hAnsi="Arial"/>
          <w:i/>
          <w:iCs/>
        </w:rPr>
        <w:t xml:space="preserve">In-time pseudo-shifted placebo (transparency probe).</w:t>
      </w:r>
      <w:r>
        <w:rPr>
          <w:rFonts w:ascii="Arial" w:hAnsi="Arial"/>
        </w:rPr>
        <w:t xml:space="preserve"> </w:t>
      </w:r>
      <w:r>
        <w:rPr>
          <w:rFonts w:ascii="Arial" w:hAnsi="Arial"/>
        </w:rP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w:t>
      </w:r>
      <w:r>
        <w:rPr>
          <w:rFonts w:ascii="Arial" w:hAnsi="Arial"/>
        </w:rPr>
        <w:t xml:space="preserve"> </w:t>
      </w:r>
      <m:oMath>
        <m:acc>
          <m:accPr>
            <m:chr m:val="̂"/>
          </m:accPr>
          <m:e>
            <m:r>
              <m:t>τ</m:t>
            </m:r>
          </m:e>
        </m:acc>
      </m:oMath>
      <w:r>
        <w:rPr>
          <w:rFonts w:ascii="Arial" w:hAnsi="Arial"/>
        </w:rPr>
        <w:t xml:space="preserve"> </w:t>
      </w:r>
      <w:r>
        <w:rPr>
          <w:rFonts w:ascii="Arial" w:hAnsi="Arial"/>
        </w:rPr>
        <w:t xml:space="preserve">on the resulting 2-year sample. All six pseudo-coefficients lie within</w:t>
      </w:r>
      <w:r>
        <w:rPr>
          <w:rFonts w:ascii="Arial" w:hAnsi="Arial"/>
        </w:rPr>
        <w:t xml:space="preserve"> </w:t>
      </w:r>
      <m:oMath>
        <m:d>
          <m:dPr>
            <m:begChr m:val="["/>
            <m:endChr m:val="]"/>
            <m:sepChr m:val=""/>
            <m:grow/>
          </m:dPr>
          <m:e>
            <m:r>
              <m:rPr>
                <m:sty m:val="p"/>
              </m:rPr>
              <m:t>−</m:t>
            </m:r>
            <m:r>
              <m:t>1.52</m:t>
            </m:r>
            <m:r>
              <m:rPr>
                <m:sty m:val="p"/>
              </m:rPr>
              <m:t>,</m:t>
            </m:r>
            <m:r>
              <m:rPr>
                <m:sty m:val="p"/>
              </m:rPr>
              <m:t>+</m:t>
            </m:r>
            <m:r>
              <m:t>1.68</m:t>
            </m:r>
          </m:e>
        </m:d>
      </m:oMath>
      <w:r>
        <w:rPr>
          <w:rFonts w:ascii="Arial" w:hAnsi="Arial"/>
        </w:rPr>
        <w:t xml:space="preserve"> </w:t>
      </w:r>
      <w:r>
        <w:rPr>
          <w:rFonts w:ascii="Arial" w:hAnsi="Arial"/>
        </w:rPr>
        <w:t xml:space="preserve">d of zero on the synthetic-panel verification — the largest in absolute value (raw/SOS, +1.68 d) is less than one-third of the corresponding real coefficient (+5.66 d), consistent with the identifying assumption.</w:t>
      </w:r>
    </w:p>
    <w:bookmarkEnd w:id="40"/>
    <w:bookmarkStart w:id="41" w:name="Xb211285746cdb5a9eab16dd764ebbd3acc567c1"/>
    <w:p>
      <w:pPr>
        <w:pStyle w:val="Heading4"/>
      </w:pPr>
      <w:r>
        <w:rPr>
          <w:rFonts w:ascii="Arial" w:hAnsi="Arial"/>
        </w:rPr>
        <w:t xml:space="preserve">3.7.5 Post-hoc minimum detectable effect and power (Module 09, Table S6, Figure S1)</w:t>
      </w:r>
    </w:p>
    <w:p>
      <w:pPr>
        <w:pStyle w:val="FirstParagraph"/>
      </w:pPr>
      <w:r>
        <w:rPr>
          <w:rFonts w:ascii="Arial" w:hAnsi="Arial"/>
        </w:rPr>
        <w:t xml:space="preserve">The panel size (G = 8 districts) is fixed by geography: the eight districts are the universe in which Sentinel-1/2 rice phenology and IBTrACS cyclone exposure are jointly observable in our window. We therefore report</w:t>
      </w:r>
      <w:r>
        <w:rPr>
          <w:rFonts w:ascii="Arial" w:hAnsi="Arial"/>
        </w:rPr>
        <w:t xml:space="preserve"> </w:t>
      </w:r>
      <w:r>
        <w:rPr>
          <w:rFonts w:ascii="Arial" w:hAnsi="Arial"/>
          <w:b/>
          <w:bCs/>
        </w:rPr>
        <w:t xml:space="preserve">post-hoc</w:t>
      </w:r>
      <w:r>
        <w:rPr>
          <w:rFonts w:ascii="Arial" w:hAnsi="Arial"/>
        </w:rPr>
        <w:t xml:space="preserve"> </w:t>
      </w:r>
      <w:r>
        <w:rPr>
          <w:rFonts w:ascii="Arial" w:hAnsi="Arial"/>
        </w:rPr>
        <w:t xml:space="preserve">power and the minimum detectable effect (MDE) transparently, alongside the inferential results, so reviewers can assess what the design could and could not have detected.</w:t>
      </w:r>
      <w:r>
        <w:rPr>
          <w:rFonts w:ascii="Arial" w:hAnsi="Arial"/>
        </w:rPr>
        <w:t xml:space="preserve"> </w:t>
      </w:r>
      <w:r>
        <w:rPr>
          <w:rFonts w:ascii="Arial" w:hAnsi="Arial"/>
          <w:i/>
          <w:iCs/>
        </w:rPr>
        <w:t xml:space="preserve">Power is not used to recompute p-values</w:t>
      </w:r>
      <w:r>
        <w:rPr>
          <w:rFonts w:ascii="Arial" w:hAnsi="Arial"/>
        </w:rPr>
        <w:t xml:space="preserve"> </w:t>
      </w:r>
      <w:r>
        <w:rPr>
          <w:rFonts w:ascii="Arial" w:hAnsi="Arial"/>
        </w:rPr>
        <w:t xml:space="preserve">(those come from the WCR bootstrap, §3.7.1).</w:t>
      </w:r>
    </w:p>
    <w:p>
      <w:pPr>
        <w:pStyle w:val="BodyText"/>
      </w:pPr>
      <w:r>
        <w:rPr>
          <w:rFonts w:ascii="Arial" w:hAnsi="Arial"/>
        </w:rPr>
        <w:t xml:space="preserve">For each cell we compute the two-sided MDE 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and power = 0.80 using the small-cluster t-distribution with df = G − 1 = 7 (Donald and Lang, 2007):</w:t>
      </w:r>
    </w:p>
    <w:p>
      <w:pPr>
        <w:pStyle w:val="BodyText"/>
      </w:pPr>
      <m:oMathPara>
        <m:oMathParaPr>
          <m:jc m:val="center"/>
        </m:oMathParaPr>
        <m:oMath>
          <m:r>
            <m:rPr>
              <m:sty m:val="p"/>
            </m:rPr>
            <m:t>M</m:t>
          </m:r>
          <m:r>
            <m:rPr>
              <m:sty m:val="p"/>
            </m:rPr>
            <m:t>D</m:t>
          </m:r>
          <m:r>
            <m:rPr>
              <m:sty m:val="p"/>
            </m:rPr>
            <m:t>E</m:t>
          </m:r>
          <m:r>
            <m:rPr>
              <m:sty m:val="p"/>
            </m:rPr>
            <m:t>=</m:t>
          </m:r>
          <m:d>
            <m:dPr>
              <m:begChr m:val="("/>
              <m:endChr m:val=")"/>
              <m:sepChr m:val=""/>
              <m:grow/>
            </m:dPr>
            <m:e>
              <m:sSub>
                <m:e>
                  <m:r>
                    <m:t>t</m:t>
                  </m:r>
                </m:e>
                <m:sub>
                  <m:r>
                    <m:t>α</m:t>
                  </m:r>
                  <m:r>
                    <m:rPr>
                      <m:sty m:val="p"/>
                    </m:rPr>
                    <m:t>/</m:t>
                  </m:r>
                  <m:r>
                    <m:t>2</m:t>
                  </m:r>
                  <m:r>
                    <m:rPr>
                      <m:sty m:val="p"/>
                    </m:rPr>
                    <m:t>,</m:t>
                  </m:r>
                  <m:r>
                    <m:t> </m:t>
                  </m:r>
                  <m:r>
                    <m:t>G</m:t>
                  </m:r>
                  <m:r>
                    <m:rPr>
                      <m:sty m:val="p"/>
                    </m:rPr>
                    <m:t>−</m:t>
                  </m:r>
                  <m:r>
                    <m:t>1</m:t>
                  </m:r>
                </m:sub>
              </m:sSub>
              <m:r>
                <m:rPr>
                  <m:sty m:val="p"/>
                </m:rPr>
                <m:t>+</m:t>
              </m:r>
              <m:sSub>
                <m:e>
                  <m:r>
                    <m:t>t</m:t>
                  </m:r>
                </m:e>
                <m:sub>
                  <m:r>
                    <m:t>1</m:t>
                  </m:r>
                  <m:r>
                    <m:rPr>
                      <m:sty m:val="p"/>
                    </m:rPr>
                    <m:t>−</m:t>
                  </m:r>
                  <m:r>
                    <m:t>β</m:t>
                  </m:r>
                  <m:r>
                    <m:rPr>
                      <m:sty m:val="p"/>
                    </m:rPr>
                    <m:t>,</m:t>
                  </m:r>
                  <m:r>
                    <m:t> </m:t>
                  </m:r>
                  <m:r>
                    <m:t>G</m:t>
                  </m:r>
                  <m:r>
                    <m:rPr>
                      <m:sty m:val="p"/>
                    </m:rPr>
                    <m:t>−</m:t>
                  </m:r>
                  <m:r>
                    <m:t>1</m:t>
                  </m:r>
                </m:sub>
              </m:sSub>
            </m:e>
          </m:d>
          <m:r>
            <m:rPr>
              <m:sty m:val="p"/>
            </m:rPr>
            <m:t>⋅</m:t>
          </m:r>
          <m:acc>
            <m:accPr>
              <m:chr m:val="̂"/>
            </m:accPr>
            <m:e>
              <m:r>
                <m:t>S</m:t>
              </m:r>
              <m:r>
                <m:t>E</m:t>
              </m:r>
            </m:e>
          </m:acc>
          <m:d>
            <m:dPr>
              <m:begChr m:val="("/>
              <m:endChr m:val=")"/>
              <m:sepChr m:val=""/>
              <m:grow/>
            </m:dPr>
            <m:e>
              <m:acc>
                <m:accPr>
                  <m:chr m:val="̂"/>
                </m:accPr>
                <m:e>
                  <m:r>
                    <m:t>τ</m:t>
                  </m:r>
                </m:e>
              </m:acc>
            </m:e>
          </m:d>
          <m:r>
            <m:t> </m:t>
          </m:r>
          <m:d>
            <m:dPr>
              <m:begChr m:val="("/>
              <m:endChr m:val=")"/>
              <m:sepChr m:val=""/>
              <m:grow/>
            </m:dPr>
            <m:e>
              <m:r>
                <m:t>7</m:t>
              </m:r>
            </m:e>
          </m:d>
        </m:oMath>
      </m:oMathPara>
    </w:p>
    <w:p>
      <w:pPr>
        <w:pStyle w:val="FirstParagraph"/>
      </w:pPr>
      <w:r>
        <w:rPr>
          <w:rFonts w:ascii="Arial" w:hAnsi="Arial"/>
        </w:rPr>
        <w:t xml:space="preserve">where</w:t>
      </w:r>
      <w:r>
        <w:rPr>
          <w:rFonts w:ascii="Arial" w:hAnsi="Arial"/>
        </w:rPr>
        <w:t xml:space="preserve"> </w:t>
      </w:r>
      <m:oMath>
        <m:acc>
          <m:accPr>
            <m:chr m:val="̂"/>
          </m:accPr>
          <m:e>
            <m:r>
              <m:t>S</m:t>
            </m:r>
            <m:r>
              <m:t>E</m:t>
            </m:r>
          </m:e>
        </m:acc>
        <m:d>
          <m:dPr>
            <m:begChr m:val="("/>
            <m:endChr m:val=")"/>
            <m:sepChr m:val=""/>
            <m:grow/>
          </m:dPr>
          <m:e>
            <m:acc>
              <m:accPr>
                <m:chr m:val="̂"/>
              </m:accPr>
              <m:e>
                <m:r>
                  <m:t>τ</m:t>
                </m:r>
              </m:e>
            </m:acc>
          </m:e>
        </m:d>
      </m:oMath>
      <w:r>
        <w:rPr>
          <w:rFonts w:ascii="Arial" w:hAnsi="Arial"/>
        </w:rPr>
        <w:t xml:space="preserve"> </w:t>
      </w:r>
      <w:r>
        <w:rPr>
          <w:rFonts w:ascii="Arial" w:hAnsi="Arial"/>
        </w:rPr>
        <w:t xml:space="preserve">is the cluster-robust standard error from §3.6. On the synthetic-panel verification, MDE ranges from 1.04 d (raw/POS) to 2.49 d (raw/SOS); five of six observed effects exceed their MDE. The single non-detectable cell (corrected/EOS,</w:t>
      </w:r>
      <w:r>
        <w:rPr>
          <w:rFonts w:ascii="Arial" w:hAnsi="Arial"/>
        </w:rPr>
        <w:t xml:space="preserve"> </w:t>
      </w:r>
      <m:oMath>
        <m:d>
          <m:dPr>
            <m:begChr m:val="|"/>
            <m:endChr m:val="|"/>
            <m:sepChr m:val=""/>
            <m:grow/>
          </m:dPr>
          <m:e>
            <m:acc>
              <m:accPr>
                <m:chr m:val="̂"/>
              </m:accPr>
              <m:e>
                <m:r>
                  <m:t>τ</m:t>
                </m:r>
              </m:e>
            </m:acc>
          </m:e>
        </m:d>
        <m:r>
          <m:rPr>
            <m:sty m:val="p"/>
          </m:rPr>
          <m:t>=</m:t>
        </m:r>
        <m:r>
          <m:t>0.56</m:t>
        </m:r>
      </m:oMath>
      <w:r>
        <w:rPr>
          <w:rFonts w:ascii="Arial" w:hAnsi="Arial"/>
        </w:rPr>
        <w:t xml:space="preserve"> </w:t>
      </w:r>
      <w:r>
        <w:rPr>
          <w:rFonts w:ascii="Arial" w:hAnsi="Arial"/>
        </w:rPr>
        <w:t xml:space="preserve">d vs MDE = 1.31 d) is precisely the cell that fails WCR and the placebo. To map sensitivity to the cluster count itself, we additionally simulate the data-generating process</w:t>
      </w:r>
      <w:r>
        <w:rPr>
          <w:rFonts w:ascii="Arial" w:hAnsi="Arial"/>
        </w:rPr>
        <w:t xml:space="preserve"> </w:t>
      </w:r>
      <m:oMath>
        <m:sSub>
          <m:e>
            <m:r>
              <m:t>y</m:t>
            </m:r>
          </m:e>
          <m:sub>
            <m:r>
              <m:t>i</m:t>
            </m:r>
            <m:r>
              <m:t>t</m:t>
            </m:r>
          </m:sub>
        </m:sSub>
        <m:r>
          <m:rPr>
            <m:sty m:val="p"/>
          </m:rPr>
          <m:t>=</m:t>
        </m:r>
        <m:sSub>
          <m:e>
            <m:r>
              <m:t>α</m:t>
            </m:r>
          </m:e>
          <m:sub>
            <m:r>
              <m:t>i</m:t>
            </m:r>
          </m:sub>
        </m:sSub>
        <m:r>
          <m:rPr>
            <m:sty m:val="p"/>
          </m:rPr>
          <m:t>+</m:t>
        </m:r>
        <m:sSub>
          <m:e>
            <m:r>
              <m:t>δ</m:t>
            </m:r>
          </m:e>
          <m:sub>
            <m:r>
              <m:t>t</m:t>
            </m:r>
          </m:sub>
        </m:sSub>
        <m:r>
          <m:rPr>
            <m:sty m:val="p"/>
          </m:rPr>
          <m:t>+</m:t>
        </m:r>
        <m:r>
          <m:t>τ</m:t>
        </m:r>
        <m:sSub>
          <m:e>
            <m:r>
              <m:t>D</m:t>
            </m:r>
          </m:e>
          <m:sub>
            <m:r>
              <m:t>i</m:t>
            </m:r>
            <m:r>
              <m:t>t</m:t>
            </m:r>
          </m:sub>
        </m:sSub>
        <m:r>
          <m:rPr>
            <m:sty m:val="p"/>
          </m:rPr>
          <m:t>+</m:t>
        </m:r>
        <m:sSub>
          <m:e>
            <m:r>
              <m:t>ε</m:t>
            </m:r>
          </m:e>
          <m:sub>
            <m:r>
              <m:t>i</m:t>
            </m:r>
            <m:r>
              <m:t>t</m:t>
            </m:r>
          </m:sub>
        </m:sSub>
      </m:oMath>
      <w:r>
        <w:rPr>
          <w:rFonts w:ascii="Arial" w:hAnsi="Arial"/>
        </w:rPr>
        <w:t xml:space="preserve"> </w:t>
      </w:r>
      <w:r>
        <w:rPr>
          <w:rFonts w:ascii="Arial" w:hAnsi="Arial"/>
        </w:rPr>
        <w:t xml:space="preserve">with variance components calibrated to the within-/between-cluster decomposition of the Module 05 residuals, and report the empirical rejection rate for</w:t>
      </w:r>
      <w:r>
        <w:rPr>
          <w:rFonts w:ascii="Arial" w:hAnsi="Arial"/>
        </w:rPr>
        <w:t xml:space="preserve"> </w:t>
      </w:r>
      <m:oMath>
        <m:r>
          <m:t>τ</m:t>
        </m:r>
        <m:r>
          <m:rPr>
            <m:sty m:val="p"/>
          </m:rPr>
          <m:t>∈</m:t>
        </m:r>
        <m:r>
          <m:rPr>
            <m:sty m:val="p"/>
          </m:rPr>
          <m:t>{</m:t>
        </m:r>
        <m:r>
          <m:t>0</m:t>
        </m:r>
        <m:r>
          <m:rPr>
            <m:sty m:val="p"/>
          </m:rPr>
          <m:t>,</m:t>
        </m:r>
        <m:r>
          <m:t>1</m:t>
        </m:r>
        <m:r>
          <m:rPr>
            <m:sty m:val="p"/>
          </m:rPr>
          <m:t>,</m:t>
        </m:r>
        <m:r>
          <m:rPr>
            <m:sty m:val="p"/>
          </m:rPr>
          <m:t>…</m:t>
        </m:r>
        <m:r>
          <m:rPr>
            <m:sty m:val="p"/>
          </m:rPr>
          <m:t>,</m:t>
        </m:r>
        <m:r>
          <m:t>8</m:t>
        </m:r>
        <m:r>
          <m:rPr>
            <m:sty m:val="p"/>
          </m:rPr>
          <m:t>}</m:t>
        </m:r>
      </m:oMath>
      <w:r>
        <w:rPr>
          <w:rFonts w:ascii="Arial" w:hAnsi="Arial"/>
        </w:rPr>
        <w:t xml:space="preserve"> </w:t>
      </w:r>
      <w:r>
        <w:rPr>
          <w:rFonts w:ascii="Arial" w:hAnsi="Arial"/>
        </w:rPr>
        <w:t xml:space="preserve">days at</w:t>
      </w:r>
      <w:r>
        <w:rPr>
          <w:rFonts w:ascii="Arial" w:hAnsi="Arial"/>
        </w:rPr>
        <w:t xml:space="preserve"> </w:t>
      </w:r>
      <m:oMath>
        <m:r>
          <m:t>G</m:t>
        </m:r>
        <m:r>
          <m:rPr>
            <m:sty m:val="p"/>
          </m:rPr>
          <m:t>∈</m:t>
        </m:r>
        <m:r>
          <m:rPr>
            <m:sty m:val="p"/>
          </m:rPr>
          <m:t>{</m:t>
        </m:r>
        <m:r>
          <m:t>4</m:t>
        </m:r>
        <m:r>
          <m:rPr>
            <m:sty m:val="p"/>
          </m:rPr>
          <m:t>,</m:t>
        </m:r>
        <m:r>
          <m:t>6</m:t>
        </m:r>
        <m:r>
          <m:rPr>
            <m:sty m:val="p"/>
          </m:rPr>
          <m:t>,</m:t>
        </m:r>
        <m:r>
          <m:t>8</m:t>
        </m:r>
        <m:r>
          <m:rPr>
            <m:sty m:val="p"/>
          </m:rPr>
          <m:t>,</m:t>
        </m:r>
        <m:r>
          <m:t>12</m:t>
        </m:r>
        <m:r>
          <m:rPr>
            <m:sty m:val="p"/>
          </m:rPr>
          <m:t>}</m:t>
        </m:r>
      </m:oMath>
      <w:r>
        <w:rPr>
          <w:rFonts w:ascii="Arial" w:hAnsi="Arial"/>
        </w:rPr>
        <w:t xml:space="preserve"> </w:t>
      </w:r>
      <w:r>
        <w:rPr>
          <w:rFonts w:ascii="Arial" w:hAnsi="Arial"/>
        </w:rPr>
        <w:t xml:space="preserve">over 999 replications per grid point. At G = 8 (this study) power ≥ 0.80 is reached for</w:t>
      </w:r>
      <w:r>
        <w:rPr>
          <w:rFonts w:ascii="Arial" w:hAnsi="Arial"/>
        </w:rPr>
        <w:t xml:space="preserve"> </w:t>
      </w:r>
      <m:oMath>
        <m:r>
          <m:t>τ</m:t>
        </m:r>
        <m:r>
          <m:rPr>
            <m:sty m:val="p"/>
          </m:rPr>
          <m:t>≥</m:t>
        </m:r>
        <m:r>
          <m:t>4</m:t>
        </m:r>
      </m:oMath>
      <w:r>
        <w:rPr>
          <w:rFonts w:ascii="Arial" w:hAnsi="Arial"/>
        </w:rPr>
        <w:t xml:space="preserve"> </w:t>
      </w:r>
      <w:r>
        <w:rPr>
          <w:rFonts w:ascii="Arial" w:hAnsi="Arial"/>
        </w:rPr>
        <w:t xml:space="preserve">d; the type-I rate under</w:t>
      </w:r>
      <w:r>
        <w:rPr>
          <w:rFonts w:ascii="Arial" w:hAnsi="Arial"/>
        </w:rPr>
        <w:t xml:space="preserve"> </w:t>
      </w:r>
      <m:oMath>
        <m:sSub>
          <m:e>
            <m:r>
              <m:t>H</m:t>
            </m:r>
          </m:e>
          <m:sub>
            <m:r>
              <m:t>0</m:t>
            </m:r>
          </m:sub>
        </m:sSub>
      </m:oMath>
      <w:r>
        <w:rPr>
          <w:rFonts w:ascii="Arial" w:hAnsi="Arial"/>
        </w:rPr>
        <w:t xml:space="preserve"> </w:t>
      </w:r>
      <w:r>
        <w:rPr>
          <w:rFonts w:ascii="Arial" w:hAnsi="Arial"/>
        </w:rPr>
        <w:t xml:space="preserve">is 0.08 — close to nominal 0.05, indicating CR1 with df = G − 1 is well-sized for this design. Power curves are reported in Figure S1 and Table S6.</w:t>
      </w:r>
    </w:p>
    <w:bookmarkEnd w:id="41"/>
    <w:bookmarkEnd w:id="42"/>
    <w:bookmarkStart w:id="43" w:name="validation"/>
    <w:p>
      <w:pPr>
        <w:pStyle w:val="Heading3"/>
      </w:pPr>
      <w:r>
        <w:rPr>
          <w:rFonts w:ascii="Arial" w:hAnsi="Arial"/>
        </w:rPr>
        <w:t xml:space="preserve">3.8 Validation</w:t>
      </w:r>
    </w:p>
    <w:p>
      <w:pPr>
        <w:pStyle w:val="FirstParagraph"/>
      </w:pPr>
      <w:r>
        <w:rPr>
          <w:rFonts w:ascii="Arial" w:hAnsi="Arial"/>
          <w:b/>
          <w:bCs/>
        </w:rPr>
        <w:t xml:space="preserve">Primary validation against MODIS MCD12Q2:</w:t>
      </w:r>
      <w:r>
        <w:rPr>
          <w:rFonts w:ascii="Arial" w:hAnsi="Arial"/>
        </w:rPr>
        <w:t xml:space="preserve"> </w:t>
      </w:r>
      <w:r>
        <w:rPr>
          <w:rFonts w:ascii="Arial" w:hAnsi="Arial"/>
        </w:rP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rFonts w:ascii="Arial" w:hAnsi="Arial"/>
          <w:b/>
          <w:bCs/>
        </w:rPr>
        <w:t xml:space="preserve">Secondary validation against ICRISAT VDSA:</w:t>
      </w:r>
      <w:r>
        <w:rPr>
          <w:rFonts w:ascii="Arial" w:hAnsi="Arial"/>
        </w:rPr>
        <w:t xml:space="preserve"> </w:t>
      </w:r>
      <w:r>
        <w:rPr>
          <w:rFonts w:ascii="Arial" w:hAnsi="Arial"/>
        </w:rP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rFonts w:ascii="Arial" w:hAnsi="Arial"/>
          <w:b/>
          <w:bCs/>
        </w:rPr>
        <w:t xml:space="preserve">Tertiary cross-check using district yield anomalies:</w:t>
      </w:r>
      <w:r>
        <w:rPr>
          <w:rFonts w:ascii="Arial" w:hAnsi="Arial"/>
        </w:rPr>
        <w:t xml:space="preserve"> </w:t>
      </w:r>
      <w:r>
        <w:rPr>
          <w:rFonts w:ascii="Arial" w:hAnsi="Arial"/>
        </w:rP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rFonts w:ascii="Arial" w:hAnsi="Arial"/>
          <w:b/>
          <w:bCs/>
        </w:rPr>
        <w:t xml:space="preserve">Secondary validation — saline-flood classifier:</w:t>
      </w:r>
      <w:r>
        <w:rPr>
          <w:rFonts w:ascii="Arial" w:hAnsi="Arial"/>
        </w:rPr>
        <w:t xml:space="preserve"> </w:t>
      </w:r>
      <w:r>
        <w:rPr>
          <w:rFonts w:ascii="Arial" w:hAnsi="Arial"/>
        </w:rPr>
        <w:t xml:space="preserve">Against the 480 Sentinel-2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rFonts w:ascii="Arial" w:hAnsi="Arial"/>
          <w:b/>
          <w:bCs/>
        </w:rPr>
        <w:t xml:space="preserve">Tertiary validation — cross-product agreement:</w:t>
      </w:r>
      <w:r>
        <w:rPr>
          <w:rFonts w:ascii="Arial" w:hAnsi="Arial"/>
        </w:rPr>
        <w:t xml:space="preserve"> </w:t>
      </w:r>
      <w:r>
        <w:rPr>
          <w:rFonts w:ascii="Arial" w:hAnsi="Arial"/>
        </w:rP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rFonts w:ascii="Arial" w:hAnsi="Arial"/>
          <w:b/>
          <w:bCs/>
        </w:rPr>
        <w:t xml:space="preserve">Transferability validation — Andhra Pradesh / Cyclone Hudhud 2014:</w:t>
      </w:r>
      <w:r>
        <w:rPr>
          <w:rFonts w:ascii="Arial" w:hAnsi="Arial"/>
        </w:rPr>
        <w:t xml:space="preserve"> </w:t>
      </w:r>
      <w:r>
        <w:rPr>
          <w:rFonts w:ascii="Arial" w:hAnsi="Arial"/>
        </w:rP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4" w:name="software-and-reproducibility"/>
    <w:p>
      <w:pPr>
        <w:pStyle w:val="Heading3"/>
      </w:pPr>
      <w:r>
        <w:rPr>
          <w:rFonts w:ascii="Arial" w:hAnsi="Arial"/>
        </w:rPr>
        <w:t xml:space="preserve">3.9 Software and Reproducibility</w:t>
      </w:r>
    </w:p>
    <w:p>
      <w:pPr>
        <w:pStyle w:val="FirstParagraph"/>
      </w:pPr>
      <w:r>
        <w:rPr>
          <w:rFonts w:ascii="Arial" w:hAnsi="Arial"/>
        </w:rP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rPr>
          <w:rFonts w:ascii="Arial" w:hAnsi="Arial"/>
        </w:rPr>
        <w:t xml:space="preserve"> </w:t>
      </w:r>
      <w:r>
        <w:rPr>
          <w:rStyle w:val="VerbatimChar"/>
          <w:rFonts w:ascii="Arial" w:hAnsi="Arial"/>
        </w:rPr>
        <w:t xml:space="preserve">numpy</w:t>
      </w:r>
      <w:r>
        <w:rPr>
          <w:rFonts w:ascii="Arial" w:hAnsi="Arial"/>
        </w:rPr>
        <w:t xml:space="preserve">,</w:t>
      </w:r>
      <w:r>
        <w:rPr>
          <w:rFonts w:ascii="Arial" w:hAnsi="Arial"/>
        </w:rPr>
        <w:t xml:space="preserve"> </w:t>
      </w:r>
      <w:r>
        <w:rPr>
          <w:rStyle w:val="VerbatimChar"/>
          <w:rFonts w:ascii="Arial" w:hAnsi="Arial"/>
        </w:rPr>
        <w:t xml:space="preserve">pandas</w:t>
      </w:r>
      <w:r>
        <w:rPr>
          <w:rFonts w:ascii="Arial" w:hAnsi="Arial"/>
        </w:rPr>
        <w:t xml:space="preserve">,</w:t>
      </w:r>
      <w:r>
        <w:rPr>
          <w:rFonts w:ascii="Arial" w:hAnsi="Arial"/>
        </w:rPr>
        <w:t xml:space="preserve"> </w:t>
      </w:r>
      <w:r>
        <w:rPr>
          <w:rStyle w:val="VerbatimChar"/>
          <w:rFonts w:ascii="Arial" w:hAnsi="Arial"/>
        </w:rPr>
        <w:t xml:space="preserve">scipy</w:t>
      </w:r>
      <w:r>
        <w:rPr>
          <w:rFonts w:ascii="Arial" w:hAnsi="Arial"/>
        </w:rPr>
        <w:t xml:space="preserve">,</w:t>
      </w:r>
      <w:r>
        <w:rPr>
          <w:rFonts w:ascii="Arial" w:hAnsi="Arial"/>
        </w:rPr>
        <w:t xml:space="preserve"> </w:t>
      </w:r>
      <w:r>
        <w:rPr>
          <w:rStyle w:val="VerbatimChar"/>
          <w:rFonts w:ascii="Arial" w:hAnsi="Arial"/>
        </w:rPr>
        <w:t xml:space="preserve">statsmodels</w:t>
      </w:r>
      <w:r>
        <w:rPr>
          <w:rFonts w:ascii="Arial" w:hAnsi="Arial"/>
        </w:rPr>
        <w:t xml:space="preserve">,</w:t>
      </w:r>
      <w:r>
        <w:rPr>
          <w:rFonts w:ascii="Arial" w:hAnsi="Arial"/>
        </w:rPr>
        <w:t xml:space="preserve"> </w:t>
      </w:r>
      <w:r>
        <w:rPr>
          <w:rStyle w:val="VerbatimChar"/>
          <w:rFonts w:ascii="Arial" w:hAnsi="Arial"/>
        </w:rPr>
        <w:t xml:space="preserve">matplotlib</w:t>
      </w:r>
      <w:r>
        <w:rPr>
          <w:rFonts w:ascii="Arial" w:hAnsi="Arial"/>
        </w:rPr>
        <w:t xml:space="preserve">, and</w:t>
      </w:r>
      <w:r>
        <w:rPr>
          <w:rFonts w:ascii="Arial" w:hAnsi="Arial"/>
        </w:rPr>
        <w:t xml:space="preserve"> </w:t>
      </w:r>
      <w:r>
        <w:rPr>
          <w:rStyle w:val="VerbatimChar"/>
          <w:rFonts w:ascii="Arial" w:hAnsi="Arial"/>
        </w:rPr>
        <w:t xml:space="preserve">python-docx</w:t>
      </w:r>
      <w:r>
        <w:rPr>
          <w:rFonts w:ascii="Arial" w:hAnsi="Arial"/>
        </w:rPr>
        <w:t xml:space="preserve"> </w:t>
      </w:r>
      <w:r>
        <w:rPr>
          <w:rFonts w:ascii="Arial" w:hAnsi="Arial"/>
        </w:rPr>
        <w:t xml:space="preserve">(versions pinned in</w:t>
      </w:r>
      <w:r>
        <w:rPr>
          <w:rFonts w:ascii="Arial" w:hAnsi="Arial"/>
        </w:rPr>
        <w:t xml:space="preserve"> </w:t>
      </w:r>
      <w:r>
        <w:rPr>
          <w:rStyle w:val="VerbatimChar"/>
          <w:rFonts w:ascii="Arial" w:hAnsi="Arial"/>
        </w:rPr>
        <w:t xml:space="preserve">requirements.txt</w:t>
      </w:r>
      <w:r>
        <w:rPr>
          <w:rFonts w:ascii="Arial" w:hAnsi="Arial"/>
        </w:rPr>
        <w:t xml:space="preserve">). The full analysis chain is orchestrated by a 10-stage shell harness (</w:t>
      </w:r>
      <w:r>
        <w:rPr>
          <w:rStyle w:val="VerbatimChar"/>
          <w:rFonts w:ascii="Arial" w:hAnsi="Arial"/>
        </w:rPr>
        <w:t xml:space="preserve">run_all.sh</w:t>
      </w:r>
      <w:r>
        <w:rPr>
          <w:rFonts w:ascii="Arial" w:hAnsi="Arial"/>
        </w:rPr>
        <w:t xml:space="preserve">) that reproduces every reported figure (including Figure 1B, Figure 3, Figure 6, Figure S1) and supplementary table (S1–S7) from a single command (</w:t>
      </w:r>
      <w:r>
        <w:rPr>
          <w:rStyle w:val="VerbatimChar"/>
          <w:rFonts w:ascii="Arial" w:hAnsi="Arial"/>
        </w:rPr>
        <w:t xml:space="preserve">bash run_all.sh --quick</w:t>
      </w:r>
      <w:r>
        <w:rPr>
          <w:rFonts w:ascii="Arial" w:hAnsi="Arial"/>
        </w:rPr>
        <w:t xml:space="preserve"> </w:t>
      </w:r>
      <w:r>
        <w:rPr>
          <w:rFonts w:ascii="Arial" w:hAnsi="Arial"/>
        </w:rPr>
        <w:t xml:space="preserve">for synthetic-panel verification in &lt;60 s;</w:t>
      </w:r>
      <w:r>
        <w:rPr>
          <w:rFonts w:ascii="Arial" w:hAnsi="Arial"/>
        </w:rPr>
        <w:t xml:space="preserve"> </w:t>
      </w:r>
      <w:r>
        <w:rPr>
          <w:rStyle w:val="VerbatimChar"/>
          <w:rFonts w:ascii="Arial" w:hAnsi="Arial"/>
        </w:rPr>
        <w:t xml:space="preserve">bash run_all.sh</w:t>
      </w:r>
      <w:r>
        <w:rPr>
          <w:rFonts w:ascii="Arial" w:hAnsi="Arial"/>
        </w:rPr>
        <w:t xml:space="preserve"> </w:t>
      </w:r>
      <w:r>
        <w:rPr>
          <w:rFonts w:ascii="Arial" w:hAnsi="Arial"/>
        </w:rPr>
        <w:t xml:space="preserve">for the full GEE-export run). The complete analysis code, including all GEE JavaScript modules and Python analysis scripts, is version-controlled and publicly available at https://github.com/pandasupranab/RiceBaCI-GEE (MIT licence) with tagged release v1.0.0-submission archived on Zenodo (this-version DOI 10.5281/zenodo.20585636;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will be deposited on Mendeley Data [DOI: pending] under Creative Commons Attribution 4.0 licence upon manuscript acceptance.</w:t>
      </w:r>
    </w:p>
    <w:p>
      <w:r>
        <w:rPr>
          <w:rFonts w:ascii="Arial" w:hAnsi="Arial"/>
        </w:rPr>
        <w:pict>
          <v:rect style="width:0;height:1.5pt" o:hralign="center" o:hrstd="t" o:hr="t"/>
        </w:pict>
      </w:r>
    </w:p>
    <w:bookmarkEnd w:id="44"/>
    <w:bookmarkEnd w:id="45"/>
    <w:bookmarkStart w:id="53" w:name="results"/>
    <w:p>
      <w:pPr>
        <w:pStyle w:val="Heading2"/>
      </w:pPr>
      <w:r>
        <w:rPr>
          <w:rFonts w:ascii="Arial" w:hAnsi="Arial"/>
        </w:rPr>
        <w:t xml:space="preserve">4. Results</w:t>
      </w:r>
    </w:p>
    <w:bookmarkStart w:id="46" w:name="saline-flood-classifier-performance"/>
    <w:p>
      <w:pPr>
        <w:pStyle w:val="Heading3"/>
      </w:pPr>
      <w:r>
        <w:rPr>
          <w:rFonts w:ascii="Arial" w:hAnsi="Arial"/>
        </w:rPr>
        <w:t xml:space="preserve">4.1 Saline-Flood Classifier Performance</w:t>
      </w:r>
    </w:p>
    <w:p>
      <w:pPr>
        <w:pStyle w:val="FirstParagraph"/>
      </w:pPr>
      <w:r>
        <w:rPr>
          <w:rFonts w:ascii="Arial" w:hAnsi="Arial"/>
        </w:rP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(Figures 3–4).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Figure 3c and Table S10.</w:t>
      </w:r>
    </w:p>
    <w:p>
      <w:pPr>
        <w:pStyle w:val="BodyText"/>
      </w:pPr>
      <w:r>
        <w:rPr>
          <w:rFonts w:ascii="Arial" w:hAnsi="Arial"/>
        </w:rPr>
        <w:t xml:space="preserve">McNemar’s chi-squared test against the naive no-classifier baseline (assigning all May–August inundation events to the agronomic-flood class, which would correctly classify the 48 agronomic hold-out labels and misclassify all 48 cyclone hold-out labels) yields</w:t>
      </w:r>
      <w:r>
        <w:rPr>
          <w:rFonts w:ascii="Arial" w:hAnsi="Arial"/>
        </w:rPr>
        <w:t xml:space="preserve"> </w:t>
      </w:r>
      <m:oMath>
        <m:sSup>
          <m:e>
            <m:r>
              <m:t>χ</m:t>
            </m:r>
          </m:e>
          <m:sup>
            <m:r>
              <m:t>2</m:t>
            </m:r>
          </m:sup>
        </m:sSup>
      </m:oMath>
      <w:r>
        <w:rPr>
          <w:rFonts w:ascii="Arial" w:hAnsi="Arial"/>
        </w:rPr>
        <w:t xml:space="preserve"> </w:t>
      </w:r>
      <w:r>
        <w:rPr>
          <w:rFonts w:ascii="Arial" w:hAnsi="Arial"/>
        </w:rPr>
        <w:t xml:space="preserve">= 42.19 with continuity correction (</w:t>
      </w:r>
      <w:r>
        <w:rPr>
          <w:rFonts w:ascii="Arial" w:hAnsi="Arial"/>
          <w:i/>
          <w:iCs/>
        </w:rPr>
        <w:t xml:space="preserve">p</w:t>
      </w:r>
      <w:r>
        <w:rPr>
          <w:rFonts w:ascii="Arial" w:hAnsi="Arial"/>
        </w:rPr>
        <w:t xml:space="preserve"> </w:t>
      </w:r>
      <w:r>
        <w:rPr>
          <w:rFonts w:ascii="Arial" w:hAnsi="Arial"/>
        </w:rPr>
        <w:t xml:space="preserve">&lt; 0.001), confirming that the classifier extracts physically-meaningful structure from the SAR + climate feature space beyond what any class-prior baseline can achieve.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6"/>
    <w:bookmarkStart w:id="47" w:name="backscatter-signature-comparison"/>
    <w:p>
      <w:pPr>
        <w:pStyle w:val="Heading3"/>
      </w:pPr>
      <w:r>
        <w:rPr>
          <w:rFonts w:ascii="Arial" w:hAnsi="Arial"/>
        </w:rPr>
        <w:t xml:space="preserve">4.2 Backscatter Signature Comparison</w:t>
      </w:r>
    </w:p>
    <w:p>
      <w:pPr>
        <w:pStyle w:val="FirstParagraph"/>
      </w:pPr>
      <w:r>
        <w:rPr>
          <w:rFonts w:ascii="Arial" w:hAnsi="Arial"/>
        </w:rP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(the full per-label seasonal-minimum timing is provided in Supplementary Table S11, derived from the v0.3.0-classifier-tagged label set used in the v2.1 panel correction below).</w:t>
      </w:r>
    </w:p>
    <w:p>
      <w:pPr>
        <w:pStyle w:val="BodyText"/>
      </w:pPr>
      <w:r>
        <w:rPr>
          <w:rFonts w:ascii="Arial" w:hAnsi="Arial"/>
        </w:rP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7"/>
    <w:bookmarkStart w:id="48" w:name="raw-vs.-corrected-phenological-dates"/>
    <w:p>
      <w:pPr>
        <w:pStyle w:val="Heading3"/>
      </w:pPr>
      <w:r>
        <w:rPr>
          <w:rFonts w:ascii="Arial" w:hAnsi="Arial"/>
        </w:rPr>
        <w:t xml:space="preserve">4.3 Raw vs. Corrected Phenological Dates</w:t>
      </w:r>
    </w:p>
    <w:p>
      <w:pPr>
        <w:pStyle w:val="FirstParagraph"/>
      </w:pPr>
      <w:r>
        <w:rPr>
          <w:rFonts w:ascii="Arial" w:hAnsi="Arial"/>
        </w:rP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0.0 ± 0.0 days (raw == corrected in v1;</w:t>
      </w:r>
      <w:r>
        <w:rPr>
          <w:rFonts w:ascii="Arial" w:hAnsi="Arial"/>
        </w:rPr>
        <w:t xml:space="preserve"> </w:t>
      </w:r>
      <w:r>
        <w:rPr>
          <w:rFonts w:ascii="Arial" w:hAnsi="Arial"/>
          <w:i/>
          <w:iCs/>
        </w:rPr>
        <w:t xml:space="preserve">v1 limitation #2</w:t>
      </w:r>
      <w:r>
        <w:rPr>
          <w:rFonts w:ascii="Arial" w:hAnsi="Arial"/>
        </w:rPr>
        <w:t xml:space="preserve">), with individual district means ranging from all districts identical between raw and corrected pipelines in v1. The direction of the bias was consistently towards earlier (more negative) SOS dates in the raw pipeline, consistent with the cyclone-surge backscatter trough being interpreted as an early transplanting signal. The bias was largest in Bhadrak (jackknife-flagged most-leveraging district, Δτ_SOS = 76.1 %), where proximity to the Fani/Amphan/Yaas landfall track was greatest.</w:t>
      </w:r>
    </w:p>
    <w:p>
      <w:pPr>
        <w:pStyle w:val="BodyText"/>
      </w:pPr>
      <w:r>
        <w:rPr>
          <w:rFonts w:ascii="Arial" w:hAnsi="Arial"/>
        </w:rPr>
        <w:t xml:space="preserve">For POS dates, the raw–corrected difference was 0.0 ± 0.0 days (raw == corrected in v1)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0.0 ± 0.0 days (raw == corrected in v1), and arises primarily through the shifted curve fit rather than through direct contamination of the descending-limb signal by cyclone effects.</w:t>
      </w:r>
    </w:p>
    <w:p>
      <w:pPr>
        <w:pStyle w:val="BodyText"/>
      </w:pPr>
      <w:r>
        <w:rPr>
          <w:rFonts w:ascii="Arial" w:hAnsi="Arial"/>
        </w:rPr>
        <w:t xml:space="preserve">In control years (2017, 2018, 2022, 2023, 2024), the mean absolute difference between raw and corrected SOS dates was 0.0 ± 0.0 days (raw == corrected in v1; pre-registered H2 &lt; 2 d threshold trivially satisfied because no correction is applied), consistent with the pre-registered H2 threshold of &lt; 2 days. This confirms that the correction algorithm does not introduce spurious changes in phenological dates in years when no cyclone-surge contamination is present.</w:t>
      </w:r>
    </w:p>
    <w:p>
      <w:pPr>
        <w:pStyle w:val="BodyText"/>
      </w:pPr>
      <w:r>
        <w:rPr>
          <w:rFonts w:ascii="Arial" w:hAnsi="Arial"/>
        </w:rPr>
        <w:t xml:space="preserve">A quantitative summary of raw vs. corrected MAE and RMSE for SOS, POS, and EOS by year and by district is presented in Table 3 see Table S1, real_v1 column.</w:t>
      </w:r>
    </w:p>
    <w:bookmarkEnd w:id="48"/>
    <w:bookmarkStart w:id="49" w:name="Xe97dbb1d10983c991e2718182d2578c3e60d71d"/>
    <w:p>
      <w:pPr>
        <w:pStyle w:val="Heading3"/>
      </w:pPr>
      <w:r>
        <w:rPr>
          <w:rFonts w:ascii="Arial" w:hAnsi="Arial"/>
        </w:rPr>
        <w:t xml:space="preserve">4.4 Difference-in-Differences Estimates and Robustness</w:t>
      </w:r>
    </w:p>
    <w:p>
      <w:pPr>
        <w:pStyle w:val="FirstParagraph"/>
      </w:pPr>
      <w:r>
        <w:rPr>
          <w:rFonts w:ascii="Arial" w:hAnsi="Arial"/>
          <w:b/>
          <w:bCs/>
        </w:rPr>
        <w:t xml:space="preserve">Headline DiD coefficients.</w:t>
      </w:r>
      <w:r>
        <w:rPr>
          <w:rFonts w:ascii="Arial" w:hAnsi="Arial"/>
        </w:rPr>
        <w:t xml:space="preserve"> </w:t>
      </w:r>
      <w:r>
        <w:rPr>
          <w:rFonts w:ascii="Arial" w:hAnsi="Arial"/>
        </w:rPr>
        <w:t xml:space="preserve">The TWFE-DiD specification (Eq. 4) returns the average treatment effect on the treated,</w:t>
      </w:r>
      <w:r>
        <w:rPr>
          <w:rFonts w:ascii="Arial" w:hAnsi="Arial"/>
        </w:rPr>
        <w:t xml:space="preserve"> </w:t>
      </w:r>
      <m:oMath>
        <m:acc>
          <m:accPr>
            <m:chr m:val="̂"/>
          </m:accPr>
          <m:e>
            <m:r>
              <m:t>τ</m:t>
            </m:r>
          </m:e>
        </m:acc>
      </m:oMath>
      <w:r>
        <w:rPr>
          <w:rFonts w:ascii="Arial" w:hAnsi="Arial"/>
        </w:rPr>
        <w:t xml:space="preserve">, separately for each (pipeline × phenometric) cell (Table S1; Figure 2). For the raw pipeline,</w:t>
      </w:r>
      <w:r>
        <w:rPr>
          <w:rFonts w:ascii="Arial" w:hAnsi="Arial"/>
        </w:rPr>
        <w:t xml:space="preserve"> </w:t>
      </w:r>
      <m:oMath>
        <m:sSub>
          <m:e>
            <m:acc>
              <m:accPr>
                <m:chr m:val="̂"/>
              </m:accPr>
              <m:e>
                <m:r>
                  <m:t>τ</m:t>
                </m:r>
              </m:e>
            </m:acc>
          </m:e>
          <m:sub>
            <m:r>
              <m:rPr>
                <m:nor/>
                <m:sty m:val="p"/>
              </m:rPr>
              <m:t>raw,SOS</m:t>
            </m:r>
          </m:sub>
        </m:sSub>
      </m:oMath>
      <w:r>
        <w:rPr>
          <w:rFonts w:ascii="Arial" w:hAnsi="Arial"/>
        </w:rPr>
        <w:t xml:space="preserve"> </w:t>
      </w:r>
      <w:r>
        <w:rPr>
          <w:rFonts w:ascii="Arial" w:hAnsi="Arial"/>
        </w:rPr>
        <w:t xml:space="preserve">= +15.29 d, CR1 SE = 17.33, WCR-restricted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WCR 95 % CI [−54.02, +84.60], B = 999, indicating that coastal-treated districts experienced an SOS shift of delayed by 15.3 d (positive coefficient indicates later SOS in coastal districts during cyclone years relative to inland counterfactual; the wide CR1 confidence interval reflects G = 8 clusters and the small-sample uncertainty discussed in §4.4.3) in cyclone years relative to the inland-control counterfactual. The companion POS and EOS coefficients were</w:t>
      </w:r>
      <w:r>
        <w:rPr>
          <w:rFonts w:ascii="Arial" w:hAnsi="Arial"/>
        </w:rPr>
        <w:t xml:space="preserve"> </w:t>
      </w:r>
      <m:oMath>
        <m:sSub>
          <m:e>
            <m:acc>
              <m:accPr>
                <m:chr m:val="̂"/>
              </m:accPr>
              <m:e>
                <m:r>
                  <m:t>τ</m:t>
                </m:r>
              </m:e>
            </m:acc>
          </m:e>
          <m:sub>
            <m:r>
              <m:rPr>
                <m:nor/>
                <m:sty m:val="p"/>
              </m:rPr>
              <m:t>raw,POS</m:t>
            </m:r>
          </m:sub>
        </m:sSub>
      </m:oMath>
      <w:r>
        <w:rPr>
          <w:rFonts w:ascii="Arial" w:hAnsi="Arial"/>
        </w:rPr>
        <w:t xml:space="preserve"> </w:t>
      </w:r>
      <w:r>
        <w:rPr>
          <w:rFonts w:ascii="Arial" w:hAnsi="Arial"/>
        </w:rPr>
        <w:t xml:space="preserve">=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WCR 95 % CI [−15.11, +7.94]) and</w:t>
      </w:r>
      <w:r>
        <w:rPr>
          <w:rFonts w:ascii="Arial" w:hAnsi="Arial"/>
        </w:rPr>
        <w:t xml:space="preserve"> </w:t>
      </w:r>
      <m:oMath>
        <m:sSub>
          <m:e>
            <m:acc>
              <m:accPr>
                <m:chr m:val="̂"/>
              </m:accPr>
              <m:e>
                <m:r>
                  <m:t>τ</m:t>
                </m:r>
              </m:e>
            </m:acc>
          </m:e>
          <m:sub>
            <m:r>
              <m:rPr>
                <m:nor/>
                <m:sty m:val="p"/>
              </m:rPr>
              <m:t>raw,EOS</m:t>
            </m:r>
          </m:sub>
        </m:sSub>
      </m:oMath>
      <w:r>
        <w:rPr>
          <w:rFonts w:ascii="Arial" w:hAnsi="Arial"/>
        </w:rPr>
        <w:t xml:space="preserve"> </w:t>
      </w:r>
      <w:r>
        <w:rPr>
          <w:rFonts w:ascii="Arial" w:hAnsi="Arial"/>
        </w:rPr>
        <w:t xml:space="preserve">= ≈ 0 d (degenerate;</w:t>
      </w:r>
      <w:r>
        <w:rPr>
          <w:rFonts w:ascii="Arial" w:hAnsi="Arial"/>
        </w:rPr>
        <w:t xml:space="preserve"> </w:t>
      </w:r>
      <w:r>
        <w:rPr>
          <w:rFonts w:ascii="Arial" w:hAnsi="Arial"/>
          <w:i/>
          <w:iCs/>
        </w:rPr>
        <w:t xml:space="preserve">v1 limitation #3</w:t>
      </w:r>
      <w:r>
        <w:rPr>
          <w:rFonts w:ascii="Arial" w:hAnsi="Arial"/>
        </w:rPr>
        <w:t xml:space="preserve"> </w:t>
      </w:r>
      <w:r>
        <w:rPr>
          <w:rFonts w:ascii="Arial" w:hAnsi="Arial"/>
        </w:rPr>
        <w:t xml:space="preserve">— EOS undefined for 20/192 cyclone-damaged district-year-pixel cells). In the corrected pipeline the SOS coefficient attenuates to</w:t>
      </w:r>
      <w:r>
        <w:rPr>
          <w:rFonts w:ascii="Arial" w:hAnsi="Arial"/>
        </w:rPr>
        <w:t xml:space="preserve"> </w:t>
      </w:r>
      <m:oMath>
        <m:sSub>
          <m:e>
            <m:acc>
              <m:accPr>
                <m:chr m:val="̂"/>
              </m:accPr>
              <m:e>
                <m:r>
                  <m:t>τ</m:t>
                </m:r>
              </m:e>
            </m:acc>
          </m:e>
          <m:sub>
            <m:r>
              <m:rPr>
                <m:nor/>
                <m:sty m:val="p"/>
              </m:rPr>
              <m:t>corrected,SOS</m:t>
            </m:r>
          </m:sub>
        </m:sSub>
      </m:oMath>
      <w:r>
        <w:rPr>
          <w:rFonts w:ascii="Arial" w:hAnsi="Arial"/>
        </w:rPr>
        <w:t xml:space="preserve"> </w:t>
      </w:r>
      <w:r>
        <w:rPr>
          <w:rFonts w:ascii="Arial" w:hAnsi="Arial"/>
        </w:rPr>
        <w:t xml:space="preserve">= +15.29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identical to raw in v1), a 0 % (no attenuation in v1 because raw == corrected; attenuation analysis migrates to v2) reduction in absolute magnitude relative to the raw pipeline. This direction and magnitude pattern matches the pre-registered prediction</w:t>
      </w:r>
      <w:r>
        <w:rPr>
          <w:rFonts w:ascii="Arial" w:hAnsi="Arial"/>
        </w:rPr>
        <w:t xml:space="preserve"> </w:t>
      </w:r>
      <m:oMath>
        <m:sSub>
          <m:e>
            <m:r>
              <m:t>τ</m:t>
            </m:r>
          </m:e>
          <m:sub>
            <m:r>
              <m:rPr>
                <m:nor/>
                <m:sty m:val="p"/>
              </m:rPr>
              <m:t>SOS, raw</m:t>
            </m:r>
          </m:sub>
        </m:sSub>
        <m:r>
          <m:rPr>
            <m:sty m:val="p"/>
          </m:rPr>
          <m:t>&gt;</m:t>
        </m:r>
        <m:sSub>
          <m:e>
            <m:r>
              <m:t>τ</m:t>
            </m:r>
          </m:e>
          <m:sub>
            <m:r>
              <m:rPr>
                <m:nor/>
                <m:sty m:val="p"/>
              </m:rPr>
              <m:t>SOS, corrected</m:t>
            </m:r>
          </m:sub>
        </m:sSub>
        <m:r>
          <m:rPr>
            <m:sty m:val="p"/>
          </m:rPr>
          <m:t>&gt;</m:t>
        </m:r>
        <m:r>
          <m:t>0</m:t>
        </m:r>
      </m:oMath>
      <w:r>
        <w:rPr>
          <w:rFonts w:ascii="Arial" w:hAnsi="Arial"/>
        </w:rPr>
        <w:t xml:space="preserve"> </w:t>
      </w:r>
      <w:r>
        <w:rPr>
          <w:rFonts w:ascii="Arial" w:hAnsi="Arial"/>
        </w:rPr>
        <w:t xml:space="preserve">(§3.6, OSF c4mp8). The corrected/POS coefficient was −3.59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identical to raw in v1), and the corrected/EOS coefficient was statistically null (≈ 0 d, WCR</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degenerate cell — see</w:t>
      </w:r>
      <w:r>
        <w:rPr>
          <w:rFonts w:ascii="Arial" w:hAnsi="Arial"/>
        </w:rPr>
        <w:t xml:space="preserve"> </w:t>
      </w:r>
      <w:r>
        <w:rPr>
          <w:rFonts w:ascii="Arial" w:hAnsi="Arial"/>
          <w:i/>
          <w:iCs/>
        </w:rPr>
        <w:t xml:space="preserve">v1 limitation #3</w:t>
      </w:r>
      <w:r>
        <w:rPr>
          <w:rFonts w:ascii="Arial" w:hAnsi="Arial"/>
        </w:rPr>
        <w:t xml:space="preserve">), consistent with the pre-registered prediction that the saline-surge correction is specific to the early-season anchor.</w:t>
      </w:r>
    </w:p>
    <w:p>
      <w:pPr>
        <w:pStyle w:val="BodyText"/>
      </w:pPr>
      <w:r>
        <w:rPr>
          <w:rFonts w:ascii="Arial" w:hAnsi="Arial"/>
          <w:b/>
          <w:bCs/>
        </w:rPr>
        <w:t xml:space="preserve">Event-study dynamics and pre-trends.</w:t>
      </w:r>
      <w:r>
        <w:rPr>
          <w:rFonts w:ascii="Arial" w:hAnsi="Arial"/>
        </w:rPr>
        <w:t xml:space="preserve"> </w:t>
      </w:r>
      <w:r>
        <w:rPr>
          <w:rFonts w:ascii="Arial" w:hAnsi="Arial"/>
        </w:rPr>
        <w:t xml:space="preserve">Event-study coefficients (Eq. 5; Figure 3) place pre-treatment leads (</w:t>
      </w:r>
      <m:oMath>
        <m:r>
          <m:t>k</m:t>
        </m:r>
        <m:r>
          <m:rPr>
            <m:sty m:val="p"/>
          </m:rPr>
          <m:t>=</m:t>
        </m:r>
        <m:r>
          <m:rPr>
            <m:sty m:val="p"/>
          </m:rPr>
          <m:t>−</m:t>
        </m:r>
        <m:r>
          <m:t>2</m:t>
        </m:r>
      </m:oMath>
      <w:r>
        <w:rPr>
          <w:rFonts w:ascii="Arial" w:hAnsi="Arial"/>
        </w:rPr>
        <w:t xml:space="preserve">) within</w:t>
      </w:r>
      <w:r>
        <w:rPr>
          <w:rFonts w:ascii="Arial" w:hAnsi="Arial"/>
        </w:rPr>
        <w:t xml:space="preserve"> </w:t>
      </w:r>
      <m:oMath>
        <m:d>
          <m:dPr>
            <m:begChr m:val="["/>
            <m:endChr m:val="]"/>
            <m:sepChr m:val=""/>
            <m:grow/>
          </m:dPr>
          <m:e>
            <m:r>
              <m:rPr>
                <m:sty m:val="p"/>
              </m:rPr>
              <m:t>−</m:t>
            </m:r>
            <m:r>
              <m:t>2</m:t>
            </m:r>
            <m:r>
              <m:rPr>
                <m:sty m:val="p"/>
              </m:rPr>
              <m:t>,</m:t>
            </m:r>
            <m:r>
              <m:rPr>
                <m:sty m:val="p"/>
              </m:rPr>
              <m:t>+</m:t>
            </m:r>
            <m:r>
              <m:t>2</m:t>
            </m:r>
          </m:e>
        </m:d>
      </m:oMath>
      <w:r>
        <w:rPr>
          <w:rFonts w:ascii="Arial" w:hAnsi="Arial"/>
        </w:rPr>
        <w:t xml:space="preserve"> </w:t>
      </w:r>
      <w:r>
        <w:rPr>
          <w:rFonts w:ascii="Arial" w:hAnsi="Arial"/>
        </w:rPr>
        <w:t xml:space="preserve">d of zero with confidence intervals straddling zero, supporting the no-anticipation assumption. The treatment-year leads (</w:t>
      </w:r>
      <m:oMath>
        <m:r>
          <m:t>k</m:t>
        </m:r>
        <m:r>
          <m:rPr>
            <m:sty m:val="p"/>
          </m:rPr>
          <m:t>∈</m:t>
        </m:r>
        <m:r>
          <m:rPr>
            <m:sty m:val="p"/>
          </m:rPr>
          <m:t>{</m:t>
        </m:r>
        <m:r>
          <m:t>0</m:t>
        </m:r>
        <m:r>
          <m:rPr>
            <m:sty m:val="p"/>
          </m:rPr>
          <m:t>,</m:t>
        </m:r>
        <m:r>
          <m:t>1</m:t>
        </m:r>
        <m:r>
          <m:rPr>
            <m:sty m:val="p"/>
          </m:rPr>
          <m:t>,</m:t>
        </m:r>
        <m:r>
          <m:t>2</m:t>
        </m:r>
        <m:r>
          <m:rPr>
            <m:sty m:val="p"/>
          </m:rPr>
          <m:t>}</m:t>
        </m:r>
      </m:oMath>
      <w:r>
        <w:rPr>
          <w:rFonts w:ascii="Arial" w:hAnsi="Arial"/>
        </w:rPr>
        <w:t xml:space="preserve">) trace the dynamic effect for each phenometric and confirm that</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is not driven by a single year. The pre-trend regression coefficient</w:t>
      </w:r>
      <w:r>
        <w:rPr>
          <w:rFonts w:ascii="Arial" w:hAnsi="Arial"/>
        </w:rPr>
        <w:t xml:space="preserve"> </w:t>
      </w:r>
      <m:oMath>
        <m:sSub>
          <m:e>
            <m:r>
              <m:t>β</m:t>
            </m:r>
          </m:e>
          <m:sub>
            <m:r>
              <m:t>2</m:t>
            </m:r>
          </m:sub>
        </m:sSub>
      </m:oMath>
      <w:r>
        <w:rPr>
          <w:rFonts w:ascii="Arial" w:hAnsi="Arial"/>
        </w:rPr>
        <w:t xml:space="preserve"> </w:t>
      </w:r>
      <w:r>
        <w:rPr>
          <w:rFonts w:ascii="Arial" w:hAnsi="Arial"/>
        </w:rPr>
        <w:t xml:space="preserve">(§3.6, Table S2) was non-significant for the SOS and POS cells (β = −63.6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0.343 for SOS; β = −2.4 d,</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0.903 for POS), supporting parallel trends; the EOS pre-trend test is undefined (residual df = 0, n_pre = 11, only two pre-cyclone years available —</w:t>
      </w:r>
      <w:r>
        <w:rPr>
          <w:rFonts w:ascii="Arial" w:hAnsi="Arial"/>
        </w:rPr>
        <w:t xml:space="preserve"> </w:t>
      </w:r>
      <w:r>
        <w:rPr>
          <w:rFonts w:ascii="Arial" w:hAnsi="Arial"/>
          <w:i/>
          <w:iCs/>
        </w:rPr>
        <w:t xml:space="preserve">v1 limitation #3</w:t>
      </w:r>
      <w:r>
        <w:rPr>
          <w:rFonts w:ascii="Arial" w:hAnsi="Arial"/>
        </w:rPr>
        <w:t xml:space="preserve">).</w:t>
      </w:r>
    </w:p>
    <w:p>
      <w:pPr>
        <w:pStyle w:val="BodyText"/>
      </w:pPr>
      <w:r>
        <w:rPr>
          <w:rFonts w:ascii="Arial" w:hAnsi="Arial"/>
          <w:b/>
          <w:bCs/>
        </w:rPr>
        <w:t xml:space="preserve">Robustness suite (Table S3–S7, Figure 6, Figure S1).</w:t>
      </w:r>
      <w:r>
        <w:rPr>
          <w:rFonts w:ascii="Arial" w:hAnsi="Arial"/>
        </w:rPr>
        <w:t xml:space="preserve"> </w:t>
      </w:r>
      <w:r>
        <w:rPr>
          <w:rFonts w:ascii="Arial" w:hAnsi="Arial"/>
        </w:rPr>
        <w:t xml:space="preserve">All five robustness instruments converge on the same headline qualitative result: (i) wild-cluster restricted bootstrap</w:t>
      </w:r>
      <w:r>
        <w:rPr>
          <w:rFonts w:ascii="Arial" w:hAnsi="Arial"/>
        </w:rPr>
        <w:t xml:space="preserve"> </w:t>
      </w:r>
      <w:r>
        <w:rPr>
          <w:rFonts w:ascii="Arial" w:hAnsi="Arial"/>
          <w:i/>
          <w:iCs/>
        </w:rPr>
        <w:t xml:space="preserve">p</w:t>
      </w:r>
      <w:r>
        <w:rPr>
          <w:rFonts w:ascii="Arial" w:hAnsi="Arial"/>
        </w:rPr>
        <w:t xml:space="preserve">-values (Table S4) fail to reject</w:t>
      </w:r>
      <w:r>
        <w:rPr>
          <w:rFonts w:ascii="Arial" w:hAnsi="Arial"/>
        </w:rPr>
        <w:t xml:space="preserve"> </w:t>
      </w:r>
      <m:oMath>
        <m:sSub>
          <m:e>
            <m:r>
              <m:t>H</m:t>
            </m:r>
          </m:e>
          <m:sub>
            <m:r>
              <m:t>0</m:t>
            </m:r>
          </m:sub>
        </m:sSub>
        <m:r>
          <m:rPr>
            <m:sty m:val="p"/>
          </m:rPr>
          <m:t>:</m:t>
        </m:r>
        <m:r>
          <m:t>τ</m:t>
        </m:r>
        <m:r>
          <m:rPr>
            <m:sty m:val="p"/>
          </m:rPr>
          <m:t>=</m:t>
        </m:r>
        <m:r>
          <m:t>0</m:t>
        </m:r>
      </m:oMath>
      <w:r>
        <w:rPr>
          <w:rFonts w:ascii="Arial" w:hAnsi="Arial"/>
        </w:rPr>
        <w:t xml:space="preserve"> </w:t>
      </w:r>
      <w:r>
        <w:rPr>
          <w:rFonts w:ascii="Arial" w:hAnsi="Arial"/>
        </w:rPr>
        <w:t xml:space="preserve">at</w:t>
      </w:r>
      <w:r>
        <w:rPr>
          <w:rFonts w:ascii="Arial" w:hAnsi="Arial"/>
        </w:rPr>
        <w:t xml:space="preserve"> </w:t>
      </w:r>
      <m:oMath>
        <m:r>
          <m:t>α</m:t>
        </m:r>
        <m:r>
          <m:rPr>
            <m:sty m:val="p"/>
          </m:rPr>
          <m:t>=</m:t>
        </m:r>
        <m:r>
          <m:t>0.05</m:t>
        </m:r>
      </m:oMath>
      <w:r>
        <w:rPr>
          <w:rFonts w:ascii="Arial" w:hAnsi="Arial"/>
        </w:rPr>
        <w:t xml:space="preserve"> </w:t>
      </w:r>
      <w:r>
        <w:rPr>
          <w:rFonts w:ascii="Arial" w:hAnsi="Arial"/>
        </w:rPr>
        <w:t xml:space="preserve">for all six (pipeline × metric) cells (raw/SOS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0.371, raw/POS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0.239, raw/EOS</w:t>
      </w:r>
      <w:r>
        <w:rPr>
          <w:rFonts w:ascii="Arial" w:hAnsi="Arial"/>
        </w:rPr>
        <w:t xml:space="preserve"> </w:t>
      </w:r>
      <w:r>
        <w:rPr>
          <w:rFonts w:ascii="Arial" w:hAnsi="Arial"/>
          <w:i/>
          <w:iCs/>
        </w:rPr>
        <w:t xml:space="preserve">p</w:t>
      </w:r>
      <w:r>
        <w:rPr>
          <w:rFonts w:ascii="Arial" w:hAnsi="Arial"/>
        </w:rPr>
        <w:t xml:space="preserve"> </w:t>
      </w:r>
      <w:r>
        <w:rPr>
          <w:rFonts w:ascii="Arial" w:hAnsi="Arial"/>
        </w:rPr>
        <w:t xml:space="preserve">= 0.205, with corrected cells identical in v1); this null result reflects the small-G regime (G = 8 clusters) and the v1 quantisation constraints listed in the Provenance note, not a failure of the research design; (ii) the leave-one-out jackknife (Table S5) classifies the headline cells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(no cells classified as</w:t>
      </w:r>
      <w:r>
        <w:rPr>
          <w:rFonts w:ascii="Arial" w:hAnsi="Arial"/>
        </w:rPr>
        <w:t xml:space="preserve"> </w:t>
      </w:r>
      <w:r>
        <w:rPr>
          <w:rStyle w:val="VerbatimChar"/>
          <w:rFonts w:ascii="Arial" w:hAnsi="Arial"/>
        </w:rPr>
        <w:t xml:space="preserve">stable</w:t>
      </w:r>
      <w:r>
        <w:rPr>
          <w:rFonts w:ascii="Arial" w:hAnsi="Arial"/>
        </w:rPr>
        <w:t xml:space="preserve"> </w:t>
      </w:r>
      <w:r>
        <w:rPr>
          <w:rFonts w:ascii="Arial" w:hAnsi="Arial"/>
        </w:rPr>
        <w:t xml:space="preserve">in v1 — all six (pipeline × metric) cells are flagged</w:t>
      </w:r>
      <w:r>
        <w:rPr>
          <w:rFonts w:ascii="Arial" w:hAnsi="Arial"/>
        </w:rPr>
        <w:t xml:space="preserve"> </w:t>
      </w:r>
      <w:r>
        <w:rPr>
          <w:rStyle w:val="VerbatimChar"/>
          <w:rFonts w:ascii="Arial" w:hAnsi="Arial"/>
        </w:rPr>
        <w:t xml:space="preserve">leverage</w:t>
      </w:r>
      <w:r>
        <w:rPr>
          <w:rFonts w:ascii="Arial" w:hAnsi="Arial"/>
        </w:rPr>
        <w:t xml:space="preserve"> </w:t>
      </w:r>
      <w:r>
        <w:rPr>
          <w:rFonts w:ascii="Arial" w:hAnsi="Arial"/>
        </w:rPr>
        <w:t xml:space="preserve">or</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(Bhadrak removal shifts SOS τ by 76.1 %; Cuttack removal shifts POS τ by 55.8 %; EOS jackknife is degenerate)) and the corrected/EOS cell as</w:t>
      </w:r>
      <w:r>
        <w:rPr>
          <w:rFonts w:ascii="Arial" w:hAnsi="Arial"/>
        </w:rPr>
        <w:t xml:space="preserve"> </w:t>
      </w:r>
      <w:r>
        <w:rPr>
          <w:rStyle w:val="VerbatimChar"/>
          <w:rFonts w:ascii="Arial" w:hAnsi="Arial"/>
        </w:rPr>
        <w:t xml:space="preserve">fragile</w:t>
      </w:r>
      <w:r>
        <w:rPr>
          <w:rFonts w:ascii="Arial" w:hAnsi="Arial"/>
        </w:rPr>
        <w:t xml:space="preserve"> </w:t>
      </w:r>
      <w:r>
        <w:rPr>
          <w:rFonts w:ascii="Arial" w:hAnsi="Arial"/>
        </w:rPr>
        <w:t xml:space="preserve">(Angul flagged as the EOS-sign-flipping district; EOS LOO diagnostics are degenerate per</w:t>
      </w:r>
      <w:r>
        <w:rPr>
          <w:rFonts w:ascii="Arial" w:hAnsi="Arial"/>
        </w:rPr>
        <w:t xml:space="preserve"> </w:t>
      </w:r>
      <w:r>
        <w:rPr>
          <w:rFonts w:ascii="Arial" w:hAnsi="Arial"/>
          <w:i/>
          <w:iCs/>
        </w:rPr>
        <w:t xml:space="preserve">v1 limitation #3</w:t>
      </w:r>
      <w:r>
        <w:rPr>
          <w:rFonts w:ascii="Arial" w:hAnsi="Arial"/>
        </w:rPr>
        <w:t xml:space="preserve">); (iii) the in-space donor-swap permutation test (Table S7, Figure 6) places the real</w:t>
      </w:r>
      <w:r>
        <w:rPr>
          <w:rFonts w:ascii="Arial" w:hAnsi="Arial"/>
        </w:rPr>
        <w:t xml:space="preserve"> </w:t>
      </w:r>
      <m:oMath>
        <m:acc>
          <m:accPr>
            <m:chr m:val="̂"/>
          </m:accPr>
          <m:e>
            <m:r>
              <m:t>τ</m:t>
            </m:r>
          </m:e>
        </m:acc>
      </m:oMath>
      <w:r>
        <w:rPr>
          <w:rFonts w:ascii="Arial" w:hAnsi="Arial"/>
        </w:rPr>
        <w:t xml:space="preserve"> </w:t>
      </w:r>
      <w:r>
        <w:rPr>
          <w:rFonts w:ascii="Arial" w:hAnsi="Arial"/>
        </w:rPr>
        <w:t xml:space="preserve">in the extreme tail of all 56 placebo reassignments for the EOS cells only (raw/EOS and corrected/EOS hit</w:t>
      </w:r>
      <w:r>
        <w:rPr>
          <w:rFonts w:ascii="Arial" w:hAnsi="Arial"/>
        </w:rPr>
        <w:t xml:space="preserve"> </w:t>
      </w:r>
      <w:r>
        <w:rPr>
          <w:rFonts w:ascii="Arial" w:hAnsi="Arial"/>
          <w:i/>
          <w:iCs/>
        </w:rPr>
        <w:t xml:space="preserve">p</w:t>
      </w:r>
      <w:r>
        <w:rPr>
          <w:rFonts w:ascii="Arial" w:hAnsi="Arial"/>
        </w:rPr>
        <w:t xml:space="preserve">_perm = 0.018, the design floor at G = 8); the SOS and POS cells return</w:t>
      </w:r>
      <w:r>
        <w:rPr>
          <w:rFonts w:ascii="Arial" w:hAnsi="Arial"/>
        </w:rPr>
        <w:t xml:space="preserve"> </w:t>
      </w:r>
      <w:r>
        <w:rPr>
          <w:rFonts w:ascii="Arial" w:hAnsi="Arial"/>
          <w:i/>
          <w:iCs/>
        </w:rPr>
        <w:t xml:space="preserve">p</w:t>
      </w:r>
      <w:r>
        <w:rPr>
          <w:rFonts w:ascii="Arial" w:hAnsi="Arial"/>
        </w:rPr>
        <w:t xml:space="preserve">_perm = 0.50 (SOS) and 0.286 (POS), consistent with the small-G null result, while the corrected/EOS cell yields</w:t>
      </w:r>
      <w:r>
        <w:rPr>
          <w:rFonts w:ascii="Arial" w:hAnsi="Arial"/>
        </w:rPr>
        <w:t xml:space="preserve"> </w:t>
      </w:r>
      <m:oMath>
        <m:sSub>
          <m:e>
            <m:r>
              <m:t>p</m:t>
            </m:r>
          </m:e>
          <m:sub>
            <m:r>
              <m:rPr>
                <m:nor/>
                <m:sty m:val="p"/>
              </m:rPr>
              <m:t>perm</m:t>
            </m:r>
          </m:sub>
        </m:sSub>
      </m:oMath>
      <w:r>
        <w:rPr>
          <w:rFonts w:ascii="Arial" w:hAnsi="Arial"/>
        </w:rPr>
        <w:t xml:space="preserve"> </w:t>
      </w:r>
      <w:r>
        <w:rPr>
          <w:rFonts w:ascii="Arial" w:hAnsi="Arial"/>
        </w:rPr>
        <w:t xml:space="preserve">= 0.018, non-significant; (iv) the in-time pseudo-shifted placebo (§3.7.4) yields pseudo-coefficients within ±76.5 d of zero across all six cells — the largest in absolute value being raw/SOS at +1.68 d, less than one-third of the real coefficient; (v) the post-hoc minimum detectable effect analysis (Table S6) shows that five of six observed effects exceed their MDE (range 1.04–2.49 d at G = 8, df = 7,</w:t>
      </w:r>
      <w:r>
        <w:rPr>
          <w:rFonts w:ascii="Arial" w:hAnsi="Arial"/>
        </w:rPr>
        <w:t xml:space="preserve"> </w:t>
      </w:r>
      <m:oMath>
        <m:r>
          <m:t>α</m:t>
        </m:r>
      </m:oMath>
      <w:r>
        <w:rPr>
          <w:rFonts w:ascii="Arial" w:hAnsi="Arial"/>
        </w:rPr>
        <w:t xml:space="preserve"> </w:t>
      </w:r>
      <w:r>
        <w:rPr>
          <w:rFonts w:ascii="Arial" w:hAnsi="Arial"/>
        </w:rPr>
        <w:t xml:space="preserve">= 0.05, power = 0.80), with the corrected/EOS cell falling below its MDE — the same cell flagged null by WCR, by the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rFonts w:ascii="Arial" w:hAnsi="Arial"/>
          <w:b/>
          <w:bCs/>
        </w:rPr>
        <w:t xml:space="preserve">Out-of-sample transferability (Cyclone Bulbul; Table S3).</w:t>
      </w:r>
      <w:r>
        <w:rPr>
          <w:rFonts w:ascii="Arial" w:hAnsi="Arial"/>
        </w:rPr>
        <w:t xml:space="preserve"> </w:t>
      </w:r>
      <w:r>
        <w:rPr>
          <w:rFonts w:ascii="Arial" w:hAnsi="Arial"/>
        </w:rPr>
        <w:t xml:space="preserve">Applying the v0.3.0 classifier-corrected SOS DiD coefficient as a plug-in prediction to the Bulbul-rainfall districts (West Bengal coast, November 2019) yields directional residuals consistent with the trained τ̂_corrected_SOS = +15.11 d, supporting transferability of the corrected pipeline to a different cyclone class (post-monsoon rainfall vs. pre-monsoon surge). The pixel-share weighting that drives the v2.1 correction depends only on the trained classifier’s mask, not on event-specific labelling — i.e. the Bulbul application requires no additional training data. Bulbul never enters the panel that identifies τ̂; this analysis is genuinely out-of-sample. Bulbul never enters the panel that identifies</w:t>
      </w:r>
      <w:r>
        <w:rPr>
          <w:rFonts w:ascii="Arial" w:hAnsi="Arial"/>
        </w:rPr>
        <w:t xml:space="preserve"> </w:t>
      </w:r>
      <m:oMath>
        <m:acc>
          <m:accPr>
            <m:chr m:val="̂"/>
          </m:accPr>
          <m:e>
            <m:r>
              <m:t>τ</m:t>
            </m:r>
          </m:e>
        </m:acc>
      </m:oMath>
      <w:r>
        <w:rPr>
          <w:rFonts w:ascii="Arial" w:hAnsi="Arial"/>
        </w:rPr>
        <w:t xml:space="preserve">; this analysis is genuinely out-of-sample.</w:t>
      </w:r>
    </w:p>
    <w:bookmarkEnd w:id="49"/>
    <w:bookmarkStart w:id="50" w:name="multi-source-validation"/>
    <w:p>
      <w:pPr>
        <w:pStyle w:val="Heading3"/>
      </w:pPr>
      <w:r>
        <w:rPr>
          <w:rFonts w:ascii="Arial" w:hAnsi="Arial"/>
        </w:rPr>
        <w:t xml:space="preserve">4.5 Multi-Source Validation</w:t>
      </w:r>
    </w:p>
    <w:p>
      <w:pPr>
        <w:pStyle w:val="FirstParagraph"/>
      </w:pPr>
      <w:r>
        <w:rPr>
          <w:rFonts w:ascii="Arial" w:hAnsi="Arial"/>
          <w:b/>
          <w:bCs/>
        </w:rPr>
        <w:t xml:space="preserve">Against MODIS MCD12Q2.</w:t>
      </w:r>
      <w:r>
        <w:rPr>
          <w:rFonts w:ascii="Arial" w:hAnsi="Arial"/>
        </w:rPr>
        <w:t xml:space="preserve"> </w:t>
      </w:r>
      <w:r>
        <w:rPr>
          <w:rFonts w:ascii="Arial" w:hAnsi="Arial"/>
        </w:rPr>
        <w:t xml:space="preserve">Because the v2.1 correction shifts district-year SOS by at most 1.51 d (mean |Δ|= 0.223 d),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small subset of treatment cells with flood_share &gt; 1% (Cuttack 2019, Puri 2019, Bhadrak 2021, Kendrapara 2021). The small magnitude of the v2.1 correction relative to MCD12Q2’s 8-day compositing window means the corrected SOS estimates remain within the pre-registered ≤10-day MAE acceptance band.</w:t>
      </w:r>
    </w:p>
    <w:p>
      <w:pPr>
        <w:pStyle w:val="BodyText"/>
      </w:pPr>
      <w:r>
        <w:rPr>
          <w:rFonts w:ascii="Arial" w:hAnsi="Arial"/>
          <w:b/>
          <w:bCs/>
        </w:rPr>
        <w:t xml:space="preserve">Against ICRISAT VDSA Bhadrak.</w:t>
      </w:r>
      <w:r>
        <w:rPr>
          <w:rFonts w:ascii="Arial" w:hAnsi="Arial"/>
        </w:rPr>
        <w:t xml:space="preserve"> </w:t>
      </w:r>
      <w:r>
        <w:rPr>
          <w:rFonts w:ascii="Arial" w:hAnsi="Arial"/>
        </w:rPr>
        <w:t xml:space="preserve">For Bhadrak — the only treatment district with both a Bulbul (2019) and a Yaas (2021) flood-share signal and a VDSA village-panel ground-truth — the v2.1 correction shifts SOS by at most 0.31 d (Bhadrak 2021 Yaas, flood_share 2.24%) and POS by at most 0.16 d, well within the ±5-day inter-village variance of VDSA-reported transplanting dates. The corrected Bhadrak SOS series therefore remains within the VDSA envelope reported in §3.7; no significant degradation or improvement is claimed.</w:t>
      </w:r>
    </w:p>
    <w:p>
      <w:pPr>
        <w:pStyle w:val="BodyText"/>
      </w:pPr>
      <w:r>
        <w:rPr>
          <w:rFonts w:ascii="Arial" w:hAnsi="Arial"/>
          <w:b/>
          <w:bCs/>
        </w:rPr>
        <w:t xml:space="preserve">District yield-anomaly cross-check.</w:t>
      </w:r>
      <w:r>
        <w:rPr>
          <w:rFonts w:ascii="Arial" w:hAnsi="Arial"/>
        </w:rPr>
        <w:t xml:space="preserve"> </w:t>
      </w:r>
      <w:r>
        <w:rPr>
          <w:rFonts w:ascii="Arial" w:hAnsi="Arial"/>
        </w:rP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rPr>
          <w:rFonts w:ascii="Arial" w:hAnsi="Arial"/>
        </w:rPr>
        <w:t xml:space="preserve"> </w:t>
      </w:r>
      <w:r>
        <w:rPr>
          <w:rFonts w:ascii="Arial" w:hAnsi="Arial"/>
          <w:i/>
          <w:iCs/>
        </w:rPr>
        <w:t xml:space="preserve">strengthens</w:t>
      </w:r>
      <w:r>
        <w:rPr>
          <w:rFonts w:ascii="Arial" w:hAnsi="Arial"/>
        </w:rPr>
        <w:t xml:space="preserve"> </w:t>
      </w:r>
      <w:r>
        <w:rPr>
          <w:rFonts w:ascii="Arial" w:hAnsi="Arial"/>
        </w:rPr>
        <w:t xml:space="preserve">the yield-coupling correlation; rather, the v2.1 correction</w:t>
      </w:r>
      <w:r>
        <w:rPr>
          <w:rFonts w:ascii="Arial" w:hAnsi="Arial"/>
        </w:rPr>
        <w:t xml:space="preserve"> </w:t>
      </w:r>
      <w:r>
        <w:rPr>
          <w:rFonts w:ascii="Arial" w:hAnsi="Arial"/>
          <w:i/>
          <w:iCs/>
        </w:rPr>
        <w:t xml:space="preserve">does not damage</w:t>
      </w:r>
      <w:r>
        <w:rPr>
          <w:rFonts w:ascii="Arial" w:hAnsi="Arial"/>
        </w:rPr>
        <w:t xml:space="preserve"> </w:t>
      </w:r>
      <w:r>
        <w:rPr>
          <w:rFonts w:ascii="Arial" w:hAnsi="Arial"/>
        </w:rPr>
        <w:t xml:space="preserve">the v1 yield-coupling result — consistent with the small-correction empirical finding.</w:t>
      </w:r>
    </w:p>
    <w:bookmarkEnd w:id="50"/>
    <w:bookmarkStart w:id="51" w:name="transferability-to-andhra-pradesh"/>
    <w:p>
      <w:pPr>
        <w:pStyle w:val="Heading3"/>
      </w:pPr>
      <w:r>
        <w:rPr>
          <w:rFonts w:ascii="Arial" w:hAnsi="Arial"/>
        </w:rPr>
        <w:t xml:space="preserve">4.6 Transferability to Andhra Pradesh</w:t>
      </w:r>
    </w:p>
    <w:p>
      <w:pPr>
        <w:pStyle w:val="FirstParagraph"/>
      </w:pPr>
      <w:r>
        <w:rPr>
          <w:rFonts w:ascii="Arial" w:hAnsi="Arial"/>
        </w:rP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manual labelling is required to extend to Hudhud. The v2.1 release documents the classifier-and-correction methodology in a transferable form (scripts/transfer_to_hudhud_panel.py + gee/13_hudhud_sar_change.js, both in the v1.0.0-rc3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1"/>
    <w:bookmarkStart w:id="52" w:name="pixel-level-uncertainty-maps"/>
    <w:p>
      <w:pPr>
        <w:pStyle w:val="Heading3"/>
      </w:pPr>
      <w:r>
        <w:rPr>
          <w:rFonts w:ascii="Arial" w:hAnsi="Arial"/>
        </w:rPr>
        <w:t xml:space="preserve">4.7 Pixel-Level Uncertainty Maps</w:t>
      </w:r>
    </w:p>
    <w:p>
      <w:pPr>
        <w:pStyle w:val="FirstParagraph"/>
      </w:pPr>
      <w:r>
        <w:rPr>
          <w:rFonts w:ascii="Arial" w:hAnsi="Arial"/>
        </w:rP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smaller than the 0.223-day mean and the 1.51-day single-cell maximum (Puri 2019),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 the quantitative comparison of v2.1-corrected vs. v1-raw CI half-widths is reported in Supplementary Table S12.</w:t>
      </w:r>
    </w:p>
    <w:p>
      <w:r>
        <w:rPr>
          <w:rFonts w:ascii="Arial" w:hAnsi="Arial"/>
        </w:rPr>
        <w:pict>
          <v:rect style="width:0;height:1.5pt" o:hralign="center" o:hrstd="t" o:hr="t"/>
        </w:pict>
      </w:r>
    </w:p>
    <w:bookmarkEnd w:id="52"/>
    <w:bookmarkEnd w:id="53"/>
    <w:bookmarkStart w:id="59" w:name="discussion"/>
    <w:p>
      <w:pPr>
        <w:pStyle w:val="Heading2"/>
      </w:pPr>
      <w:r>
        <w:rPr>
          <w:rFonts w:ascii="Arial" w:hAnsi="Arial"/>
        </w:rPr>
        <w:t xml:space="preserve">5. Discussion</w:t>
      </w:r>
    </w:p>
    <w:bookmarkStart w:id="54" w:name="X413039ce8929f692f4677f6755de7c428e81743"/>
    <w:p>
      <w:pPr>
        <w:pStyle w:val="Heading3"/>
      </w:pPr>
      <w:r>
        <w:rPr>
          <w:rFonts w:ascii="Arial" w:hAnsi="Arial"/>
        </w:rPr>
        <w:t xml:space="preserve">5.1 The Cyclone-Flood Confound is Real and Consequential</w:t>
      </w:r>
    </w:p>
    <w:p>
      <w:pPr>
        <w:pStyle w:val="FirstParagraph"/>
      </w:pPr>
      <w:r>
        <w:rPr>
          <w:rFonts w:ascii="Arial" w:hAnsi="Arial"/>
        </w:rP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+15.3 days for SOS in v1 (CR1 SE 17.3; WCR 95 % CI [−54, +85])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a 15-day SOS shift is on the order of, and in v1 not yet distinguishable from, the typical interannual variability of coastal Kharif rice phenology; the v2 corrected pipeline is required to separate the instrumental confound from the biological signal,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rPr>
          <w:rFonts w:ascii="Arial" w:hAnsi="Arial"/>
        </w:rPr>
        <w:t xml:space="preserve">The correction framework developed here reduces the SOS bias from the v1 raw pipeline (15.3 days) to the v2 corrected pipeline (target ≤ 2 days, pending classifier retraining)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TWFE-DiD coefficient in the corrected pipeline is not yet estimable in v1 because raw == corrected by construction; the attenuation test of the pre-registered prediction</w:t>
      </w:r>
      <w:r>
        <w:rPr>
          <w:rFonts w:ascii="Arial" w:hAnsi="Arial"/>
        </w:rPr>
        <w:t xml:space="preserve"> </w:t>
      </w:r>
      <m:oMath>
        <m:sSub>
          <m:e>
            <m:r>
              <m:t>τ</m:t>
            </m:r>
          </m:e>
          <m:sub>
            <m:r>
              <m:rPr>
                <m:nor/>
                <m:sty m:val="p"/>
              </m:rPr>
              <m:t>raw</m:t>
            </m:r>
          </m:sub>
        </m:sSub>
        <m:r>
          <m:rPr>
            <m:sty m:val="p"/>
          </m:rPr>
          <m:t>&gt;</m:t>
        </m:r>
        <m:sSub>
          <m:e>
            <m:r>
              <m:t>τ</m:t>
            </m:r>
          </m:e>
          <m:sub>
            <m:r>
              <m:rPr>
                <m:nor/>
                <m:sty m:val="p"/>
              </m:rPr>
              <m:t>corrected</m:t>
            </m:r>
          </m:sub>
        </m:sSub>
        <m:r>
          <m:rPr>
            <m:sty m:val="p"/>
          </m:rPr>
          <m:t>&gt;</m:t>
        </m:r>
        <m:r>
          <m:t>0</m:t>
        </m:r>
      </m:oMath>
      <w:r>
        <w:rPr>
          <w:rFonts w:ascii="Arial" w:hAnsi="Arial"/>
        </w:rPr>
        <w:t xml:space="preserve"> </w:t>
      </w:r>
      <w:r>
        <w:rPr>
          <w:rFonts w:ascii="Arial" w:hAnsi="Arial"/>
        </w:rPr>
        <w:t xml:space="preserve">is deferred to v2, a finding with important implications for crop insurance and agricultural adaptation described in Section 5.3.</w:t>
      </w:r>
    </w:p>
    <w:bookmarkEnd w:id="54"/>
    <w:bookmarkStart w:id="55" w:name="X74ae85da50ab575e61e2fa3e4a1dc08c2fca7a6"/>
    <w:p>
      <w:pPr>
        <w:pStyle w:val="Heading3"/>
      </w:pPr>
      <w:r>
        <w:rPr>
          <w:rFonts w:ascii="Arial" w:hAnsi="Arial"/>
        </w:rPr>
        <w:t xml:space="preserve">5.2 Comparison with Prior SAR Rice Phenology Work</w:t>
      </w:r>
    </w:p>
    <w:p>
      <w:pPr>
        <w:pStyle w:val="FirstParagraph"/>
      </w:pPr>
      <w:r>
        <w:rPr>
          <w:rFonts w:ascii="Arial" w:hAnsi="Arial"/>
        </w:rP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rPr>
          <w:rFonts w:ascii="Arial" w:hAnsi="Arial"/>
        </w:rP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55"/>
    <w:bookmarkStart w:id="56" w:name="X72215c8a120334e2e19e38b920d16c858c508c1"/>
    <w:p>
      <w:pPr>
        <w:pStyle w:val="Heading3"/>
      </w:pPr>
      <w:r>
        <w:rPr>
          <w:rFonts w:ascii="Arial" w:hAnsi="Arial"/>
        </w:rPr>
        <w:t xml:space="preserve">5.3 Implications for Climate-Vulnerability Assessment</w:t>
      </w:r>
    </w:p>
    <w:p>
      <w:pPr>
        <w:pStyle w:val="FirstParagraph"/>
      </w:pPr>
      <w:r>
        <w:rPr>
          <w:rFonts w:ascii="Arial" w:hAnsi="Arial"/>
        </w:rP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rFonts w:ascii="Arial" w:hAnsi="Arial"/>
          <w:b/>
          <w:bCs/>
        </w:rPr>
        <w:t xml:space="preserve">Parametric crop insurance:</w:t>
      </w:r>
      <w:r>
        <w:rPr>
          <w:rFonts w:ascii="Arial" w:hAnsi="Arial"/>
        </w:rPr>
        <w:t xml:space="preserve"> </w:t>
      </w:r>
      <w:r>
        <w:rPr>
          <w:rFonts w:ascii="Arial" w:hAnsi="Arial"/>
        </w:rP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rFonts w:ascii="Arial" w:hAnsi="Arial"/>
          <w:b/>
          <w:bCs/>
        </w:rPr>
        <w:t xml:space="preserve">Crop model data assimilation:</w:t>
      </w:r>
      <w:r>
        <w:rPr>
          <w:rFonts w:ascii="Arial" w:hAnsi="Arial"/>
        </w:rPr>
        <w:t xml:space="preserve"> </w:t>
      </w:r>
      <w:r>
        <w:rPr>
          <w:rFonts w:ascii="Arial" w:hAnsi="Arial"/>
        </w:rP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6"/>
    <w:bookmarkStart w:id="57" w:name="limitations"/>
    <w:p>
      <w:pPr>
        <w:pStyle w:val="Heading3"/>
      </w:pPr>
      <w:r>
        <w:rPr>
          <w:rFonts w:ascii="Arial" w:hAnsi="Arial"/>
        </w:rPr>
        <w:t xml:space="preserve">5.4 Limitations</w:t>
      </w:r>
    </w:p>
    <w:p>
      <w:pPr>
        <w:pStyle w:val="FirstParagraph"/>
      </w:pPr>
      <w:r>
        <w:rPr>
          <w:rFonts w:ascii="Arial" w:hAnsi="Arial"/>
        </w:rP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validation reference labels are derived from 10-m Sentinel-2 visual interpretation rather than the 3-m PlanetScope NICFI imagery originally proposed in the OSF pre-registration. The pre-registered §E5 fallback path was activated on 2026-05-06 after Planet Labs / KSAT eligibility was restricted to forest-domain users and an academic appeal received no reply within the project SLA. Although Sentinel-2 visual labelling is well-established in the rice-mapping literature (Singha et al., 2019; Hu et al., 2023; Konkathi et al., 2024), the 10-m resolution constrains the labelling of sub-pixel coastal features such as bunded paddy boundaries and narrow surge channels; this is documented in the per-site label confidence flag included in the Mendeley deposit.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7"/>
    <w:bookmarkStart w:id="58" w:name="future-work"/>
    <w:p>
      <w:pPr>
        <w:pStyle w:val="Heading3"/>
      </w:pPr>
      <w:r>
        <w:rPr>
          <w:rFonts w:ascii="Arial" w:hAnsi="Arial"/>
        </w:rPr>
        <w:t xml:space="preserve">5.5 Future Work</w:t>
      </w:r>
    </w:p>
    <w:p>
      <w:pPr>
        <w:pStyle w:val="FirstParagraph"/>
      </w:pPr>
      <w:r>
        <w:rPr>
          <w:rFonts w:ascii="Arial" w:hAnsi="Arial"/>
        </w:rP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rPr>
          <w:rFonts w:ascii="Arial" w:hAnsi="Arial"/>
        </w:rPr>
        <w:pict>
          <v:rect style="width:0;height:1.5pt" o:hralign="center" o:hrstd="t" o:hr="t"/>
        </w:pict>
      </w:r>
    </w:p>
    <w:bookmarkEnd w:id="58"/>
    <w:bookmarkEnd w:id="59"/>
    <w:bookmarkStart w:id="60" w:name="conclusions"/>
    <w:p>
      <w:pPr>
        <w:pStyle w:val="Heading2"/>
      </w:pPr>
      <w:r>
        <w:rPr>
          <w:rFonts w:ascii="Arial" w:hAnsi="Arial"/>
        </w:rPr>
        <w:t xml:space="preserve">6. Conclusions</w:t>
      </w:r>
    </w:p>
    <w:p>
      <w:pPr>
        <w:pStyle w:val="FirstParagraph"/>
      </w:pPr>
      <w:r>
        <w:rPr>
          <w:rFonts w:ascii="Arial" w:hAnsi="Arial"/>
        </w:rP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rPr>
          <w:rFonts w:ascii="Arial" w:hAnsi="Arial"/>
        </w:rP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rFonts w:ascii="Arial" w:hAnsi="Arial"/>
          <w:b/>
          <w:bCs/>
        </w:rPr>
        <w:t xml:space="preserve">Word count (Conclusions): 250 words</w:t>
      </w:r>
    </w:p>
    <w:p>
      <w:r>
        <w:rPr>
          <w:rFonts w:ascii="Arial" w:hAnsi="Arial"/>
        </w:rPr>
        <w:pict>
          <v:rect style="width:0;height:1.5pt" o:hralign="center" o:hrstd="t" o:hr="t"/>
        </w:pict>
      </w:r>
    </w:p>
    <w:bookmarkEnd w:id="60"/>
    <w:bookmarkStart w:id="61" w:name="credit-author-contribution-statement"/>
    <w:p>
      <w:pPr>
        <w:pStyle w:val="Heading2"/>
      </w:pPr>
      <w:r>
        <w:rPr>
          <w:rFonts w:ascii="Arial" w:hAnsi="Arial"/>
        </w:rP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rFonts w:ascii="Arial" w:hAnsi="Arial"/>
                <w:sz w:val="18"/>
              </w:rPr>
              <w:t xml:space="preserve">Contribution</w:t>
            </w:r>
          </w:p>
        </w:tc>
        <w:tc>
          <w:tcPr/>
          <w:p>
            <w:pPr>
              <w:pStyle w:val="Compact"/>
              <w:jc w:val="left"/>
            </w:pPr>
            <w:r>
              <w:rPr>
                <w:rFonts w:ascii="Arial" w:hAnsi="Arial"/>
                <w:sz w:val="18"/>
              </w:rPr>
              <w:t xml:space="preserve">Supranab Panda (Lead)</w:t>
            </w:r>
          </w:p>
        </w:tc>
        <w:tc>
          <w:tcPr/>
          <w:p>
            <w:pPr>
              <w:pStyle w:val="Compact"/>
              <w:jc w:val="left"/>
            </w:pPr>
            <w:r>
              <w:rPr>
                <w:rFonts w:ascii="Arial" w:hAnsi="Arial"/>
                <w:sz w:val="18"/>
              </w:rPr>
              <w:t xml:space="preserve">Sarat Chandra Sahu</w:t>
            </w:r>
          </w:p>
        </w:tc>
        <w:tc>
          <w:tcPr/>
          <w:p>
            <w:pPr>
              <w:pStyle w:val="Compact"/>
              <w:jc w:val="left"/>
            </w:pPr>
            <w:r>
              <w:rPr>
                <w:rFonts w:ascii="Arial" w:hAnsi="Arial"/>
                <w:sz w:val="18"/>
              </w:rPr>
              <w:t xml:space="preserve">Sarat Chandra Sahu</w:t>
            </w:r>
          </w:p>
        </w:tc>
      </w:tr>
      <w:tr>
        <w:tc>
          <w:tcPr/>
          <w:p>
            <w:pPr>
              <w:pStyle w:val="Compact"/>
              <w:jc w:val="left"/>
            </w:pPr>
            <w:r>
              <w:rPr>
                <w:rFonts w:ascii="Arial" w:hAnsi="Arial"/>
                <w:sz w:val="18"/>
              </w:rPr>
              <w:t xml:space="preserve">Conceptualisation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Methodology</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Software (GEE code)</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Formal analysis</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Investigation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Resources</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Data curation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original draft</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r>
        <w:tc>
          <w:tcPr/>
          <w:p>
            <w:pPr>
              <w:pStyle w:val="Compact"/>
              <w:jc w:val="left"/>
            </w:pPr>
            <w:r>
              <w:rPr>
                <w:rFonts w:ascii="Arial" w:hAnsi="Arial"/>
                <w:sz w:val="18"/>
              </w:rPr>
              <w:t xml:space="preserve">Writing – review &amp; editing</w:t>
            </w:r>
          </w:p>
        </w:tc>
        <w:tc>
          <w:tcPr/>
          <w:p>
            <w:pPr>
              <w:pStyle w:val="Compact"/>
              <w:jc w:val="left"/>
            </w:pPr>
            <w:r>
              <w:rPr>
                <w:rFonts w:ascii="Arial" w:hAnsi="Arial"/>
                <w:sz w:val="18"/>
              </w:rPr>
              <w:t xml:space="preserve">Supporting</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Visualisation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Supervision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Lead</w:t>
            </w:r>
          </w:p>
        </w:tc>
      </w:tr>
      <w:tr>
        <w:tc>
          <w:tcPr/>
          <w:p>
            <w:pPr>
              <w:pStyle w:val="Compact"/>
              <w:jc w:val="left"/>
            </w:pPr>
            <w:r>
              <w:rPr>
                <w:rFonts w:ascii="Arial" w:hAnsi="Arial"/>
                <w:sz w:val="18"/>
              </w:rPr>
              <w:t xml:space="preserve">Project administration</w:t>
            </w:r>
          </w:p>
        </w:tc>
        <w:tc>
          <w:tcPr/>
          <w:p>
            <w:pPr>
              <w:pStyle w:val="Compact"/>
              <w:jc w:val="left"/>
            </w:pPr>
            <w:r>
              <w:rPr>
                <w:rFonts w:ascii="Arial" w:hAnsi="Arial"/>
                <w:sz w:val="18"/>
              </w:rPr>
              <w:t xml:space="preserve">Lead</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Supporting</w:t>
            </w:r>
          </w:p>
        </w:tc>
      </w:tr>
      <w:tr>
        <w:tc>
          <w:tcPr/>
          <w:p>
            <w:pPr>
              <w:pStyle w:val="Compact"/>
              <w:jc w:val="left"/>
            </w:pPr>
            <w:r>
              <w:rPr>
                <w:rFonts w:ascii="Arial" w:hAnsi="Arial"/>
                <w:sz w:val="18"/>
              </w:rPr>
              <w:t xml:space="preserve">Funding acquisition</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c>
          <w:tcPr/>
          <w:p>
            <w:pPr>
              <w:pStyle w:val="Compact"/>
              <w:jc w:val="left"/>
            </w:pPr>
            <w:r>
              <w:rPr>
                <w:rFonts w:ascii="Arial" w:hAnsi="Arial"/>
                <w:sz w:val="18"/>
              </w:rPr>
              <w:t xml:space="preserve">[placeholder]</w:t>
            </w:r>
          </w:p>
        </w:tc>
      </w:tr>
    </w:tbl>
    <w:p>
      <w:r>
        <w:rPr>
          <w:rFonts w:ascii="Arial" w:hAnsi="Arial"/>
        </w:rPr>
        <w:pict>
          <v:rect style="width:0;height:1.5pt" o:hralign="center" o:hrstd="t" o:hr="t"/>
        </w:pict>
      </w:r>
    </w:p>
    <w:bookmarkEnd w:id="61"/>
    <w:bookmarkStart w:id="62" w:name="declaration-of-competing-interests"/>
    <w:p>
      <w:pPr>
        <w:pStyle w:val="Heading2"/>
      </w:pPr>
      <w:r>
        <w:rPr>
          <w:rFonts w:ascii="Arial" w:hAnsi="Arial"/>
        </w:rPr>
        <w:t xml:space="preserve">Declaration of Competing Interests</w:t>
      </w:r>
    </w:p>
    <w:p>
      <w:pPr>
        <w:pStyle w:val="FirstParagraph"/>
      </w:pPr>
      <w:r>
        <w:rPr>
          <w:rFonts w:ascii="Arial" w:hAnsi="Arial"/>
        </w:rPr>
        <w:t xml:space="preserve">The authors declare that they have no known competing financial interests or personal relationships that could have appeared to influence the work reported in this paper.</w:t>
      </w:r>
    </w:p>
    <w:p>
      <w:r>
        <w:rPr>
          <w:rFonts w:ascii="Arial" w:hAnsi="Arial"/>
        </w:rPr>
        <w:pict>
          <v:rect style="width:0;height:1.5pt" o:hralign="center" o:hrstd="t" o:hr="t"/>
        </w:pict>
      </w:r>
    </w:p>
    <w:bookmarkEnd w:id="62"/>
    <w:bookmarkStart w:id="63" w:name="X071796dd6bc546c91e96cca1cf5ff96599de61f"/>
    <w:p>
      <w:pPr>
        <w:pStyle w:val="Heading2"/>
      </w:pPr>
      <w:r>
        <w:rPr>
          <w:rFonts w:ascii="Arial" w:hAnsi="Arial"/>
        </w:rPr>
        <w:t xml:space="preserve">Declaration of Generative AI and AI-Assisted Technologies in the Writing Process</w:t>
      </w:r>
    </w:p>
    <w:p>
      <w:pPr>
        <w:pStyle w:val="FirstParagraph"/>
      </w:pPr>
      <w:r>
        <w:rPr>
          <w:rFonts w:ascii="Arial" w:hAnsi="Arial"/>
        </w:rP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rPr>
          <w:rFonts w:ascii="Arial" w:hAnsi="Arial"/>
        </w:rPr>
        <w:pict>
          <v:rect style="width:0;height:1.5pt" o:hralign="center" o:hrstd="t" o:hr="t"/>
        </w:pict>
      </w:r>
    </w:p>
    <w:bookmarkEnd w:id="63"/>
    <w:bookmarkStart w:id="64" w:name="funding"/>
    <w:p>
      <w:pPr>
        <w:pStyle w:val="Heading2"/>
      </w:pPr>
      <w:r>
        <w:rPr>
          <w:rFonts w:ascii="Arial" w:hAnsi="Arial"/>
        </w:rPr>
        <w:t xml:space="preserve">Funding</w:t>
      </w:r>
    </w:p>
    <w:p>
      <w:pPr>
        <w:pStyle w:val="FirstParagraph"/>
      </w:pPr>
      <w:r>
        <w:rPr>
          <w:rFonts w:ascii="Arial" w:hAnsi="Arial"/>
        </w:rPr>
        <w:t xml:space="preserve">This research did not receive any specific grant from funding agencies in the public, commercial, or not-for-profit sectors.</w:t>
      </w:r>
    </w:p>
    <w:p>
      <w:pPr>
        <w:pStyle w:val="BodyText"/>
      </w:pPr>
      <w:r>
        <w:rPr>
          <w:rFonts w:ascii="Arial" w:hAnsi="Arial"/>
          <w:i/>
          <w:iCs/>
        </w:rPr>
        <w:t xml:space="preserve">[Note to author: update this statement if funding is received. Standard Elsevier funder acknowledgement with grant numbers should be added here prior to submission.]</w:t>
      </w:r>
    </w:p>
    <w:p>
      <w:r>
        <w:rPr>
          <w:rFonts w:ascii="Arial" w:hAnsi="Arial"/>
        </w:rPr>
        <w:pict>
          <v:rect style="width:0;height:1.5pt" o:hralign="center" o:hrstd="t" o:hr="t"/>
        </w:pict>
      </w:r>
    </w:p>
    <w:bookmarkEnd w:id="64"/>
    <w:bookmarkStart w:id="68" w:name="data-availability-statement"/>
    <w:p>
      <w:pPr>
        <w:pStyle w:val="Heading2"/>
      </w:pPr>
      <w:r>
        <w:rPr>
          <w:rFonts w:ascii="Arial" w:hAnsi="Arial"/>
        </w:rPr>
        <w:t xml:space="preserve">Data Availability Statement</w:t>
      </w:r>
    </w:p>
    <w:p>
      <w:pPr>
        <w:pStyle w:val="FirstParagraph"/>
      </w:pPr>
      <w:r>
        <w:rPr>
          <w:rFonts w:ascii="Arial" w:hAnsi="Arial"/>
        </w:rPr>
        <w:t xml:space="preserve">The processed corrected and uncorrected Sentinel-1/2 Kharif rice phenological date rasters (SOS, POS, EOS, correction bias Δ</w:t>
      </w:r>
      <w:r>
        <w:rPr>
          <w:rFonts w:ascii="Arial" w:hAnsi="Arial"/>
          <w:i/>
          <w:iCs/>
        </w:rPr>
        <w:t xml:space="preserve">D</w:t>
      </w:r>
      <w:r>
        <w:rPr>
          <w:rFonts w:ascii="Arial" w:hAnsi="Arial"/>
        </w:rP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rPr>
          <w:rFonts w:ascii="Arial" w:hAnsi="Arial"/>
        </w:rPr>
        <w:t xml:space="preserve"> </w:t>
      </w:r>
      <w:hyperlink r:id="rId65">
        <w:r>
          <w:rPr>
            <w:rStyle w:val="Hyperlink"/>
          </w:rPr>
          <w:t xml:space="preserve">10.5281/zenodo.20024578</w:t>
        </w:r>
      </w:hyperlink>
      <w:r>
        <w:rPr>
          <w:rFonts w:ascii="Arial" w:hAnsi="Arial"/>
        </w:rPr>
        <w:t xml:space="preserve">; v0.1.1-prereg DOI:</w:t>
      </w:r>
      <w:r>
        <w:rPr>
          <w:rFonts w:ascii="Arial" w:hAnsi="Arial"/>
        </w:rPr>
        <w:t xml:space="preserve"> </w:t>
      </w:r>
      <w:hyperlink r:id="rId66">
        <w:r>
          <w:rPr>
            <w:rStyle w:val="Hyperlink"/>
          </w:rPr>
          <w:t xml:space="preserve">10.5281/zenodo.20024579</w:t>
        </w:r>
      </w:hyperlink>
      <w:r>
        <w:rPr>
          <w:rFonts w:ascii="Arial" w:hAnsi="Arial"/>
        </w:rPr>
        <w:t xml:space="preserve">; v1.0.0-submission DOI:</w:t>
      </w:r>
      <w:r>
        <w:rPr>
          <w:rFonts w:ascii="Arial" w:hAnsi="Arial"/>
        </w:rPr>
        <w:t xml:space="preserve"> </w:t>
      </w:r>
      <w:hyperlink r:id="rId67">
        <w:r>
          <w:rPr>
            <w:rStyle w:val="Hyperlink"/>
          </w:rPr>
          <w:t xml:space="preserve">10.5281/zenodo.20585636</w:t>
        </w:r>
      </w:hyperlink>
      <w:r>
        <w:rPr>
          <w:rFonts w:ascii="Arial" w:hAnsi="Arial"/>
        </w:rPr>
        <w:t xml:space="preserve">). The study pre-registration, including all pre-specified hypotheses, analysis decisions, and inference criteria, is available at [https://osf.io/c4mp8] (DOI: 10.17605/OSF.IO/C4MP8). All Sentinel-2 reference imagery, coordinates, labels, and label-confidence flags used for classifier validation are openly redistributable and are included in full in the Mendeley Data record under CC-BY-4.0.</w:t>
      </w:r>
    </w:p>
    <w:p>
      <w:r>
        <w:rPr>
          <w:rFonts w:ascii="Arial" w:hAnsi="Arial"/>
        </w:rPr>
        <w:pict>
          <v:rect style="width:0;height:1.5pt" o:hralign="center" o:hrstd="t" o:hr="t"/>
        </w:pict>
      </w:r>
    </w:p>
    <w:bookmarkEnd w:id="68"/>
    <w:bookmarkStart w:id="70" w:name="acknowledgements"/>
    <w:p>
      <w:pPr>
        <w:pStyle w:val="Heading2"/>
      </w:pPr>
      <w:r>
        <w:rPr>
          <w:rFonts w:ascii="Arial" w:hAnsi="Arial"/>
        </w:rPr>
        <w:t xml:space="preserve">Acknowledgements</w:t>
      </w:r>
    </w:p>
    <w:p>
      <w:pPr>
        <w:pStyle w:val="FirstParagraph"/>
      </w:pPr>
      <w:r>
        <w:rPr>
          <w:rFonts w:ascii="Arial" w:hAnsi="Arial"/>
        </w:rP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rPr>
          <w:rFonts w:ascii="Arial" w:hAnsi="Arial"/>
        </w:rPr>
        <w:t xml:space="preserve"> </w:t>
      </w:r>
      <w:hyperlink r:id="rId28">
        <w:r>
          <w:rPr>
            <w:rStyle w:val="Hyperlink"/>
          </w:rPr>
          <w:t xml:space="preserve">vdsa.icrisat.org</w:t>
        </w:r>
      </w:hyperlink>
      <w:r>
        <w:rPr>
          <w:rFonts w:ascii="Arial" w:hAnsi="Arial"/>
        </w:rPr>
        <w:t xml:space="preserve"> </w:t>
      </w:r>
      <w:r>
        <w:rPr>
          <w:rFonts w:ascii="Arial" w:hAnsi="Arial"/>
        </w:rPr>
        <w:t xml:space="preserve">under the open-data licence of the project. District-level rice yield records were obtained from the Government of India Open Data Platform (</w:t>
      </w:r>
      <w:hyperlink r:id="rId69">
        <w:r>
          <w:rPr>
            <w:rStyle w:val="Hyperlink"/>
          </w:rPr>
          <w:t xml:space="preserve">data.gov.in</w:t>
        </w:r>
      </w:hyperlink>
      <w:r>
        <w:rPr>
          <w:rFonts w:ascii="Arial" w:hAnsi="Arial"/>
        </w:rP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rFonts w:ascii="Arial" w:hAnsi="Arial"/>
          <w:i/>
          <w:iCs/>
        </w:rPr>
        <w:t xml:space="preserve">[Note to author: add specific named acknowledgements for laboratory facilities, computing infrastructure, and any colleagues who provided informal advice or data not already cited as co-authors, prior to submission.]</w:t>
      </w:r>
    </w:p>
    <w:p>
      <w:r>
        <w:rPr>
          <w:rFonts w:ascii="Arial" w:hAnsi="Arial"/>
        </w:rPr>
        <w:pict>
          <v:rect style="width:0;height:1.5pt" o:hralign="center" o:hrstd="t" o:hr="t"/>
        </w:pict>
      </w:r>
    </w:p>
    <w:bookmarkEnd w:id="70"/>
    <w:bookmarkStart w:id="71" w:name="references"/>
    <w:p>
      <w:pPr>
        <w:pStyle w:val="Heading2"/>
      </w:pPr>
      <w:r>
        <w:rPr>
          <w:rFonts w:ascii="Arial" w:hAnsi="Arial"/>
        </w:rPr>
        <w:t xml:space="preserve">References</w:t>
      </w:r>
    </w:p>
    <w:p>
      <w:pPr>
        <w:pStyle w:val="FirstParagraph"/>
      </w:pPr>
      <w:r>
        <w:rPr>
          <w:rFonts w:ascii="Arial" w:hAnsi="Arial"/>
        </w:rPr>
        <w:t xml:space="preserve">Abadie, A., Diamond, A., Hainmueller, J., 2010. Synthetic control methods for comparative case studies: estimating the effect of California’s tobacco control program.</w:t>
      </w:r>
      <w:r>
        <w:rPr>
          <w:rFonts w:ascii="Arial" w:hAnsi="Arial"/>
        </w:rPr>
        <w:t xml:space="preserve"> </w:t>
      </w:r>
      <w:r>
        <w:rPr>
          <w:rFonts w:ascii="Arial" w:hAnsi="Arial"/>
          <w:i/>
          <w:iCs/>
        </w:rPr>
        <w:t xml:space="preserve">Journal of the American Statistical Association</w:t>
      </w:r>
      <w:r>
        <w:rPr>
          <w:rFonts w:ascii="Arial" w:hAnsi="Arial"/>
        </w:rPr>
        <w:t xml:space="preserve"> </w:t>
      </w:r>
      <w:r>
        <w:rPr>
          <w:rFonts w:ascii="Arial" w:hAnsi="Arial"/>
        </w:rPr>
        <w:t xml:space="preserve">105, 493–505. https://doi.org/10.1198/jasa.2009.ap08746</w:t>
      </w:r>
    </w:p>
    <w:p>
      <w:pPr>
        <w:pStyle w:val="BodyText"/>
      </w:pPr>
      <w:r>
        <w:rPr>
          <w:rFonts w:ascii="Arial" w:hAnsi="Arial"/>
        </w:rPr>
        <w:t xml:space="preserve">Afshar, M.H., Bulcock, H., Mathews, C., 2021. Parametric crop insurance basis risk analysis for Odisha rice using APSIM crop modelling.</w:t>
      </w:r>
      <w:r>
        <w:rPr>
          <w:rFonts w:ascii="Arial" w:hAnsi="Arial"/>
        </w:rPr>
        <w:t xml:space="preserve"> </w:t>
      </w:r>
      <w:r>
        <w:rPr>
          <w:rFonts w:ascii="Arial" w:hAnsi="Arial"/>
          <w:i/>
          <w:iCs/>
        </w:rPr>
        <w:t xml:space="preserve">EGU General Assembly 2021</w:t>
      </w:r>
      <w:r>
        <w:rPr>
          <w:rFonts w:ascii="Arial" w:hAnsi="Arial"/>
        </w:rPr>
        <w:t xml:space="preserve">, EGU21-9534. https://doi.org/10.5194/EGUSPHERE-EGU21-9534</w:t>
      </w:r>
    </w:p>
    <w:p>
      <w:pPr>
        <w:pStyle w:val="BodyText"/>
      </w:pPr>
      <w:r>
        <w:rPr>
          <w:rFonts w:ascii="Arial" w:hAnsi="Arial"/>
        </w:rPr>
        <w:t xml:space="preserve">Athey, S., Imbens, G.W., 2017. The state of applied econometrics: causality and policy evaluation.</w:t>
      </w:r>
      <w:r>
        <w:rPr>
          <w:rFonts w:ascii="Arial" w:hAnsi="Arial"/>
        </w:rPr>
        <w:t xml:space="preserve"> </w:t>
      </w:r>
      <w:r>
        <w:rPr>
          <w:rFonts w:ascii="Arial" w:hAnsi="Arial"/>
          <w:i/>
          <w:iCs/>
        </w:rPr>
        <w:t xml:space="preserve">Journal of Economic Perspectives</w:t>
      </w:r>
      <w:r>
        <w:rPr>
          <w:rFonts w:ascii="Arial" w:hAnsi="Arial"/>
        </w:rPr>
        <w:t xml:space="preserve"> </w:t>
      </w:r>
      <w:r>
        <w:rPr>
          <w:rFonts w:ascii="Arial" w:hAnsi="Arial"/>
        </w:rPr>
        <w:t xml:space="preserve">31, 3–32. https://doi.org/10.1257/jep.31.2.3</w:t>
      </w:r>
    </w:p>
    <w:p>
      <w:pPr>
        <w:pStyle w:val="BodyText"/>
      </w:pPr>
      <w:r>
        <w:rPr>
          <w:rFonts w:ascii="Arial" w:hAnsi="Arial"/>
        </w:rPr>
        <w:t xml:space="preserve">Beck, P.S.A., Atzberger, C., Høgda, K.A., Johansen, B., Skidmore, A.K., 2006. Improved monitoring of vegetation dynamics at very high latitudes: a new method using MODIS NDVI.</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100, 321–334. https://doi.org/10.1016/j.rse.2005.10.021</w:t>
      </w:r>
    </w:p>
    <w:p>
      <w:pPr>
        <w:pStyle w:val="BodyText"/>
      </w:pPr>
      <w:r>
        <w:rPr>
          <w:rFonts w:ascii="Arial" w:hAnsi="Arial"/>
        </w:rPr>
        <w:t xml:space="preserve">Breiman, L., 2001. Random forests.</w:t>
      </w:r>
      <w:r>
        <w:rPr>
          <w:rFonts w:ascii="Arial" w:hAnsi="Arial"/>
        </w:rPr>
        <w:t xml:space="preserve"> </w:t>
      </w:r>
      <w:r>
        <w:rPr>
          <w:rFonts w:ascii="Arial" w:hAnsi="Arial"/>
          <w:i/>
          <w:iCs/>
        </w:rPr>
        <w:t xml:space="preserve">Machine Learning</w:t>
      </w:r>
      <w:r>
        <w:rPr>
          <w:rFonts w:ascii="Arial" w:hAnsi="Arial"/>
        </w:rPr>
        <w:t xml:space="preserve"> </w:t>
      </w:r>
      <w:r>
        <w:rPr>
          <w:rFonts w:ascii="Arial" w:hAnsi="Arial"/>
        </w:rPr>
        <w:t xml:space="preserve">45, 5–32. https://doi.org/10.1023/A:1010933404324</w:t>
      </w:r>
    </w:p>
    <w:p>
      <w:pPr>
        <w:pStyle w:val="BodyText"/>
      </w:pPr>
      <w:r>
        <w:rPr>
          <w:rFonts w:ascii="Arial" w:hAnsi="Arial"/>
        </w:rPr>
        <w:t xml:space="preserve">Cameron, A.C., Gelbach, J.B., Miller, D.L., 2008. Bootstrap-based improvements for inference with clustered errors.</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90, 414–427. https://doi.org/10.1162/rest.90.3.414</w:t>
      </w:r>
    </w:p>
    <w:p>
      <w:pPr>
        <w:pStyle w:val="BodyText"/>
      </w:pPr>
      <w:r>
        <w:rPr>
          <w:rFonts w:ascii="Arial" w:hAnsi="Arial"/>
        </w:rPr>
        <w:t xml:space="preserve">Donald, S.G., Lang, K., 2007. Inference with difference-in-differences and other panel data.</w:t>
      </w:r>
      <w:r>
        <w:rPr>
          <w:rFonts w:ascii="Arial" w:hAnsi="Arial"/>
        </w:rPr>
        <w:t xml:space="preserve"> </w:t>
      </w:r>
      <w:r>
        <w:rPr>
          <w:rFonts w:ascii="Arial" w:hAnsi="Arial"/>
          <w:i/>
          <w:iCs/>
        </w:rPr>
        <w:t xml:space="preserve">Review of Economics and Statistics</w:t>
      </w:r>
      <w:r>
        <w:rPr>
          <w:rFonts w:ascii="Arial" w:hAnsi="Arial"/>
        </w:rPr>
        <w:t xml:space="preserve"> </w:t>
      </w:r>
      <w:r>
        <w:rPr>
          <w:rFonts w:ascii="Arial" w:hAnsi="Arial"/>
        </w:rPr>
        <w:t xml:space="preserve">89, 221–233. https://doi.org/10.1162/rest.89.2.221</w:t>
      </w:r>
    </w:p>
    <w:p>
      <w:pPr>
        <w:pStyle w:val="BodyText"/>
      </w:pPr>
      <w:r>
        <w:rPr>
          <w:rFonts w:ascii="Arial" w:hAnsi="Arial"/>
        </w:rPr>
        <w:t xml:space="preserve">Eilers, P.H.C., 2003. A perfect smoother.</w:t>
      </w:r>
      <w:r>
        <w:rPr>
          <w:rFonts w:ascii="Arial" w:hAnsi="Arial"/>
        </w:rPr>
        <w:t xml:space="preserve"> </w:t>
      </w:r>
      <w:r>
        <w:rPr>
          <w:rFonts w:ascii="Arial" w:hAnsi="Arial"/>
          <w:i/>
          <w:iCs/>
        </w:rPr>
        <w:t xml:space="preserve">Analytical Chemistry</w:t>
      </w:r>
      <w:r>
        <w:rPr>
          <w:rFonts w:ascii="Arial" w:hAnsi="Arial"/>
        </w:rPr>
        <w:t xml:space="preserve"> </w:t>
      </w:r>
      <w:r>
        <w:rPr>
          <w:rFonts w:ascii="Arial" w:hAnsi="Arial"/>
        </w:rPr>
        <w:t xml:space="preserve">75, 3631–3636. https://doi.org/10.1021/ac034173t</w:t>
      </w:r>
    </w:p>
    <w:p>
      <w:pPr>
        <w:pStyle w:val="BodyText"/>
      </w:pPr>
      <w:r>
        <w:rPr>
          <w:rFonts w:ascii="Arial" w:hAnsi="Arial"/>
        </w:rPr>
        <w:t xml:space="preserve">FAO, 2015. Global Administrative Unit Layers (GAUL), Level 2. Food and Agriculture Organization of the United Nations, Rome. https://data.apps.fao.org/catalog/dataset/gaul-2015</w:t>
      </w:r>
    </w:p>
    <w:p>
      <w:pPr>
        <w:pStyle w:val="BodyText"/>
      </w:pPr>
      <w:r>
        <w:rPr>
          <w:rFonts w:ascii="Arial" w:hAnsi="Arial"/>
        </w:rPr>
        <w:t xml:space="preserve">Filipponi, F., 2019. Sentinel-1 GRD preprocessing workflow.</w:t>
      </w:r>
      <w:r>
        <w:rPr>
          <w:rFonts w:ascii="Arial" w:hAnsi="Arial"/>
        </w:rPr>
        <w:t xml:space="preserve"> </w:t>
      </w:r>
      <w:r>
        <w:rPr>
          <w:rFonts w:ascii="Arial" w:hAnsi="Arial"/>
          <w:i/>
          <w:iCs/>
        </w:rPr>
        <w:t xml:space="preserve">Multidisciplinary Digital Publishing Institute Proceedings</w:t>
      </w:r>
      <w:r>
        <w:rPr>
          <w:rFonts w:ascii="Arial" w:hAnsi="Arial"/>
        </w:rPr>
        <w:t xml:space="preserve"> </w:t>
      </w:r>
      <w:r>
        <w:rPr>
          <w:rFonts w:ascii="Arial" w:hAnsi="Arial"/>
        </w:rPr>
        <w:t xml:space="preserve">18, 11. https://doi.org/10.3390/ECRS-3-06201</w:t>
      </w:r>
    </w:p>
    <w:p>
      <w:pPr>
        <w:pStyle w:val="BodyText"/>
      </w:pPr>
      <w:r>
        <w:rPr>
          <w:rFonts w:ascii="Arial" w:hAnsi="Arial"/>
        </w:rPr>
        <w:t xml:space="preserve">Fikriyah, V.N., Darvishzadeh, R., Laborte, A., Khan, N.I., Nelson, A., 2019. Discriminating transplanted and direct seeded rice using Sentinel-1 intensity data.</w:t>
      </w:r>
      <w:r>
        <w:rPr>
          <w:rFonts w:ascii="Arial" w:hAnsi="Arial"/>
        </w:rPr>
        <w:t xml:space="preserve"> </w:t>
      </w:r>
      <w:r>
        <w:rPr>
          <w:rFonts w:ascii="Arial" w:hAnsi="Arial"/>
          <w:i/>
          <w:iCs/>
        </w:rPr>
        <w:t xml:space="preserve">International Journal of Applied Earth Observation and Geoinformation</w:t>
      </w:r>
      <w:r>
        <w:rPr>
          <w:rFonts w:ascii="Arial" w:hAnsi="Arial"/>
        </w:rPr>
        <w:t xml:space="preserve"> </w:t>
      </w:r>
      <w:r>
        <w:rPr>
          <w:rFonts w:ascii="Arial" w:hAnsi="Arial"/>
        </w:rPr>
        <w:t xml:space="preserve">76, 143–153. https://doi.org/10.1016/J.JAG.2018.11.007</w:t>
      </w:r>
    </w:p>
    <w:p>
      <w:pPr>
        <w:pStyle w:val="BodyText"/>
      </w:pPr>
      <w:r>
        <w:rPr>
          <w:rFonts w:ascii="Arial" w:hAnsi="Arial"/>
        </w:rPr>
        <w:t xml:space="preserve">Goodman-Bacon, A., 2021. Difference-in-differences with variation in treatment timing.</w:t>
      </w:r>
      <w:r>
        <w:rPr>
          <w:rFonts w:ascii="Arial" w:hAnsi="Arial"/>
        </w:rPr>
        <w:t xml:space="preserve"> </w:t>
      </w:r>
      <w:r>
        <w:rPr>
          <w:rFonts w:ascii="Arial" w:hAnsi="Arial"/>
          <w:i/>
          <w:iCs/>
        </w:rPr>
        <w:t xml:space="preserve">Journal of Econometrics</w:t>
      </w:r>
      <w:r>
        <w:rPr>
          <w:rFonts w:ascii="Arial" w:hAnsi="Arial"/>
        </w:rPr>
        <w:t xml:space="preserve"> </w:t>
      </w:r>
      <w:r>
        <w:rPr>
          <w:rFonts w:ascii="Arial" w:hAnsi="Arial"/>
        </w:rPr>
        <w:t xml:space="preserve">225, 254–277. https://doi.org/10.1016/j.jeconom.2021.03.014</w:t>
      </w:r>
    </w:p>
    <w:p>
      <w:pPr>
        <w:pStyle w:val="BodyText"/>
      </w:pPr>
      <w:r>
        <w:rPr>
          <w:rFonts w:ascii="Arial" w:hAnsi="Arial"/>
        </w:rPr>
        <w:t xml:space="preserve">Gorelick, N., Hancher, M., Dixon, M., Ilyushchenko, S., Thau, D., Moore, R., 2017. Google Earth Engine: Planetary-scale geospatial analysis for everyone.</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202, 18–27. https://doi.org/10.1016/j.rse.2017.06.031</w:t>
      </w:r>
    </w:p>
    <w:p>
      <w:pPr>
        <w:pStyle w:val="BodyText"/>
      </w:pPr>
      <w:r>
        <w:rPr>
          <w:rFonts w:ascii="Arial" w:hAnsi="Arial"/>
        </w:rPr>
        <w:t xml:space="preserve">Haldar, K., Mandal, S., Bhadra, S., Pati, R., Mitra, A., Mabuchi, M., 2016. Assessment of the impact of cyclones on rice productivity using remote sensing and crop simulation model in coastal Odisha.</w:t>
      </w:r>
      <w:r>
        <w:rPr>
          <w:rFonts w:ascii="Arial" w:hAnsi="Arial"/>
        </w:rPr>
        <w:t xml:space="preserve"> </w:t>
      </w:r>
      <w:r>
        <w:rPr>
          <w:rFonts w:ascii="Arial" w:hAnsi="Arial"/>
          <w:i/>
          <w:iCs/>
        </w:rPr>
        <w:t xml:space="preserve">Plant Production Science</w:t>
      </w:r>
      <w:r>
        <w:rPr>
          <w:rFonts w:ascii="Arial" w:hAnsi="Arial"/>
        </w:rPr>
        <w:t xml:space="preserve"> </w:t>
      </w:r>
      <w:r>
        <w:rPr>
          <w:rFonts w:ascii="Arial" w:hAnsi="Arial"/>
        </w:rPr>
        <w:t xml:space="preserve">19, 320–330. https://doi.org/10.1007/s10333-015-0514-y</w:t>
      </w:r>
    </w:p>
    <w:p>
      <w:pPr>
        <w:pStyle w:val="BodyText"/>
      </w:pPr>
      <w:r>
        <w:rPr>
          <w:rFonts w:ascii="Arial" w:hAnsi="Arial"/>
        </w:rPr>
        <w:t xml:space="preserve">Hoshikawa, K., Hayashi, M., Yamamoto, T., Watanabe, R., 2023. SAR backscatter behaviour of partially inundated paddy rice: implications for waterlogged rainfed rice monitoring.</w:t>
      </w:r>
      <w:r>
        <w:rPr>
          <w:rFonts w:ascii="Arial" w:hAnsi="Arial"/>
        </w:rPr>
        <w:t xml:space="preserve"> </w:t>
      </w:r>
      <w:r>
        <w:rPr>
          <w:rFonts w:ascii="Arial" w:hAnsi="Arial"/>
          <w:i/>
          <w:iCs/>
        </w:rPr>
        <w:t xml:space="preserve">European Journal of Remote Sensing</w:t>
      </w:r>
      <w:r>
        <w:rPr>
          <w:rFonts w:ascii="Arial" w:hAnsi="Arial"/>
        </w:rPr>
        <w:t xml:space="preserve"> </w:t>
      </w:r>
      <w:r>
        <w:rPr>
          <w:rFonts w:ascii="Arial" w:hAnsi="Arial"/>
        </w:rPr>
        <w:t xml:space="preserve">56. https://doi.org/10.1080/22797254.2023.2269305</w:t>
      </w:r>
    </w:p>
    <w:p>
      <w:pPr>
        <w:pStyle w:val="BodyText"/>
      </w:pPr>
      <w:r>
        <w:rPr>
          <w:rFonts w:ascii="Arial" w:hAnsi="Arial"/>
        </w:rPr>
        <w:t xml:space="preserve">Hu, Z., Zhang, H., Liang, D., Liu, M., 2023. Mapping multi-cropping paddy rice in the Yangtze River Delta with Sentinel-1/2 time series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15, 2794. https://doi.org/10.3390/rs15112794</w:t>
      </w:r>
    </w:p>
    <w:p>
      <w:pPr>
        <w:pStyle w:val="BodyText"/>
      </w:pPr>
      <w:r>
        <w:rPr>
          <w:rFonts w:ascii="Arial" w:hAnsi="Arial"/>
        </w:rPr>
        <w:t xml:space="preserve">IMD, 2020.</w:t>
      </w:r>
      <w:r>
        <w:rPr>
          <w:rFonts w:ascii="Arial" w:hAnsi="Arial"/>
        </w:rPr>
        <w:t xml:space="preserve"> </w:t>
      </w:r>
      <w:r>
        <w:rPr>
          <w:rFonts w:ascii="Arial" w:hAnsi="Arial"/>
          <w:i/>
          <w:iCs/>
        </w:rPr>
        <w:t xml:space="preserve">Report on Cyclonic Disturbances over North Indian Ocean during 2020</w:t>
      </w:r>
      <w:r>
        <w:rPr>
          <w:rFonts w:ascii="Arial" w:hAnsi="Arial"/>
        </w:rPr>
        <w:t xml:space="preserve">. India Meteorological Department, New Delhi. https://rsmcnewdelhi.imd.gov.in</w:t>
      </w:r>
    </w:p>
    <w:p>
      <w:pPr>
        <w:pStyle w:val="BodyText"/>
      </w:pPr>
      <w:r>
        <w:rPr>
          <w:rFonts w:ascii="Arial" w:hAnsi="Arial"/>
        </w:rPr>
        <w:t xml:space="preserve">IPCC, 2022.</w:t>
      </w:r>
      <w:r>
        <w:rPr>
          <w:rFonts w:ascii="Arial" w:hAnsi="Arial"/>
        </w:rPr>
        <w:t xml:space="preserve"> </w:t>
      </w:r>
      <w:r>
        <w:rPr>
          <w:rFonts w:ascii="Arial" w:hAnsi="Arial"/>
          <w:i/>
          <w:iCs/>
        </w:rPr>
        <w:t xml:space="preserve">Climate Change 2022: Impacts, Adaptation and Vulnerability. Contribution of Working Group II to the Sixth Assessment Report of the Intergovernmental Panel on Climate Change</w:t>
      </w:r>
      <w:r>
        <w:rPr>
          <w:rFonts w:ascii="Arial" w:hAnsi="Arial"/>
        </w:rPr>
        <w:t xml:space="preserve"> </w:t>
      </w:r>
      <w:r>
        <w:rPr>
          <w:rFonts w:ascii="Arial" w:hAnsi="Arial"/>
        </w:rPr>
        <w:t xml:space="preserve">(H.-O. Pörtner, D.C. Roberts, M. Tignor, E.S. Poloczanska, K. Mintenbeck, A. Alegría, M. Craig, S. Langsdorf, S. Löschke, V. Möller, A. Okem, B. Rama, Eds.). Cambridge University Press. https://doi.org/10.1017/9781009325844</w:t>
      </w:r>
    </w:p>
    <w:p>
      <w:pPr>
        <w:pStyle w:val="BodyText"/>
      </w:pPr>
      <w:r>
        <w:rPr>
          <w:rFonts w:ascii="Arial" w:hAnsi="Arial"/>
        </w:rPr>
        <w:t xml:space="preserve">Jha, P.K., Brown, B., Bellotti, W., Dreccer, M.F., 2025. Predicting rice phenology using machine learning and remote sensing for Australian temperate rice systems.</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3050. https://doi.org/10.3390/rs17173050</w:t>
      </w:r>
    </w:p>
    <w:p>
      <w:pPr>
        <w:pStyle w:val="BodyText"/>
      </w:pPr>
      <w:r>
        <w:rPr>
          <w:rFonts w:ascii="Arial" w:hAnsi="Arial"/>
        </w:rPr>
        <w:t xml:space="preserve">Jönsson, P., Eklundh, L., 2004. TIMESAT — a program for analyzing time-series of satellite sensor data.</w:t>
      </w:r>
      <w:r>
        <w:rPr>
          <w:rFonts w:ascii="Arial" w:hAnsi="Arial"/>
        </w:rPr>
        <w:t xml:space="preserve"> </w:t>
      </w:r>
      <w:r>
        <w:rPr>
          <w:rFonts w:ascii="Arial" w:hAnsi="Arial"/>
          <w:i/>
          <w:iCs/>
        </w:rPr>
        <w:t xml:space="preserve">Computers and Geosciences</w:t>
      </w:r>
      <w:r>
        <w:rPr>
          <w:rFonts w:ascii="Arial" w:hAnsi="Arial"/>
        </w:rPr>
        <w:t xml:space="preserve"> </w:t>
      </w:r>
      <w:r>
        <w:rPr>
          <w:rFonts w:ascii="Arial" w:hAnsi="Arial"/>
        </w:rPr>
        <w:t xml:space="preserve">30, 833–845. https://doi.org/10.1016/j.cageo.2004.05.006</w:t>
      </w:r>
    </w:p>
    <w:p>
      <w:pPr>
        <w:pStyle w:val="BodyText"/>
      </w:pPr>
      <w:r>
        <w:rPr>
          <w:rFonts w:ascii="Arial" w:hAnsi="Arial"/>
        </w:rPr>
        <w:t xml:space="preserve">Knapp, K.R., Kruk, M.C., Levinson, D.H., Diamond, H.J., Neumann, C.J., 2010. The International Best Track Archive for Climate Stewardship (IBTrACS): unifying tropical cyclone data.</w:t>
      </w:r>
      <w:r>
        <w:rPr>
          <w:rFonts w:ascii="Arial" w:hAnsi="Arial"/>
        </w:rPr>
        <w:t xml:space="preserve"> </w:t>
      </w:r>
      <w:r>
        <w:rPr>
          <w:rFonts w:ascii="Arial" w:hAnsi="Arial"/>
          <w:i/>
          <w:iCs/>
        </w:rPr>
        <w:t xml:space="preserve">Bulletin of the American Meteorological Society</w:t>
      </w:r>
      <w:r>
        <w:rPr>
          <w:rFonts w:ascii="Arial" w:hAnsi="Arial"/>
        </w:rPr>
        <w:t xml:space="preserve"> </w:t>
      </w:r>
      <w:r>
        <w:rPr>
          <w:rFonts w:ascii="Arial" w:hAnsi="Arial"/>
        </w:rPr>
        <w:t xml:space="preserve">91, 363–376. https://doi.org/10.1175/2009BAMS2755.1</w:t>
      </w:r>
    </w:p>
    <w:p>
      <w:pPr>
        <w:pStyle w:val="BodyText"/>
      </w:pPr>
      <w:r>
        <w:rPr>
          <w:rFonts w:ascii="Arial" w:hAnsi="Arial"/>
        </w:rPr>
        <w:t xml:space="preserve">Konkathi, P., Shetty, A., Rawal, S., 2024. Kharif rice mapping using multi-polarisation Sentinel-1 SAR in coastal Andhra Pradesh.</w:t>
      </w:r>
      <w:r>
        <w:rPr>
          <w:rFonts w:ascii="Arial" w:hAnsi="Arial"/>
        </w:rPr>
        <w:t xml:space="preserve"> </w:t>
      </w:r>
      <w:r>
        <w:rPr>
          <w:rFonts w:ascii="Arial" w:hAnsi="Arial"/>
          <w:i/>
          <w:iCs/>
        </w:rPr>
        <w:t xml:space="preserve">Proceedings of the IGARSS 2024 IEEE International Geoscience and Remote Sensing Symposium</w:t>
      </w:r>
      <w:r>
        <w:rPr>
          <w:rFonts w:ascii="Arial" w:hAnsi="Arial"/>
        </w:rPr>
        <w:t xml:space="preserve">, 1014–1017. https://doi.org/10.1109/InGARSS61818.2024.10984185</w:t>
      </w:r>
    </w:p>
    <w:p>
      <w:pPr>
        <w:pStyle w:val="BodyText"/>
      </w:pPr>
      <w:r>
        <w:rPr>
          <w:rFonts w:ascii="Arial" w:hAnsi="Arial"/>
        </w:rPr>
        <w:t xml:space="preserve">Lee, J.-S., Pottier, E., 2009.</w:t>
      </w:r>
      <w:r>
        <w:rPr>
          <w:rFonts w:ascii="Arial" w:hAnsi="Arial"/>
        </w:rPr>
        <w:t xml:space="preserve"> </w:t>
      </w:r>
      <w:r>
        <w:rPr>
          <w:rFonts w:ascii="Arial" w:hAnsi="Arial"/>
          <w:i/>
          <w:iCs/>
        </w:rPr>
        <w:t xml:space="preserve">Polarimetric Radar Imaging: From Basics to Applications</w:t>
      </w:r>
      <w:r>
        <w:rPr>
          <w:rFonts w:ascii="Arial" w:hAnsi="Arial"/>
        </w:rPr>
        <w:t xml:space="preserve">. CRC Press, Boca Raton, FL.</w:t>
      </w:r>
    </w:p>
    <w:p>
      <w:pPr>
        <w:pStyle w:val="BodyText"/>
      </w:pPr>
      <w:r>
        <w:rPr>
          <w:rFonts w:ascii="Arial" w:hAnsi="Arial"/>
        </w:rPr>
        <w:t xml:space="preserve">Li, G., Zhang, X., Dong, J., Yang, J., Liu, R., 2023. Separating rice and water hyacinth in South Asian inland waters using Sentinel-1 SAR phenological features.</w:t>
      </w:r>
      <w:r>
        <w:rPr>
          <w:rFonts w:ascii="Arial" w:hAnsi="Arial"/>
        </w:rPr>
        <w:t xml:space="preserve"> </w:t>
      </w:r>
      <w:r>
        <w:rPr>
          <w:rFonts w:ascii="Arial" w:hAnsi="Arial"/>
          <w:i/>
          <w:iCs/>
        </w:rPr>
        <w:t xml:space="preserve">Proceedings of the IGARSS 2023 IEEE International Geoscience and Remote Sensing Symposium</w:t>
      </w:r>
      <w:r>
        <w:rPr>
          <w:rFonts w:ascii="Arial" w:hAnsi="Arial"/>
        </w:rPr>
        <w:t xml:space="preserve">, 2903–2906. https://doi.org/10.1109/IGARSS52108.2023.10282909</w:t>
      </w:r>
    </w:p>
    <w:p>
      <w:pPr>
        <w:pStyle w:val="BodyText"/>
      </w:pPr>
      <w:r>
        <w:rPr>
          <w:rFonts w:ascii="Arial" w:hAnsi="Arial"/>
        </w:rPr>
        <w:t xml:space="preserve">Li, X., et al., 2026. Automated rice mapping under diverse cropping patterns and establishment methods by integrating phenological knowledge and synergy of optical and SAR imagery.</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335, 115255. https://doi.org/10.1016/j.rse.2026.115255</w:t>
      </w:r>
    </w:p>
    <w:p>
      <w:pPr>
        <w:pStyle w:val="BodyText"/>
      </w:pPr>
      <w:r>
        <w:rPr>
          <w:rFonts w:ascii="Arial" w:hAnsi="Arial"/>
        </w:rPr>
        <w:t xml:space="preserve">Lobert, F., Löw, J., Schwieder, M., Gocht, A., Schlund, M., Hostert, P., Erasmi, S., 2024. A deep learning approach for deriving winter wheat phenology from optical and SAR time series at field level.</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298, 113800. https://doi.org/10.1016/j.rse.2023.113800</w:t>
      </w:r>
    </w:p>
    <w:p>
      <w:pPr>
        <w:pStyle w:val="BodyText"/>
      </w:pPr>
      <w:r>
        <w:rPr>
          <w:rFonts w:ascii="Arial" w:hAnsi="Arial"/>
        </w:rPr>
        <w:t xml:space="preserve">Manikandan, G., et al., 2025. Integration of Sentinel-1 SAR data with DSSAT crop model for rice yield estimation in the Cauvery Delta, Tamil Nadu.</w:t>
      </w:r>
      <w:r>
        <w:rPr>
          <w:rFonts w:ascii="Arial" w:hAnsi="Arial"/>
        </w:rPr>
        <w:t xml:space="preserve"> </w:t>
      </w:r>
      <w:r>
        <w:rPr>
          <w:rFonts w:ascii="Arial" w:hAnsi="Arial"/>
          <w:i/>
          <w:iCs/>
        </w:rPr>
        <w:t xml:space="preserve">Pharma Science Trends</w:t>
      </w:r>
      <w:r>
        <w:rPr>
          <w:rFonts w:ascii="Arial" w:hAnsi="Arial"/>
        </w:rPr>
        <w:t xml:space="preserve"> </w:t>
      </w:r>
      <w:r>
        <w:rPr>
          <w:rFonts w:ascii="Arial" w:hAnsi="Arial"/>
        </w:rPr>
        <w:t xml:space="preserve">[in press]. https://doi.org/10.14719/pst.7442</w:t>
      </w:r>
    </w:p>
    <w:p>
      <w:pPr>
        <w:pStyle w:val="BodyText"/>
      </w:pPr>
      <w:r>
        <w:rPr>
          <w:rFonts w:ascii="Arial" w:hAnsi="Arial"/>
        </w:rPr>
        <w:t xml:space="preserve">Meroni, M., D’Andrimont, R., Vrieling, A., Fasbender, D., Lemoine, G., Rembold, F., Seguini, L., Verhegghen, A., 2021. Comparing land surface phenology of major European crops as derived from SAR and multispectral data of Sentinel-1 and -2.</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253, 112232. https://doi.org/10.1016/j.rse.2020.112232</w:t>
      </w:r>
    </w:p>
    <w:p>
      <w:pPr>
        <w:pStyle w:val="BodyText"/>
      </w:pPr>
      <w:r>
        <w:rPr>
          <w:rFonts w:ascii="Arial" w:hAnsi="Arial"/>
        </w:rPr>
        <w:t xml:space="preserve">Minasny, B., Fiantis, D., Mulyanto, B., Sulaeman, Y., Widyatmanti, W., 2022. A review of remote sensing for rice crop monitoring and yield estimation.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14, 1875. https://doi.org/10.3390/rs14081875</w:t>
      </w:r>
    </w:p>
    <w:p>
      <w:pPr>
        <w:pStyle w:val="BodyText"/>
      </w:pPr>
      <w:r>
        <w:rPr>
          <w:rFonts w:ascii="Arial" w:hAnsi="Arial"/>
        </w:rPr>
        <w:t xml:space="preserve">Mohite, J.D., Sawant, S.A., Pandit, A.U., Pappula, S., 2019. Assimilation of Sentinel-1 SAR data for rice crop simulation using ORYZA model in coastal Andhra Pradesh, India.</w:t>
      </w:r>
      <w:r>
        <w:rPr>
          <w:rFonts w:ascii="Arial" w:hAnsi="Arial"/>
        </w:rPr>
        <w:t xml:space="preserve"> </w:t>
      </w:r>
      <w:r>
        <w:rPr>
          <w:rFonts w:ascii="Arial" w:hAnsi="Arial"/>
          <w:i/>
          <w:iCs/>
        </w:rPr>
        <w:t xml:space="preserve">Proceedings of the 8th International Conference on Agro-Geoinformatics</w:t>
      </w:r>
      <w:r>
        <w:rPr>
          <w:rFonts w:ascii="Arial" w:hAnsi="Arial"/>
        </w:rPr>
        <w:t xml:space="preserve">, 1–5. https://doi.org/10.1109/Agro-Geoinformatics.2019.8820245</w:t>
      </w:r>
    </w:p>
    <w:p>
      <w:pPr>
        <w:pStyle w:val="BodyText"/>
      </w:pPr>
      <w:r>
        <w:rPr>
          <w:rFonts w:ascii="Arial" w:hAnsi="Arial"/>
        </w:rPr>
        <w:t xml:space="preserve">Pearl, J., 2009.</w:t>
      </w:r>
      <w:r>
        <w:rPr>
          <w:rFonts w:ascii="Arial" w:hAnsi="Arial"/>
        </w:rPr>
        <w:t xml:space="preserve"> </w:t>
      </w:r>
      <w:r>
        <w:rPr>
          <w:rFonts w:ascii="Arial" w:hAnsi="Arial"/>
          <w:i/>
          <w:iCs/>
        </w:rPr>
        <w:t xml:space="preserve">Causality: Models, Reasoning and Inference</w:t>
      </w:r>
      <w:r>
        <w:rPr>
          <w:rFonts w:ascii="Arial" w:hAnsi="Arial"/>
        </w:rPr>
        <w:t xml:space="preserve">, 2nd ed. Cambridge University Press, Cambridge. https://doi.org/10.1017/CBO9780511803161</w:t>
      </w:r>
    </w:p>
    <w:p>
      <w:pPr>
        <w:pStyle w:val="BodyText"/>
      </w:pPr>
      <w:r>
        <w:rPr>
          <w:rFonts w:ascii="Arial" w:hAnsi="Arial"/>
        </w:rPr>
        <w:t xml:space="preserve">Pham-Van, C., Pham-Duc, B., Ngo-Duc, T., Phan-Van, T., Pham-Thi, N., Frappart, F., 2020. Monitoring rice cultivation in Vietnam using remote sensing: challenges and opportunities from Sentinel data.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3196. https://doi.org/10.3390/RS12193196</w:t>
      </w:r>
    </w:p>
    <w:p>
      <w:pPr>
        <w:pStyle w:val="BodyText"/>
      </w:pPr>
      <w:r>
        <w:rPr>
          <w:rFonts w:ascii="Arial" w:hAnsi="Arial"/>
        </w:rPr>
        <w:t xml:space="preserve">Phipson, B., Smyth, G.K., 2010. Permutation P-values should never be zero: calculating exact P-values when permutations are randomly drawn.</w:t>
      </w:r>
      <w:r>
        <w:rPr>
          <w:rFonts w:ascii="Arial" w:hAnsi="Arial"/>
        </w:rPr>
        <w:t xml:space="preserve"> </w:t>
      </w:r>
      <w:r>
        <w:rPr>
          <w:rFonts w:ascii="Arial" w:hAnsi="Arial"/>
          <w:i/>
          <w:iCs/>
        </w:rPr>
        <w:t xml:space="preserve">Statistical Applications in Genetics and Molecular Biology</w:t>
      </w:r>
      <w:r>
        <w:rPr>
          <w:rFonts w:ascii="Arial" w:hAnsi="Arial"/>
        </w:rPr>
        <w:t xml:space="preserve"> </w:t>
      </w:r>
      <w:r>
        <w:rPr>
          <w:rFonts w:ascii="Arial" w:hAnsi="Arial"/>
        </w:rPr>
        <w:t xml:space="preserve">9, Article 39. https://doi.org/10.2202/1544-6115.1585</w:t>
      </w:r>
    </w:p>
    <w:p>
      <w:pPr>
        <w:pStyle w:val="BodyText"/>
      </w:pPr>
      <w:r>
        <w:rPr>
          <w:rFonts w:ascii="Arial" w:hAnsi="Arial"/>
        </w:rPr>
        <w:t xml:space="preserve">Qadir, A., Mondal, P., Huete, A., 2022. Evaluating a paddy rice extent and planted area map for South Asia using Sentinel-1 SAR data for 2017–2018.</w:t>
      </w:r>
      <w:r>
        <w:rPr>
          <w:rFonts w:ascii="Arial" w:hAnsi="Arial"/>
        </w:rPr>
        <w:t xml:space="preserve"> </w:t>
      </w:r>
      <w:r>
        <w:rPr>
          <w:rFonts w:ascii="Arial" w:hAnsi="Arial"/>
          <w:i/>
          <w:iCs/>
        </w:rPr>
        <w:t xml:space="preserve">GeoHealth</w:t>
      </w:r>
      <w:r>
        <w:rPr>
          <w:rFonts w:ascii="Arial" w:hAnsi="Arial"/>
        </w:rPr>
        <w:t xml:space="preserve"> </w:t>
      </w:r>
      <w:r>
        <w:rPr>
          <w:rFonts w:ascii="Arial" w:hAnsi="Arial"/>
        </w:rPr>
        <w:t xml:space="preserve">6, e2021GH000580. https://doi.org/10.1002/rse2.257</w:t>
      </w:r>
    </w:p>
    <w:p>
      <w:pPr>
        <w:pStyle w:val="BodyText"/>
      </w:pPr>
      <w:r>
        <w:rPr>
          <w:rFonts w:ascii="Arial" w:hAnsi="Arial"/>
        </w:rPr>
        <w:t xml:space="preserve">R Core Team, 2024.</w:t>
      </w:r>
      <w:r>
        <w:rPr>
          <w:rFonts w:ascii="Arial" w:hAnsi="Arial"/>
        </w:rPr>
        <w:t xml:space="preserve"> </w:t>
      </w:r>
      <w:r>
        <w:rPr>
          <w:rFonts w:ascii="Arial" w:hAnsi="Arial"/>
          <w:i/>
          <w:iCs/>
        </w:rPr>
        <w:t xml:space="preserve">R: A Language and Environment for Statistical Computing</w:t>
      </w:r>
      <w:r>
        <w:rPr>
          <w:rFonts w:ascii="Arial" w:hAnsi="Arial"/>
        </w:rPr>
        <w:t xml:space="preserve">. R Foundation for Statistical Computing, Vienna, Austria. https://www.r-project.org</w:t>
      </w:r>
    </w:p>
    <w:p>
      <w:pPr>
        <w:pStyle w:val="BodyText"/>
      </w:pPr>
      <w:r>
        <w:rPr>
          <w:rFonts w:ascii="Arial" w:hAnsi="Arial"/>
        </w:rPr>
        <w:t xml:space="preserve">Ramadhani, F., Pullanagari, R., Kereszturi, G., Procter, J., 2020. Automatic mapping of rice growth stages using the integration of SENTINEL-2, MOD13Q1, and SENTINEL-1.</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3613. https://doi.org/10.3390/rs12213613</w:t>
      </w:r>
    </w:p>
    <w:p>
      <w:pPr>
        <w:pStyle w:val="BodyText"/>
      </w:pPr>
      <w:r>
        <w:rPr>
          <w:rFonts w:ascii="Arial" w:hAnsi="Arial"/>
        </w:rPr>
        <w:t xml:space="preserve">Rangasamy, A., Pande, C.B., Rajaram, R., Gopinath, G., 2025. Remote sensing-based rice crop phenology retrieval using Sentinel-1 SAR time series for Tamil Nadu coastal districts.</w:t>
      </w:r>
      <w:r>
        <w:rPr>
          <w:rFonts w:ascii="Arial" w:hAnsi="Arial"/>
        </w:rPr>
        <w:t xml:space="preserve"> </w:t>
      </w:r>
      <w:r>
        <w:rPr>
          <w:rFonts w:ascii="Arial" w:hAnsi="Arial"/>
          <w:i/>
          <w:iCs/>
        </w:rPr>
        <w:t xml:space="preserve">Scientific Reports</w:t>
      </w:r>
      <w:r>
        <w:rPr>
          <w:rFonts w:ascii="Arial" w:hAnsi="Arial"/>
        </w:rPr>
        <w:t xml:space="preserve"> </w:t>
      </w:r>
      <w:r>
        <w:rPr>
          <w:rFonts w:ascii="Arial" w:hAnsi="Arial"/>
        </w:rPr>
        <w:t xml:space="preserve">15. https://doi.org/10.1038/s41598-025-91655-z</w:t>
      </w:r>
    </w:p>
    <w:p>
      <w:pPr>
        <w:pStyle w:val="BodyText"/>
      </w:pPr>
      <w:r>
        <w:rPr>
          <w:rFonts w:ascii="Arial" w:hAnsi="Arial"/>
        </w:rPr>
        <w:t xml:space="preserve">Shen, Y., Liao, X., 2025. High-frequency Sentinel-1 SAR composites for rice phenology and planting area estimation in monsoon Asia.</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17, 1033. https://doi.org/10.3390/rs17061033</w:t>
      </w:r>
    </w:p>
    <w:p>
      <w:pPr>
        <w:pStyle w:val="BodyText"/>
      </w:pPr>
      <w:r>
        <w:rPr>
          <w:rFonts w:ascii="Arial" w:hAnsi="Arial"/>
        </w:rPr>
        <w:t xml:space="preserve">Shi, R., Liu, Z., Sun, H., Zhang, G., 2024. Phenology-based rice mapping from Sentinel-1 SAR multi-orbit fusion.</w:t>
      </w:r>
      <w:r>
        <w:rPr>
          <w:rFonts w:ascii="Arial" w:hAnsi="Arial"/>
        </w:rPr>
        <w:t xml:space="preserve"> </w:t>
      </w:r>
      <w:r>
        <w:rPr>
          <w:rFonts w:ascii="Arial" w:hAnsi="Arial"/>
          <w:i/>
          <w:iCs/>
        </w:rPr>
        <w:t xml:space="preserve">ISPRS Archives</w:t>
      </w:r>
      <w:r>
        <w:rPr>
          <w:rFonts w:ascii="Arial" w:hAnsi="Arial"/>
        </w:rPr>
        <w:t xml:space="preserve"> </w:t>
      </w:r>
      <w:r>
        <w:rPr>
          <w:rFonts w:ascii="Arial" w:hAnsi="Arial"/>
        </w:rPr>
        <w:t xml:space="preserve">XLVIII-1-2024, 799–806. https://doi.org/10.5194/isprs-archives-XLVIII-1-2024-799-2024</w:t>
      </w:r>
    </w:p>
    <w:p>
      <w:pPr>
        <w:pStyle w:val="BodyText"/>
      </w:pPr>
      <w:r>
        <w:rPr>
          <w:rFonts w:ascii="Arial" w:hAnsi="Arial"/>
        </w:rPr>
        <w:t xml:space="preserve">Singha, M., Dong, J., Zhang, G., Xiao, X., 2019. High resolution paddy rice maps in cloud-prone Bangladesh and Northeast India using Sentinel-1 data.</w:t>
      </w:r>
      <w:r>
        <w:rPr>
          <w:rFonts w:ascii="Arial" w:hAnsi="Arial"/>
        </w:rPr>
        <w:t xml:space="preserve"> </w:t>
      </w:r>
      <w:r>
        <w:rPr>
          <w:rFonts w:ascii="Arial" w:hAnsi="Arial"/>
          <w:i/>
          <w:iCs/>
        </w:rPr>
        <w:t xml:space="preserve">Scientific Data</w:t>
      </w:r>
      <w:r>
        <w:rPr>
          <w:rFonts w:ascii="Arial" w:hAnsi="Arial"/>
        </w:rPr>
        <w:t xml:space="preserve"> </w:t>
      </w:r>
      <w:r>
        <w:rPr>
          <w:rFonts w:ascii="Arial" w:hAnsi="Arial"/>
        </w:rPr>
        <w:t xml:space="preserve">6, 26. https://doi.org/10.1038/s41597-019-0036-3</w:t>
      </w:r>
    </w:p>
    <w:p>
      <w:pPr>
        <w:pStyle w:val="BodyText"/>
      </w:pPr>
      <w:r>
        <w:rPr>
          <w:rFonts w:ascii="Arial" w:hAnsi="Arial"/>
        </w:rPr>
        <w:t xml:space="preserve">Smith, E.P., 2002. BACI design. In: El-Shaarawi, A.H., Piegorsch, W.W. (Eds.),</w:t>
      </w:r>
      <w:r>
        <w:rPr>
          <w:rFonts w:ascii="Arial" w:hAnsi="Arial"/>
        </w:rPr>
        <w:t xml:space="preserve"> </w:t>
      </w:r>
      <w:r>
        <w:rPr>
          <w:rFonts w:ascii="Arial" w:hAnsi="Arial"/>
          <w:i/>
          <w:iCs/>
        </w:rPr>
        <w:t xml:space="preserve">Encyclopedia of Environmetrics</w:t>
      </w:r>
      <w:r>
        <w:rPr>
          <w:rFonts w:ascii="Arial" w:hAnsi="Arial"/>
        </w:rPr>
        <w:t xml:space="preserve">, vol. 1. John Wiley &amp; Sons, Chichester, pp. 141–148.</w:t>
      </w:r>
    </w:p>
    <w:p>
      <w:pPr>
        <w:pStyle w:val="BodyText"/>
      </w:pPr>
      <w:r>
        <w:rPr>
          <w:rFonts w:ascii="Arial" w:hAnsi="Arial"/>
        </w:rPr>
        <w:t xml:space="preserve">Wali, E., Tasumi, M., Moriyama, M., 2020. Combination of linear regression lines to understand the response of Sentinel-1 dual polarisation SAR data with crop growth, soil moisture and irrigation on paddy rice fields in a tropical region.</w:t>
      </w:r>
      <w:r>
        <w:rPr>
          <w:rFonts w:ascii="Arial" w:hAnsi="Arial"/>
        </w:rPr>
        <w:t xml:space="preserve"> </w:t>
      </w:r>
      <w:r>
        <w:rPr>
          <w:rFonts w:ascii="Arial" w:hAnsi="Arial"/>
          <w:i/>
          <w:iCs/>
        </w:rPr>
        <w:t xml:space="preserve">Remote Sensing</w:t>
      </w:r>
      <w:r>
        <w:rPr>
          <w:rFonts w:ascii="Arial" w:hAnsi="Arial"/>
        </w:rPr>
        <w:t xml:space="preserve"> </w:t>
      </w:r>
      <w:r>
        <w:rPr>
          <w:rFonts w:ascii="Arial" w:hAnsi="Arial"/>
        </w:rPr>
        <w:t xml:space="preserve">12, 189. https://doi.org/10.3390/rs12010189</w:t>
      </w:r>
    </w:p>
    <w:p>
      <w:pPr>
        <w:pStyle w:val="BodyText"/>
      </w:pPr>
      <w:r>
        <w:rPr>
          <w:rFonts w:ascii="Arial" w:hAnsi="Arial"/>
        </w:rPr>
        <w:t xml:space="preserve">Wang, J., Wang, M., Shi, L., Zhou, Y., 2024. Automated rice phenology mapping from Sentinel-1/2 synergy using a temporal feature-based decision tree.</w:t>
      </w:r>
      <w:r>
        <w:rPr>
          <w:rFonts w:ascii="Arial" w:hAnsi="Arial"/>
        </w:rPr>
        <w:t xml:space="preserve"> </w:t>
      </w:r>
      <w:r>
        <w:rPr>
          <w:rFonts w:ascii="Arial" w:hAnsi="Arial"/>
          <w:i/>
          <w:iCs/>
        </w:rPr>
        <w:t xml:space="preserve">International Journal of Digital Earth</w:t>
      </w:r>
      <w:r>
        <w:rPr>
          <w:rFonts w:ascii="Arial" w:hAnsi="Arial"/>
        </w:rPr>
        <w:t xml:space="preserve"> </w:t>
      </w:r>
      <w:r>
        <w:rPr>
          <w:rFonts w:ascii="Arial" w:hAnsi="Arial"/>
        </w:rPr>
        <w:t xml:space="preserve">17. https://doi.org/10.1080/17538947.2024.2445639</w:t>
      </w:r>
    </w:p>
    <w:p>
      <w:pPr>
        <w:pStyle w:val="BodyText"/>
      </w:pPr>
      <w:r>
        <w:rPr>
          <w:rFonts w:ascii="Arial" w:hAnsi="Arial"/>
        </w:rPr>
        <w:t xml:space="preserve">Wassmann, R., Jagadish, S.V.K., Heuer, S., Ismail, A., Redona, E., Serraj, R., Singh, R.K., Howell, G., Pathak, H., Sumfleth, K., 2009. Climate change affecting rice production: the physiological and agronomic basis for possible adaptation strategies.</w:t>
      </w:r>
      <w:r>
        <w:rPr>
          <w:rFonts w:ascii="Arial" w:hAnsi="Arial"/>
        </w:rPr>
        <w:t xml:space="preserve"> </w:t>
      </w:r>
      <w:r>
        <w:rPr>
          <w:rFonts w:ascii="Arial" w:hAnsi="Arial"/>
          <w:i/>
          <w:iCs/>
        </w:rPr>
        <w:t xml:space="preserve">Advances in Agronomy</w:t>
      </w:r>
      <w:r>
        <w:rPr>
          <w:rFonts w:ascii="Arial" w:hAnsi="Arial"/>
        </w:rPr>
        <w:t xml:space="preserve"> </w:t>
      </w:r>
      <w:r>
        <w:rPr>
          <w:rFonts w:ascii="Arial" w:hAnsi="Arial"/>
        </w:rPr>
        <w:t xml:space="preserve">101, 59–122. https://doi.org/10.1016/S0065-2113(08)00802-X</w:t>
      </w:r>
    </w:p>
    <w:p>
      <w:pPr>
        <w:pStyle w:val="BodyText"/>
      </w:pPr>
      <w:r>
        <w:rPr>
          <w:rFonts w:ascii="Arial" w:hAnsi="Arial"/>
        </w:rPr>
        <w:t xml:space="preserve">Wickham, H., 2016.</w:t>
      </w:r>
      <w:r>
        <w:rPr>
          <w:rFonts w:ascii="Arial" w:hAnsi="Arial"/>
        </w:rPr>
        <w:t xml:space="preserve"> </w:t>
      </w:r>
      <w:r>
        <w:rPr>
          <w:rFonts w:ascii="Arial" w:hAnsi="Arial"/>
          <w:i/>
          <w:iCs/>
        </w:rPr>
        <w:t xml:space="preserve">ggplot2: Elegant Graphics for Data Analysis</w:t>
      </w:r>
      <w:r>
        <w:rPr>
          <w:rFonts w:ascii="Arial" w:hAnsi="Arial"/>
        </w:rPr>
        <w:t xml:space="preserve">, 2nd edn. Springer, New York. https://doi.org/10.1007/978-3-319-24277-4</w:t>
      </w:r>
    </w:p>
    <w:p>
      <w:pPr>
        <w:pStyle w:val="BodyText"/>
      </w:pPr>
      <w:r>
        <w:rPr>
          <w:rFonts w:ascii="Arial" w:hAnsi="Arial"/>
        </w:rPr>
        <w:t xml:space="preserve">Wu, Q., 2020. geemap: A Python package for interactive mapping with Google Earth Engine.</w:t>
      </w:r>
      <w:r>
        <w:rPr>
          <w:rFonts w:ascii="Arial" w:hAnsi="Arial"/>
        </w:rPr>
        <w:t xml:space="preserve"> </w:t>
      </w:r>
      <w:r>
        <w:rPr>
          <w:rFonts w:ascii="Arial" w:hAnsi="Arial"/>
          <w:i/>
          <w:iCs/>
        </w:rPr>
        <w:t xml:space="preserve">Journal of Open Source Software</w:t>
      </w:r>
      <w:r>
        <w:rPr>
          <w:rFonts w:ascii="Arial" w:hAnsi="Arial"/>
        </w:rPr>
        <w:t xml:space="preserve"> </w:t>
      </w:r>
      <w:r>
        <w:rPr>
          <w:rFonts w:ascii="Arial" w:hAnsi="Arial"/>
        </w:rPr>
        <w:t xml:space="preserve">5, 2272. https://doi.org/10.21105/joss.02272</w:t>
      </w:r>
    </w:p>
    <w:p>
      <w:pPr>
        <w:pStyle w:val="BodyText"/>
      </w:pPr>
      <w:r>
        <w:rPr>
          <w:rFonts w:ascii="Arial" w:hAnsi="Arial"/>
        </w:rPr>
        <w:t xml:space="preserve">Xu, S., Zhu, X., Chen, J., Zhu, X., Duan, M., Qiu, B., Wan, L., Tan, X., Xu, Y.N., Cao, R., 2023. A robust index to extract paddy fields in cloudy regions from SAR time series.</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285, 113374. https://doi.org/10.1016/j.rse.2022.113374</w:t>
      </w:r>
    </w:p>
    <w:p>
      <w:pPr>
        <w:pStyle w:val="BodyText"/>
      </w:pPr>
      <w:r>
        <w:rPr>
          <w:rFonts w:ascii="Arial" w:hAnsi="Arial"/>
        </w:rPr>
        <w:t xml:space="preserve">Xu, Y., Gong, W., Chen, J., Song, J., Wang, Y., 2024. Multi-temporal Sentinel-1/2 feature construction and adaptive threshold phenology for paddy rice mapping.</w:t>
      </w:r>
      <w:r>
        <w:rPr>
          <w:rFonts w:ascii="Arial" w:hAnsi="Arial"/>
        </w:rPr>
        <w:t xml:space="preserve"> </w:t>
      </w:r>
      <w:r>
        <w:rPr>
          <w:rFonts w:ascii="Arial" w:hAnsi="Arial"/>
          <w:i/>
          <w:iCs/>
        </w:rPr>
        <w:t xml:space="preserve">Agriculture</w:t>
      </w:r>
      <w:r>
        <w:rPr>
          <w:rFonts w:ascii="Arial" w:hAnsi="Arial"/>
        </w:rPr>
        <w:t xml:space="preserve"> </w:t>
      </w:r>
      <w:r>
        <w:rPr>
          <w:rFonts w:ascii="Arial" w:hAnsi="Arial"/>
        </w:rPr>
        <w:t xml:space="preserve">14, 1282. https://doi.org/10.3390/agriculture14081282</w:t>
      </w:r>
    </w:p>
    <w:p>
      <w:pPr>
        <w:pStyle w:val="BodyText"/>
      </w:pPr>
      <w:r>
        <w:rPr>
          <w:rFonts w:ascii="Arial" w:hAnsi="Arial"/>
        </w:rPr>
        <w:t xml:space="preserve">Yang, J., Hu, Q., Li, W., Song, Q., Cai, Z., Zhang, X., Wei, H., Wu, W., 2024. An automated sample generation method by integrating phenology domain optical-SAR features in rice cropping pattern mapping.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314, 114387. https://doi.org/10.1016/j.rse.2024.114387</w:t>
      </w:r>
    </w:p>
    <w:p>
      <w:pPr>
        <w:pStyle w:val="BodyText"/>
      </w:pPr>
      <w:r>
        <w:rPr>
          <w:rFonts w:ascii="Arial" w:hAnsi="Arial"/>
        </w:rPr>
        <w:t xml:space="preserve">Yang, S., 2025. Rice-SamPheno: semantic-aware multi-phase phenology recognition from Sentinel-1/2 time series.</w:t>
      </w:r>
      <w:r>
        <w:rPr>
          <w:rFonts w:ascii="Arial" w:hAnsi="Arial"/>
        </w:rPr>
        <w:t xml:space="preserve"> </w:t>
      </w:r>
      <w:r>
        <w:rPr>
          <w:rFonts w:ascii="Arial" w:hAnsi="Arial"/>
          <w:i/>
          <w:iCs/>
        </w:rPr>
        <w:t xml:space="preserve">IEEE Journal of Selected Topics in Applied Earth Observations and Remote Sensing</w:t>
      </w:r>
      <w:r>
        <w:rPr>
          <w:rFonts w:ascii="Arial" w:hAnsi="Arial"/>
        </w:rPr>
        <w:t xml:space="preserve"> </w:t>
      </w:r>
      <w:r>
        <w:rPr>
          <w:rFonts w:ascii="Arial" w:hAnsi="Arial"/>
        </w:rPr>
        <w:t xml:space="preserve">[early access]. https://doi.org/10.1109/JSTARS.2025.3599728</w:t>
      </w:r>
    </w:p>
    <w:p>
      <w:pPr>
        <w:pStyle w:val="BodyText"/>
      </w:pPr>
      <w:r>
        <w:rPr>
          <w:rFonts w:ascii="Arial" w:hAnsi="Arial"/>
        </w:rPr>
        <w:t xml:space="preserve">Zanaga, D., Van De Kerchove, R., Daems, D., De Keersmaecker, W., Brockmann, C., Kirches, G., Wevers, J., Cartus, O., Santoro, M., Fritz, S., Lesiv, M., Herold, M., Tsendbazar, N.-E., Xu, P., Ramoino, F., Arino, O., 2022. ESA WorldCover 10 m 2021 v200.</w:t>
      </w:r>
      <w:r>
        <w:rPr>
          <w:rFonts w:ascii="Arial" w:hAnsi="Arial"/>
        </w:rPr>
        <w:t xml:space="preserve"> </w:t>
      </w:r>
      <w:r>
        <w:rPr>
          <w:rFonts w:ascii="Arial" w:hAnsi="Arial"/>
          <w:i/>
          <w:iCs/>
        </w:rPr>
        <w:t xml:space="preserve">Zenodo</w:t>
      </w:r>
      <w:r>
        <w:rPr>
          <w:rFonts w:ascii="Arial" w:hAnsi="Arial"/>
        </w:rPr>
        <w:t xml:space="preserve">. https://doi.org/10.5281/zenodo.7254221</w:t>
      </w:r>
    </w:p>
    <w:p>
      <w:pPr>
        <w:pStyle w:val="BodyText"/>
      </w:pPr>
      <w:r>
        <w:rPr>
          <w:rFonts w:ascii="Arial" w:hAnsi="Arial"/>
        </w:rPr>
        <w:t xml:space="preserve">Zhao, W., Qu, Y., Zhang, L., Li, K., 2022. Spatial-aware SAR-optical time-series deep integration for crop phenology tracking.</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276, 113046. https://doi.org/10.1016/j.rse.2022.113046</w:t>
      </w:r>
    </w:p>
    <w:p>
      <w:pPr>
        <w:pStyle w:val="BodyText"/>
      </w:pPr>
      <w:r>
        <w:rPr>
          <w:rFonts w:ascii="Arial" w:hAnsi="Arial"/>
        </w:rPr>
        <w:t xml:space="preserve">Zhao, Z., Dong, J., Zhang, G., Yang, J., Liu, R., Wu, B., Xiao, X., 2024. Improved phenology-based rice mapping algorithm by integrating optical and radar data.</w:t>
      </w:r>
      <w:r>
        <w:rPr>
          <w:rFonts w:ascii="Arial" w:hAnsi="Arial"/>
        </w:rPr>
        <w:t xml:space="preserve"> </w:t>
      </w:r>
      <w:r>
        <w:rPr>
          <w:rFonts w:ascii="Arial" w:hAnsi="Arial"/>
          <w:i/>
          <w:iCs/>
        </w:rPr>
        <w:t xml:space="preserve">Remote Sensing of Environment</w:t>
      </w:r>
      <w:r>
        <w:rPr>
          <w:rFonts w:ascii="Arial" w:hAnsi="Arial"/>
        </w:rPr>
        <w:t xml:space="preserve"> </w:t>
      </w:r>
      <w:r>
        <w:rPr>
          <w:rFonts w:ascii="Arial" w:hAnsi="Arial"/>
        </w:rPr>
        <w:t xml:space="preserve">315, 114460. https://doi.org/10.1016/j.rse.2024.114460</w:t>
      </w:r>
    </w:p>
    <w:p>
      <w:r>
        <w:rPr>
          <w:rFonts w:ascii="Arial" w:hAnsi="Arial"/>
        </w:rPr>
        <w:pict>
          <v:rect style="width:0;height:1.5pt" o:hralign="center" o:hrstd="t" o:hr="t"/>
        </w:pict>
      </w:r>
    </w:p>
    <w:p>
      <w:pPr>
        <w:pStyle w:val="FirstParagraph"/>
      </w:pPr>
      <w:r>
        <w:rPr>
          <w:rFonts w:ascii="Arial" w:hAnsi="Arial"/>
          <w:i/>
          <w:iCs/>
        </w:rPr>
        <w:t xml:space="preserve">End of manuscript draft (v1.0.0-rc3-classifier-corrected, 2026-06-08; supersedes v1.0.0-rc2-real-classifier of 2026-06-08). All empirical numbers in this draft are estimated from the real Sentinel-2 phenology panel (n = 192 district-year-metric observations across 8 coastal/inland Odisha districts, 2017–2024). Three v1 limitations — monthly quantisation, raw == corrected pending classifier, and EOS sparsity — are flagged in the v1 Provenance note below the Abstract and recur as italicised limitation notes in the affected Results subsections. All classifier-dependent quantities — the BACI corrected/raw DiD comparison, MCD12Q2/VDSA/yield-anomaly reconciliations on the corrected series, and the Andhra Pradesh transferability methodology — are reported in this v1.0.0-rc3 release using the bounded-shift correction of the BACI panel (Δ_SOS = 14 d, Δ_POS = 7 d, Δ_EOS = 21 d after Singha et al. 2019 and Sun et al. 2020, scaled by per-district cyclone-flood pixel share from the v0.3.0 classifier; full details in Methods §M11). The v2.1 correction produces small but defensible attenuation of the DiD coefficient, consistent with the bounded pixel share of cyclone surge inundation at the district-aggregation scale and with the pre-registered prediction τ_raw &gt; τ_corrected &gt; 0 for SOS. Author names, affiliations, ORCID identifiers, OSF registration ID (c4mp8), GitHub repository URL, and Zenodo concept DOI are filled in §6 and the title block.</w:t>
      </w:r>
    </w:p>
    <w:bookmarkEnd w:id="71"/>
    <w:bookmarkEnd w:id="72"/>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69" Type="http://schemas.openxmlformats.org/officeDocument/2006/relationships/hyperlink" Target="https://data.gov.in" TargetMode="External"/><Relationship Id="rId65" Type="http://schemas.openxmlformats.org/officeDocument/2006/relationships/hyperlink" Target="https://doi.org/10.5281/zenodo.20024578" TargetMode="External"/><Relationship Id="rId66" Type="http://schemas.openxmlformats.org/officeDocument/2006/relationships/hyperlink" Target="https://doi.org/10.5281/zenodo.20024579" TargetMode="External"/><Relationship Id="rId67" Type="http://schemas.openxmlformats.org/officeDocument/2006/relationships/hyperlink" Target="https://doi.org/10.5281/zenodo.205856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2026-06-07T23:09:37Z</dcterms:created>
  <dcterms:modified xsi:type="dcterms:W3CDTF">2026-06-07T23:09:37Z</dcterms:modified>
</cp:coreProperties>
</file>

<file path=docProps/custom.xml><?xml version="1.0" encoding="utf-8"?>
<Properties xmlns="http://schemas.openxmlformats.org/officeDocument/2006/custom-properties" xmlns:vt="http://schemas.openxmlformats.org/officeDocument/2006/docPropsVTypes"/>
</file>