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synthetic aperture radar (SAR) backscatter decrease during agronomic transplanting flooding — the primary phenological anchor of rice algorithms — is nearly indistinguishable from storm-surge inundation four to six weeks earlier, silently corrupting start-of-season (SOS), peak-of-season (POS) and end-of-season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 the conservative figure for monsoon-cloud deployment — with the full-feature model reaching OA = 0.990 as a cloud-free upper bound. Corrected and uncorrected phenological series were compared using a two-way fixed-effects difference-in-differences (TWFE-DiD) model with district-clustered inference, cross-validated by a five-instrument robustness suite. The DiD coefficient τ̂_SOS was +15.289 d (wild-cluster restricted bootstrap (WCR) p = 0.400) for the uncorrected series, attenuating to +15.108 d (WCR p = 0.4065) after correction — directionally consistent with the pre-registered prediction τ̂_raw &gt; τ̂_corrected &gt; 0 but indicative rather than confirmatory at the eight-cluster panel size. The corrected EOS coefficient is indistinguishable from zero. We provide the first empirical characterisation of the cyclone-flood confound in SAR rice phenology and an open, Google Earth Engine-deployable correction framework for cyclone-exposed deltas.</w:t>
      </w:r>
    </w:p>
    <w:p>
      <w:pPr>
        <w:pStyle w:val="BodyText"/>
      </w:pPr>
      <w:r>
        <w:rPr>
          <w:b/>
          <w:bCs/>
        </w:rPr>
        <w:t>Word count (abstract): 249</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Sentinel-2; SAR; rice; phenology; cyclones; 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t xml:space="preserve">Mathematical and statistical symbols introduced within specific equations (e.g., Y_dt, α_d, β_1, β_2, ε_dt, τ̂, p_perm, t_(α/2, G−1)) are defined at first use in each equation and again in the figure or table caption where they next appear; subscript usage follows the convention defined in the equation panel of §3.6 and is consistent throughout.</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exercised through a reproducible transferability protocol over Andhra Pradesh coastal districts impacted by Cyclone Hudhud (2014), released as an out-of-sample check rather than a confirmatory validation given that Sentinel-1 data are unavailable for the 2014 landfall period (Section 3.7).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c_1 + c_2 · ( 1 / (1 + exp(−k_1·(t − t_1))) − 1 / (1 + exp(−k_2·(t − t_2))) )                              (2)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τ;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τ̂ is estimated on 64 district-year observations after pipeline-and-metric subsetting, leaving 6 residual degrees of freedom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 · t + β_2 · (t · D_d) + ε_dt on the pre-period sub-panel (t &lt; 2019) and reporting β_2 in Table S2; failure of parallel trends would manifest as a significant pre-trend coefficient. No anticipation: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 SUTVA (stable unit treatment value assumption) / no spillovers: treatment of district d does not affect Y in district d′ ≠ d.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the directional prediction τ̂_raw &gt; τ̂_corrected &gt; 0: the raw VH-min pipeline is expected to over-attribute the cyclone shock because flood-induced VH dips are read as delayed SOS in districts where standing water lingers; the corrected pipeline masks those flood pixels and should attenuate the bias by 50–80%.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BodyText"/>
      </w:pPr>
      <w:r>
        <w:t xml:space="preserve">The headline TWFE-DiD coefficient τ̂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 run_all.sh reproduces all five in a single command.</w:t>
      </w:r>
    </w:p>
    <w:bookmarkStart w:id="38" w:name="Xce3fba7e0a5807fa6b7c1bb709d33c6f279dafe"/>
    <w:p>
      <w:pPr>
        <w:pStyle w:val="Heading4"/>
      </w:pPr>
      <w:r>
        <w:t xml:space="preserve">3.7.1 Wild-cluster restricted bootstrap (Module 05a, Table S4)</w:t>
      </w:r>
    </w:p>
    <w:p>
      <w:pPr>
        <w:pStyle w:val="BodyText"/>
      </w:pPr>
      <w:r>
        <w:t xml:space="preserve">The eight-cluster panel is below the asymptotic threshold for cluster-robust inference, so we re-test H₀: τ =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BodyText"/>
      </w:pPr>
      <w:r>
        <w:t xml:space="preserve">To probe whether the corrected pipeline transfers to a different cyclone class than the three pre-Kharif treatment events (Fani, Amphan, Yaas — all summer-monsoon-window cyclones with surge as the dominant inundation mechanism), we apply the trained τ̂_corrected_SOS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≥4/6 districts lie within ±20 d of the trained τ̂.</w:t>
      </w:r>
    </w:p>
    <w:bookmarkEnd w:id="39"/>
    <w:bookmarkStart w:id="40" w:name="X8b2c3bb67c248fa3a77cda1f321419ffa2b7e87"/>
    <w:p>
      <w:pPr>
        <w:pStyle w:val="Heading4"/>
      </w:pPr>
      <w:r>
        <w:t xml:space="preserve">3.7.3 Leave-one-out jackknife sensitivity (Module 05d, Table S5)</w:t>
      </w:r>
    </w:p>
    <w:p>
      <w:pPr>
        <w:pStyle w:val="BodyText"/>
      </w:pPr>
      <w:r>
        <w:t xml:space="preserve">We re-fit Eq. 4 dropping each of the eight districts and each of the eight years in turn, yielding 16 τ̂ values per cell. Each cell is classified stable (max |τ̂_LOO − τ̂| / |τ̂| &lt; 25% and no sign flip), leverage (one observation drives &gt;25% shift, no sign flip), or fragile (some LOO flips the sign of τ̂). We additionally report the most-leveraging district / year per cell. At G = 8 clusters every cell is at least leverage-class; SOS/POS show no sign flips under any LOO; EOS shows expected sign flips because the n = 44 EOS panel concentrates in unflooded years.</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C(G, k) = C(8, 5) = 56 possible subsets of districts of size k = 5 (the size of the real treated set), holding the post-period fixed at 2019–2021. For each permutation we re-estimate Eq. 4 on the subsetted panel and record the placebo coefficient τ_p. The two-sided permutation p-value is</w:t>
      </w:r>
    </w:p>
    <w:p>
      <w:pPr>
        <w:pStyle w:val="BodyText"/>
      </w:pPr>
      <w:r>
        <w:rPr>
          <w:i/>
          <w:iCs/>
        </w:rPr>
        <w:t xml:space="preserve">p_perm = (1 + #{ |τ_p| ≥ |τ̂| }) / (1 + 56)                                    (6)</w:t>
      </w:r>
    </w:p>
    <w:p>
      <w:pPr>
        <w:pStyle w:val="BodyText"/>
      </w:pPr>
      <w:r>
        <w:t xml:space="preserve">with the +1 correction following Phipson and Smyth (2010). The smallest attainable p_perm on this design is 1/57 ≈ 0.018 (real assignment alone in the tail). On the real v2.1 panel the in-space permutation test (Table S7) places the real τ̂ in the extreme tail of all 56 reassignments only for the EOS cells (raw/EOS and corrected/EOS at the design floor p_perm = 0.018); SOS and POS placebo distributions are wide and the real τ̂ does not isolate in the tail, consistent with the underpowered headline.</w:t>
      </w:r>
    </w:p>
    <w:p>
      <w:pPr>
        <w:pStyle w:val="BodyText"/>
      </w:pPr>
      <w:r>
        <w:t xml:space="preserve">In-time pseudo-shifted placebo (transparency probe). 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τ̂ on the resulting 2-year sample. On the real v2.1 panel the SOS pseudo-coefficient is τ̂_pseudo = −76.5 d (SE 38.31, raw and corrected pipelines identical because Eq. (4) collapses to a single 2 × 2 comparison). This single point is not a formal placebo distribution and should not be over-interpreted; we report it as a transparency probe only.</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real v2.1 panel, MDE₂-sided ranges from 0.55 d (corrected/EOS) to 56.5 d (raw/SOS), and |τ̂| / MDE ranges from 0.27 (raw/SOS) to 0.43 (corrected/EOS); none of the six observed effects exceeds its MDE at α = 0.05, power = 0.80, df = 7 (Table S6). We report this honestly as the formal small-G underpowering result: the design at G = 8 cannot reject H₀ for any single (pipeline × phenometric) cell at conventional thresholds; what the design can do is establish (i) the qualitative ranking τ̂_raw &gt; τ̂_corrected &gt; 0 for SOS, (ii) the null on EOS after the correction restores 20 censored cells, and (iii) the transferability of the corrected pipeline to Cyclone Bulbul.</w:t>
      </w:r>
    </w:p>
    <w:bookmarkEnd w:id="42"/>
    <w:bookmarkEnd w:id="43"/>
    <w:bookmarkStart w:id="44" w:name="validation"/>
    <w:p>
      <w:pPr>
        <w:pStyle w:val="Heading3"/>
      </w:pPr>
      <w:r>
        <w:t xml:space="preserve">3.8 Validation</w:t>
      </w:r>
    </w:p>
    <w:p>
      <w:pPr>
        <w:pStyle w:val="FirstParagraph"/>
      </w:pPr>
      <w:r>
        <w:t xml:space="preserve">The operational deliverable of this study is the satellite-derived phenology product (Sentinel-1/2-based RiceBaCI-GEE pipeline) and its cyclone-flood correction layer; all ground- and field-data sources used below — MODIS MCD12Q2 phenometric land-product dates, ICRISAT VDSA village-level records of transplanting and harvest, district-level Kharif rice yield anomalies, and the Singha et al. (2019) South Asia rice product — serve as independent validators of the satellite retrieval rather than as primary observational inputs. The Sentinel-1/2 product is the artefact released for community uptake (GitHub, Zenodo, Mendeley Data, OSF); the field/ground tiers below establish that the satellite retrieval is statistically defensible against multiple independent reference systems.</w:t>
      </w:r>
    </w:p>
    <w:p>
      <w:pPr>
        <w:pStyle w:val="BodyText"/>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exercised through the reproducible transferability protocol on coastal Andhra Pradesh districts (Srikakulam, Vizianagaram, Visakhapatnam) for 2014–2016, using the LISS-III and Sentinel-1 data available for that period. Cyclone Hudhud made landfall near Visakhapatnam on 12 October 2014. OA, F1, and DiD coefficient estimates for this Andhra run are released as a reproducible out-of-sample artefact alongside the primary study-area results rather than as a confirmatory geographic-generalisability validation, since the 2014 landfall predates the Sentinel-1 archive that supplies cyclone-flood reference labels in the Odisha panel;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