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f3394bf13added9016da3c74a82dbe3569e29e6"/>
    <w:p>
      <w:pPr>
        <w:pStyle w:val="Heading1"/>
      </w:pPr>
      <w:r>
        <w:t xml:space="preserve">Decoupling Cyclone-Induced Saline Inundation from Agronomic Flooding in Sentinel-1/2 Rice Phenology Retrieval: A Multi-Year Bay-of-Bengal Coastal Framework (2017–2024)</w:t>
      </w:r>
    </w:p>
    <w:p>
      <w:r>
        <w:pict>
          <v:rect style="width:0;height:1.5pt" o:hralign="center" o:hrstd="t" o:hr="t"/>
        </w:pict>
      </w:r>
    </w:p>
    <w:bookmarkStart w:id="20" w:name="title-page"/>
    <w:p>
      <w:pPr>
        <w:pStyle w:val="Heading2"/>
      </w:pPr>
      <w:r>
        <w:t xml:space="preserve">Title Page</w:t>
      </w:r>
    </w:p>
    <w:p>
      <w:pPr>
        <w:pStyle w:val="FirstParagraph"/>
      </w:pPr>
      <w:r>
        <w:rPr>
          <w:b/>
          <w:bCs/>
        </w:rPr>
        <w:t xml:space="preserve">Title:</w:t>
      </w:r>
      <w:r>
        <w:t xml:space="preserve"> </w:t>
      </w:r>
      <w:r>
        <w:t xml:space="preserve">Decoupling Cyclone-Induced Saline Inundation from Agronomic Flooding in Sentinel-1/2 Rice Phenology Retrieval: A Multi-Year Bay-of-Bengal Coastal Framework (2017–2024)</w:t>
      </w:r>
    </w:p>
    <w:p>
      <w:pPr>
        <w:pStyle w:val="BodyText"/>
      </w:pPr>
      <w:r>
        <w:rPr>
          <w:b/>
          <w:bCs/>
        </w:rPr>
        <w:t xml:space="preserve">Authors:</w:t>
      </w:r>
    </w:p>
    <w:p>
      <w:pPr>
        <w:pStyle w:val="BodyText"/>
      </w:pPr>
      <w:r>
        <w:t xml:space="preserve">Supranab Panda¹*, Sarat Chandra Sahu¹</w:t>
      </w:r>
    </w:p>
    <w:p>
      <w:pPr>
        <w:pStyle w:val="BodyText"/>
      </w:pPr>
      <w:r>
        <w:rPr>
          <w:b/>
          <w:bCs/>
        </w:rPr>
        <w:t xml:space="preserve">Affiliations:</w:t>
      </w:r>
    </w:p>
    <w:p>
      <w:pPr>
        <w:pStyle w:val="BodyText"/>
      </w:pPr>
      <w:r>
        <w:t xml:space="preserve">¹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p>
    <w:p>
      <w:pPr>
        <w:pStyle w:val="BodyText"/>
      </w:pPr>
      <w:r>
        <w:rPr>
          <w:b/>
          <w:bCs/>
        </w:rPr>
        <w:t xml:space="preserve">Corresponding author:</w:t>
      </w:r>
    </w:p>
    <w:p>
      <w:pPr>
        <w:pStyle w:val="BodyText"/>
      </w:pPr>
      <w:r>
        <w:t xml:space="preserve">Supranab Panda</w:t>
      </w:r>
      <w:r>
        <w:br/>
      </w:r>
      <w:r>
        <w:t xml:space="preserve">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E-mail: pandasupranab@gmail.com</w:t>
      </w:r>
      <w:r>
        <w:br/>
      </w:r>
      <w:r>
        <w:t xml:space="preserve">ORCID: 0009-0009-6496-6545</w:t>
      </w:r>
    </w:p>
    <w:p>
      <w:pPr>
        <w:pStyle w:val="BodyText"/>
      </w:pPr>
      <w:r>
        <w:rPr>
          <w:b/>
          <w:bCs/>
        </w:rPr>
        <w:t xml:space="preserve">Co-author / Supervisor:</w:t>
      </w:r>
    </w:p>
    <w:p>
      <w:pPr>
        <w:pStyle w:val="BodyText"/>
      </w:pPr>
      <w:r>
        <w:t xml:space="preserve">Sarat Chandra Sahu, Director,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ORCID: 0000-0002-8048-1910</w:t>
      </w:r>
    </w:p>
    <w:p>
      <w:r>
        <w:pict>
          <v:rect style="width:0;height:1.5pt" o:hralign="center" o:hrstd="t" o:hr="t"/>
        </w:pict>
      </w:r>
    </w:p>
    <w:bookmarkEnd w:id="20"/>
    <w:bookmarkStart w:id="21" w:name="abstract"/>
    <w:p>
      <w:pPr>
        <w:pStyle w:val="Heading2"/>
      </w:pPr>
      <w:r>
        <w:t xml:space="preserve">Abstract</w:t>
      </w:r>
    </w:p>
    <w:p>
      <w:pPr>
        <w:pStyle w:val="BodyText"/>
      </w:pPr>
      <w:r>
        <w:t xml:space="preserve">Tropical cyclones disrupt Kharif rice along the Bay of Bengal coast, yet no published study has quantified the bias that cyclone-induced saline storm-surge inundation introduces into Sentinel-1/2 rice phenology retrieval. The C-band synthetic aperture radar (SAR) backscatter decrease during agronomic transplanting flooding — the primary phenological anchor of rice algorithms — is nearly indistinguishable from storm-surge inundation four to six weeks earlier, silently corrupting start-of-season (SOS), peak-of-season (POS) and end-of-season (EOS) dates. We developed a random-forest classifier fusing Sentinel-1 backscatter, Sentinel-2 indices, JRC water permanence, and ERA5 wind to discriminate the two flood types across five coastal Odisha districts and eight Kharif seasons (2017–2024). The classifier achieved overall accuracy (OA) of 0.844 (F1 = 0.844; n = 96) in a SAR-only variant — the conservative figure for monsoon-cloud deployment — with the full-feature model reaching OA = 0.990 as a cloud-free upper bound. Corrected and uncorrected phenological series were compared using a two-way fixed-effects difference-in-differences (TWFE-DiD) model with district-clustered inference, cross-validated by a five-instrument robustness suite. The DiD coefficient τ̂_SOS was +15.289 d (wild-cluster restricted bootstrap (WCR) p = 0.400) for the uncorrected series, attenuating to +15.108 d (WCR p = 0.4065) after correction — directionally consistent with the pre-registered prediction τ̂_raw &gt; τ̂_corrected &gt; 0 but indicative rather than confirmatory at the eight-cluster panel size. The corrected EOS coefficient is indistinguishable from zero. We provide the first empirical characterisation of the cyclone-flood confound in SAR rice phenology and an open, Google Earth Engine-deployable correction framework for cyclone-exposed deltas.</w:t>
      </w:r>
    </w:p>
    <w:p>
      <w:r>
        <w:pict>
          <v:rect style="width:0;height:1.5pt" o:hralign="center" o:hrstd="t" o:hr="t"/>
        </w:pict>
      </w:r>
    </w:p>
    <w:bookmarkEnd w:id="21"/>
    <w:bookmarkStart w:id="22" w:name="highlights"/>
    <w:p>
      <w:r>
        <w:pict>
          <v:rect style="width:0;height:1.5pt" o:hralign="center" o:hrstd="t" o:hr="t"/>
        </w:pict>
      </w:r>
    </w:p>
    <w:bookmarkEnd w:id="22"/>
    <w:bookmarkStart w:id="23" w:name="keywords"/>
    <w:p>
      <w:pPr>
        <w:pStyle w:val="Heading2"/>
      </w:pPr>
      <w:r>
        <w:t xml:space="preserve">Keywords</w:t>
      </w:r>
    </w:p>
    <w:p>
      <w:pPr>
        <w:pStyle w:val="FirstParagraph"/>
      </w:pPr>
      <w:r>
        <w:t xml:space="preserve">Sentinel-1; Sentinel-2; SAR; rice; phenology; cyclones; Odisha</w:t>
      </w:r>
    </w:p>
    <w:p>
      <w:r>
        <w:pict>
          <v:rect style="width:0;height:1.5pt" o:hralign="center" o:hrstd="t" o:hr="t"/>
        </w:pict>
      </w:r>
    </w:p>
    <w:bookmarkEnd w:id="23"/>
    <w:bookmarkStart w:id="25" w:name="introduction"/>
    <w:p>
      <w:pPr>
        <w:pStyle w:val="Heading2"/>
      </w:pPr>
      <w:r>
        <w:t xml:space="preserve">1. Introduction</w:t>
      </w:r>
    </w:p>
    <w:p>
      <w:pPr>
        <w:pStyle w:val="FirstParagraph"/>
      </w:pPr>
      <w:r>
        <w:t xml:space="preserve">Rice (</w:t>
      </w:r>
      <w:r>
        <w:rPr>
          <w:i/>
          <w:iCs/>
        </w:rPr>
        <w:t xml:space="preserve">Oryza sativa</w:t>
      </w:r>
      <w:r>
        <w:t xml:space="preserve"> </w:t>
      </w:r>
      <w: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t xml:space="preserve">Satellite remote sensing offers unrivalled capacity for multi-year phenological monitoring at the spatial resolution and temporal frequency operational agriculture demands. The fusion of Sentinel-1 SAR and Sentinel-2 multispectral optical data — both freely accessible at 10 m with 6- and 5-day repeats — has emerged as the dominant paradigm for rice phenology retrieval in cloud-prone tropical regions. Meroni et al. (2021) showed that the SAR cross-ratio (VH/VV) and NDVI series provide complementary, statistically comparable phenological signals across major European crops. Singha et al. (2019) produced the first 10 m South Asian rice classification from Sentinel-1 + MODIS, establishing the VH backscatter trough during transplanting flooding as a robust detection anchor. Hu et al. (2023) adapted this approach to multi-cropping rice in Jiangsu, showing SAR-optical fusion outperforms single-sensor methods under persistent cloud cover. Minasny et al. (2022) and Xu et al. (2024) refined retrieval with time-series smoothing and adaptive thresholds; Shi et al. (2024), Wang et al. (2024), and Shen and Liao (2025) extended fusion to high-frequency composites and direct-seeding detection; Rangasamy et al. (2025) demonstrated SAR-only date retrieval for coastal Tamil Nadu; Fikriyah et al. (2019) separated dry-seeded from transplanted rice in Indonesia via SAR discriminant analysis; and Konkathi et al. (2024) applied multi-polarisation SAR metrics across coastal Andhra Pradesh. Across this body of work, the SAR backscatter decrease during transplanting flooding serves as the universal phenological anchor — reliable under normal agronomic conditions but ambiguous, and potentially misleading, under cyclone-disrupted coastal conditions.</w:t>
      </w:r>
    </w:p>
    <w:p>
      <w:pPr>
        <w:pStyle w:val="BodyText"/>
      </w:pPr>
      <w: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t xml:space="preserve">Coastal Odisha provides an ideal natural laboratory for characterising and correcting this confound. The state faces the Bay of Bengal directly, receiving an average of two to three significant cyclone landfalls per decade, with the most recent cluster — Fani (Extremely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(Smith, 2002)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TWFE-DiD specification (Eq. 4) reveal a significant cyclone-exposure treatment effect for phenological dates in the uncorrected series, and does this effect weaken or disappear after correction? Four specific contributions follow: (i) the first empirical characterisation of the cyclone-flood confound in SAR rice phenology for any Bay of Bengal coastal district; (ii) a multi-feature random-forest classifier separating saline storm-surge from agronomic flooding at 10 m pixel level; (iii) a TWFE-DiD assessment of cyclone-induced bias across eight Kharif seasons with a five-instrument robustness suite (WCR bootstrap, jackknife, two placebos, MDE/power, transferability) appropriate for G = 8 inference; and (iv) an open Google Earth Engine toolkit (RiceBaCI-GEE) validated on coastal Odisha and exercised through a reproducible transferability protocol over Cyclone Hudhud (2014) Andhra Pradesh districts (out-of-sample check, since Sentinel-1 is unavailable for the 2014 landfall; §3.7). The paper is structured: §2 study area and data; §3 methods; §4 results; §5 discussion; §6 conclusions.</w:t>
      </w:r>
    </w:p>
    <w:p>
      <w:r>
        <w:pict>
          <v:rect style="width:0;height:1.5pt" o:hralign="center" o:hrstd="t" o:hr="t"/>
        </w:pict>
      </w:r>
    </w:p>
    <w:bookmarkStart w:id="31" w:name="study-area-and-data"/>
    <w:p>
      <w:pPr>
        <w:pStyle w:val="Heading2"/>
      </w:pPr>
      <w:r>
        <w:t xml:space="preserve">2. Study Area and Data</w:t>
      </w:r>
    </w:p>
    <w:bookmarkStart w:id="26" w:name="study-area"/>
    <w:p>
      <w:pPr>
        <w:pStyle w:val="Heading3"/>
      </w:pPr>
      <w:r>
        <w:t xml:space="preserve">2.1 Study Area</w:t>
      </w:r>
    </w:p>
    <w:p>
      <w:pPr>
        <w:pStyle w:val="FirstParagraph"/>
      </w:pPr>
      <w: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jc w:val="center"/>
      </w:pPr>
      <w:r>
        <w:drawing>
          <wp:inline>
            <wp:extent cx="5486400" cy="4813778"/>
            <wp:docPr id="9" name="Picture 9"/>
            <wp:cNvGraphicFramePr>
              <a:graphicFrameLocks noChangeAspect="1"/>
            </wp:cNvGraphicFramePr>
            <a:graphic>
              <a:graphicData uri="http://schemas.openxmlformats.org/drawingml/2006/picture">
                <pic:pic>
                  <pic:nvPicPr>
                    <pic:cNvPr id="0" name="figure1_study_area.png"/>
                    <pic:cNvPicPr/>
                  </pic:nvPicPr>
                  <pic:blipFill>
                    <a:blip r:embed="rId17"/>
                    <a:stretch>
                      <a:fillRect/>
                    </a:stretch>
                  </pic:blipFill>
                  <pic:spPr>
                    <a:xfrm>
                      <a:off x="0" y="0"/>
                      <a:ext cx="5486400" cy="4813778"/>
                    </a:xfrm>
                    <a:prstGeom prst="rect"/>
                  </pic:spPr>
                </pic:pic>
              </a:graphicData>
            </a:graphic>
          </wp:inline>
        </w:drawing>
      </w:r>
    </w:p>
    <w:p>
      <w:pPr>
        <w:jc w:val="left"/>
      </w:pPr>
      <w:r>
        <w:rPr>
          <w:b/>
          <w:sz w:val="20"/>
        </w:rPr>
        <w:t xml:space="preserve">Figure 1. </w:t>
      </w:r>
      <w:r>
        <w:rPr>
          <w:sz w:val="20"/>
        </w:rPr>
        <w:t>Study area: coastal and inland Odisha BACI districts. Treated coastal districts (Balasore, Bhadrak, Kendrapara, Jagatsinghpur, Puri) and inland control districts (Dhenkanal, Angul, Cuttack), with IBTrACS cyclone tracks for Fani (May 2019), Bulbul (Nov 2019), Amphan (May 2020), and Yaas (May 2021).</w:t>
      </w:r>
    </w:p>
    <w:p>
      <w:pPr>
        <w:pStyle w:val="BodyText"/>
      </w:pPr>
      <w: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monsoon rainfall and rice cropping calendars but categorically unexposed to saline inundation. Administrative boundaries for all eight districts are sourced from the FAO GAUL Level-2 dataset (FAO, 2015). The GEE collection identifier is</w:t>
      </w:r>
      <w:r>
        <w:t xml:space="preserve"> </w:t>
      </w:r>
      <w:r>
        <w:rPr>
          <w:rStyle w:val="VerbatimChar"/>
        </w:rPr>
        <w:t xml:space="preserve">FAO/GAUL/2015/level2</w:t>
      </w:r>
      <w:r>
        <w:t xml:space="preserve">. A transferability test is also conducted on coastal districts of Andhra Pradesh impacted by Cyclone Hudhud (October 2014), providing an independent, geographically distinct validation of the correction framework.</w:t>
      </w:r>
    </w:p>
    <w:bookmarkEnd w:id="26"/>
    <w:bookmarkStart w:id="27" w:name="cyclone-events"/>
    <w:p>
      <w:pPr>
        <w:pStyle w:val="Heading3"/>
      </w:pPr>
      <w:r>
        <w:t xml:space="preserve">2.2 Cyclone Events</w:t>
      </w:r>
    </w:p>
    <w:p>
      <w:pPr>
        <w:pStyle w:val="FirstParagraph"/>
      </w:pPr>
      <w: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b/>
          <w:bCs/>
        </w:rPr>
        <w:t xml:space="preserve">Table 1.</w:t>
      </w:r>
      <w:r>
        <w:t xml:space="preserve"> </w:t>
      </w:r>
      <w: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100"/>
        <w:gridCol w:w="1100"/>
        <w:gridCol w:w="1320"/>
        <w:gridCol w:w="1500"/>
        <w:gridCol w:w="1700"/>
        <w:gridCol w:w="1200"/>
      </w:tblGrid>
      <w:tr>
        <w:trPr>
          <w:tblHeader w:val="on"/>
        </w:trPr>
        <w:tc>
          <w:tcPr/>
          <w:p>
            <w:pPr>
              <w:pStyle w:val="Compact"/>
              <w:jc w:val="left"/>
            </w:pPr>
            <w:r>
              <w:t xml:space="preserve">Cyclone</w:t>
            </w:r>
          </w:p>
        </w:tc>
        <w:tc>
          <w:tcPr/>
          <w:p>
            <w:pPr>
              <w:pStyle w:val="Compact"/>
              <w:jc w:val="left"/>
            </w:pPr>
            <w:r>
              <w:t xml:space="preserve">Landfall Date</w:t>
            </w:r>
          </w:p>
        </w:tc>
        <w:tc>
          <w:tcPr/>
          <w:p>
            <w:pPr>
              <w:pStyle w:val="Compact"/>
              <w:jc w:val="left"/>
            </w:pPr>
            <w:r>
              <w:t xml:space="preserve">Peak 3-min Wind (km h⁻¹)</w:t>
            </w:r>
          </w:p>
        </w:tc>
        <w:tc>
          <w:tcPr/>
          <w:p>
            <w:pPr>
              <w:pStyle w:val="Compact"/>
              <w:jc w:val="left"/>
            </w:pPr>
            <w:r>
              <w:t xml:space="preserve">ESCAP-WMO Category</w:t>
            </w:r>
          </w:p>
        </w:tc>
        <w:tc>
          <w:tcPr/>
          <w:p>
            <w:pPr>
              <w:pStyle w:val="Compact"/>
              <w:jc w:val="left"/>
            </w:pPr>
            <w:r>
              <w:t xml:space="preserve">District of Landfall</w:t>
            </w:r>
          </w:p>
        </w:tc>
        <w:tc>
          <w:tcPr/>
          <w:p>
            <w:pPr>
              <w:pStyle w:val="Compact"/>
              <w:jc w:val="left"/>
            </w:pPr>
            <w:r>
              <w:t xml:space="preserve">Approx. Surge Height (m)</w:t>
            </w:r>
          </w:p>
        </w:tc>
      </w:tr>
      <w:tr>
        <w:tc>
          <w:tcPr/>
          <w:p>
            <w:pPr>
              <w:pStyle w:val="Compact"/>
              <w:jc w:val="left"/>
            </w:pPr>
            <w:r>
              <w:t xml:space="preserve">Fani</w:t>
            </w:r>
          </w:p>
        </w:tc>
        <w:tc>
          <w:tcPr/>
          <w:p>
            <w:pPr>
              <w:pStyle w:val="Compact"/>
              <w:jc w:val="left"/>
            </w:pPr>
            <w:r>
              <w:t xml:space="preserve">3 May 2019</w:t>
            </w:r>
          </w:p>
        </w:tc>
        <w:tc>
          <w:tcPr/>
          <w:p>
            <w:pPr>
              <w:pStyle w:val="Compact"/>
              <w:jc w:val="left"/>
            </w:pPr>
            <w:r>
              <w:t xml:space="preserve">215 (peak) / 185 (landfall)</w:t>
            </w:r>
          </w:p>
        </w:tc>
        <w:tc>
          <w:tcPr/>
          <w:p>
            <w:pPr>
              <w:pStyle w:val="Compact"/>
              <w:jc w:val="left"/>
            </w:pPr>
            <w:r>
              <w:t xml:space="preserve">Extremely Severe Cyclonic Storm (ESCS)</w:t>
            </w:r>
          </w:p>
        </w:tc>
        <w:tc>
          <w:tcPr/>
          <w:p>
            <w:pPr>
              <w:pStyle w:val="Compact"/>
              <w:jc w:val="left"/>
            </w:pPr>
            <w:r>
              <w:t xml:space="preserve">Puri</w:t>
            </w:r>
          </w:p>
        </w:tc>
        <w:tc>
          <w:tcPr/>
          <w:p>
            <w:pPr>
              <w:pStyle w:val="Compact"/>
              <w:jc w:val="left"/>
            </w:pPr>
            <w:r>
              <w:t xml:space="preserve">1.0–1.5</w:t>
            </w:r>
          </w:p>
        </w:tc>
      </w:tr>
      <w:tr>
        <w:tc>
          <w:tcPr/>
          <w:p>
            <w:pPr>
              <w:pStyle w:val="Compact"/>
              <w:jc w:val="left"/>
            </w:pPr>
            <w:r>
              <w:t xml:space="preserve">Amphan</w:t>
            </w:r>
          </w:p>
        </w:tc>
        <w:tc>
          <w:tcPr/>
          <w:p>
            <w:pPr>
              <w:pStyle w:val="Compact"/>
              <w:jc w:val="left"/>
            </w:pPr>
            <w:r>
              <w:t xml:space="preserve">20 May 2020</w:t>
            </w:r>
          </w:p>
        </w:tc>
        <w:tc>
          <w:tcPr/>
          <w:p>
            <w:pPr>
              <w:pStyle w:val="Compact"/>
              <w:jc w:val="left"/>
            </w:pPr>
            <w:r>
              <w:t xml:space="preserve">240 (peak) / 155–165 (landfall)</w:t>
            </w:r>
          </w:p>
        </w:tc>
        <w:tc>
          <w:tcPr/>
          <w:p>
            <w:pPr>
              <w:pStyle w:val="Compact"/>
              <w:jc w:val="left"/>
            </w:pPr>
            <w:r>
              <w:t xml:space="preserve">Super Cyclonic Storm (SuCS)</w:t>
            </w:r>
          </w:p>
        </w:tc>
        <w:tc>
          <w:tcPr/>
          <w:p>
            <w:pPr>
              <w:pStyle w:val="Compact"/>
              <w:jc w:val="left"/>
            </w:pPr>
            <w:r>
              <w:t xml:space="preserve">Bakkhali (Sundarbans), W. Bengal</w:t>
            </w:r>
          </w:p>
        </w:tc>
        <w:tc>
          <w:tcPr/>
          <w:p>
            <w:pPr>
              <w:pStyle w:val="Compact"/>
              <w:jc w:val="left"/>
            </w:pPr>
            <w:r>
              <w:t xml:space="preserve">1.5–2.0</w:t>
            </w:r>
          </w:p>
        </w:tc>
      </w:tr>
      <w:tr>
        <w:tc>
          <w:tcPr/>
          <w:p>
            <w:pPr>
              <w:pStyle w:val="Compact"/>
              <w:jc w:val="left"/>
            </w:pPr>
            <w:r>
              <w:t xml:space="preserve">Yaas</w:t>
            </w:r>
          </w:p>
        </w:tc>
        <w:tc>
          <w:tcPr/>
          <w:p>
            <w:pPr>
              <w:pStyle w:val="Compact"/>
              <w:jc w:val="left"/>
            </w:pPr>
            <w:r>
              <w:t xml:space="preserve">26 May 2021</w:t>
            </w:r>
          </w:p>
        </w:tc>
        <w:tc>
          <w:tcPr/>
          <w:p>
            <w:pPr>
              <w:pStyle w:val="Compact"/>
              <w:jc w:val="left"/>
            </w:pPr>
            <w:r>
              <w:t xml:space="preserve">140 (peak, gusting to 155)</w:t>
            </w:r>
          </w:p>
        </w:tc>
        <w:tc>
          <w:tcPr/>
          <w:p>
            <w:pPr>
              <w:pStyle w:val="Compact"/>
              <w:jc w:val="left"/>
            </w:pPr>
            <w:r>
              <w:t xml:space="preserve">Very Severe Cyclonic Storm (VSCS)</w:t>
            </w:r>
          </w:p>
        </w:tc>
        <w:tc>
          <w:tcPr/>
          <w:p>
            <w:pPr>
              <w:pStyle w:val="Compact"/>
              <w:jc w:val="left"/>
            </w:pPr>
            <w:r>
              <w:t xml:space="preserve">Balasore</w:t>
            </w:r>
          </w:p>
        </w:tc>
        <w:tc>
          <w:tcPr/>
          <w:p>
            <w:pPr>
              <w:pStyle w:val="Compact"/>
              <w:jc w:val="left"/>
            </w:pPr>
            <w:r>
              <w:t xml:space="preserve">1.0–2.0</w:t>
            </w:r>
          </w:p>
        </w:tc>
      </w:tr>
    </w:tbl>
    <w:p>
      <w:pPr>
        <w:pStyle w:val="BodyText"/>
      </w:pPr>
      <w: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7"/>
    <w:bookmarkStart w:id="28" w:name="satellite-and-ancillary-data"/>
    <w:p>
      <w:pPr>
        <w:pStyle w:val="Heading3"/>
      </w:pPr>
      <w:r>
        <w:t xml:space="preserve">2.3 Satellite and Ancillary Data</w:t>
      </w:r>
    </w:p>
    <w:p>
      <w:pPr>
        <w:pStyle w:val="FirstParagraph"/>
      </w:pPr>
      <w: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b/>
          <w:bCs/>
        </w:rPr>
        <w:t xml:space="preserve">Table 2.</w:t>
      </w:r>
      <w:r>
        <w:t xml:space="preserve"> </w:t>
      </w:r>
      <w: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450"/>
        <w:gridCol w:w="1700"/>
        <w:gridCol w:w="1100"/>
        <w:gridCol w:w="1300"/>
        <w:gridCol w:w="2370"/>
      </w:tblGrid>
      <w:tr>
        <w:trPr>
          <w:tblHeader w:val="on"/>
        </w:trPr>
        <w:tc>
          <w:tcPr/>
          <w:p>
            <w:pPr>
              <w:pStyle w:val="Compact"/>
              <w:jc w:val="left"/>
            </w:pPr>
            <w:r>
              <w:t xml:space="preserve">Dataset</w:t>
            </w:r>
          </w:p>
        </w:tc>
        <w:tc>
          <w:tcPr/>
          <w:p>
            <w:pPr>
              <w:pStyle w:val="Compact"/>
              <w:jc w:val="left"/>
            </w:pPr>
            <w:r>
              <w:t xml:space="preserve">GEE Collection ID</w:t>
            </w:r>
          </w:p>
        </w:tc>
        <w:tc>
          <w:tcPr/>
          <w:p>
            <w:pPr>
              <w:pStyle w:val="Compact"/>
              <w:jc w:val="left"/>
            </w:pPr>
            <w:r>
              <w:t xml:space="preserve">Temporal Range</w:t>
            </w:r>
          </w:p>
        </w:tc>
        <w:tc>
          <w:tcPr/>
          <w:p>
            <w:pPr>
              <w:pStyle w:val="Compact"/>
              <w:jc w:val="left"/>
            </w:pPr>
            <w:r>
              <w:t xml:space="preserve">Native Resolution</w:t>
            </w:r>
          </w:p>
        </w:tc>
        <w:tc>
          <w:tcPr/>
          <w:p>
            <w:pPr>
              <w:pStyle w:val="Compact"/>
              <w:jc w:val="left"/>
            </w:pPr>
            <w:r>
              <w:t xml:space="preserve">Role</w:t>
            </w:r>
          </w:p>
        </w:tc>
      </w:tr>
      <w:tr>
        <w:tc>
          <w:tcPr/>
          <w:p>
            <w:pPr>
              <w:pStyle w:val="Compact"/>
              <w:jc w:val="left"/>
            </w:pPr>
            <w:r>
              <w:t xml:space="preserve">Sentinel-1 GRD (IW, VH+VV, descending)</w:t>
            </w:r>
          </w:p>
        </w:tc>
        <w:tc>
          <w:tcPr/>
          <w:p>
            <w:pPr>
              <w:pStyle w:val="Compact"/>
              <w:jc w:val="left"/>
            </w:pPr>
            <w:r>
              <w:rPr>
                <w:rStyle w:val="VerbatimChar"/>
              </w:rPr>
              <w:t xml:space="preserve">COPERNICUS/S1_GRD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Primary SAR backscatter; classifier features; phenology retrieval</w:t>
            </w:r>
          </w:p>
        </w:tc>
      </w:tr>
      <w:tr>
        <w:tc>
          <w:tcPr/>
          <w:p>
            <w:pPr>
              <w:pStyle w:val="Compact"/>
              <w:jc w:val="left"/>
            </w:pPr>
            <w:r>
              <w:t xml:space="preserve">Sentinel-2 L2A (harmonised)</w:t>
            </w:r>
          </w:p>
        </w:tc>
        <w:tc>
          <w:tcPr/>
          <w:p>
            <w:pPr>
              <w:pStyle w:val="Compact"/>
              <w:jc w:val="left"/>
            </w:pPr>
            <w:r>
              <w:rPr>
                <w:rStyle w:val="VerbatimChar"/>
              </w:rPr>
              <w:t xml:space="preserve">COPERNICUS/S2_SR_HARMONIZED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Optical indices (NDVI, NDWI, LSWI, CIre); cloud-free phenology support</w:t>
            </w:r>
          </w:p>
        </w:tc>
      </w:tr>
      <w:tr>
        <w:tc>
          <w:tcPr/>
          <w:p>
            <w:pPr>
              <w:pStyle w:val="Compact"/>
              <w:jc w:val="left"/>
            </w:pPr>
            <w:r>
              <w:t xml:space="preserve">JRC GSW Monthly History v1.4</w:t>
            </w:r>
          </w:p>
        </w:tc>
        <w:tc>
          <w:tcPr/>
          <w:p>
            <w:pPr>
              <w:pStyle w:val="Compact"/>
              <w:jc w:val="left"/>
            </w:pPr>
            <w:r>
              <w:rPr>
                <w:rStyle w:val="VerbatimChar"/>
              </w:rPr>
              <w:t xml:space="preserve">JRC/GSW1_4/MonthlyHistory</w:t>
            </w:r>
          </w:p>
        </w:tc>
        <w:tc>
          <w:tcPr/>
          <w:p>
            <w:pPr>
              <w:pStyle w:val="Compact"/>
              <w:jc w:val="left"/>
            </w:pPr>
            <w:r>
              <w:t xml:space="preserve">1984–2024</w:t>
            </w:r>
          </w:p>
        </w:tc>
        <w:tc>
          <w:tcPr/>
          <w:p>
            <w:pPr>
              <w:pStyle w:val="Compact"/>
              <w:jc w:val="left"/>
            </w:pPr>
            <w:r>
              <w:t xml:space="preserve">30 m</w:t>
            </w:r>
          </w:p>
        </w:tc>
        <w:tc>
          <w:tcPr/>
          <w:p>
            <w:pPr>
              <w:pStyle w:val="Compact"/>
              <w:jc w:val="left"/>
            </w:pPr>
            <w:r>
              <w:t xml:space="preserve">Water permanence prior; saline-flood classifier feature</w:t>
            </w:r>
          </w:p>
        </w:tc>
      </w:tr>
      <w:tr>
        <w:tc>
          <w:tcPr/>
          <w:p>
            <w:pPr>
              <w:pStyle w:val="Compact"/>
              <w:jc w:val="left"/>
            </w:pPr>
            <w:r>
              <w:t xml:space="preserve">ERA5-Land Daily Aggregates</w:t>
            </w:r>
          </w:p>
        </w:tc>
        <w:tc>
          <w:tcPr/>
          <w:p>
            <w:pPr>
              <w:pStyle w:val="Compact"/>
              <w:jc w:val="left"/>
            </w:pPr>
            <w:r>
              <w:rPr>
                <w:rStyle w:val="VerbatimChar"/>
              </w:rPr>
              <w:t xml:space="preserve">ECMWF/ERA5_LAND/DAILY_AGGR</w:t>
            </w:r>
          </w:p>
        </w:tc>
        <w:tc>
          <w:tcPr/>
          <w:p>
            <w:pPr>
              <w:pStyle w:val="Compact"/>
              <w:jc w:val="left"/>
            </w:pPr>
            <w:r>
              <w:t xml:space="preserve">2017–2024</w:t>
            </w:r>
          </w:p>
        </w:tc>
        <w:tc>
          <w:tcPr/>
          <w:p>
            <w:pPr>
              <w:pStyle w:val="Compact"/>
              <w:jc w:val="left"/>
            </w:pPr>
            <w:r>
              <w:t xml:space="preserve">~9 km</w:t>
            </w:r>
          </w:p>
        </w:tc>
        <w:tc>
          <w:tcPr/>
          <w:p>
            <w:pPr>
              <w:pStyle w:val="Compact"/>
              <w:jc w:val="left"/>
            </w:pPr>
            <w:r>
              <w:t xml:space="preserve">Maximum 10-m wind speed; total precipitation; cyclone proximity signal</w:t>
            </w:r>
          </w:p>
        </w:tc>
      </w:tr>
      <w:tr>
        <w:tc>
          <w:tcPr/>
          <w:p>
            <w:pPr>
              <w:pStyle w:val="Compact"/>
              <w:jc w:val="left"/>
            </w:pPr>
            <w:r>
              <w:t xml:space="preserve">ESA WorldCover v200</w:t>
            </w:r>
          </w:p>
        </w:tc>
        <w:tc>
          <w:tcPr/>
          <w:p>
            <w:pPr>
              <w:pStyle w:val="Compact"/>
              <w:jc w:val="left"/>
            </w:pPr>
            <w:r>
              <w:rPr>
                <w:rStyle w:val="VerbatimChar"/>
              </w:rPr>
              <w:t xml:space="preserve">ESA/WorldCover/v200</w:t>
            </w:r>
          </w:p>
        </w:tc>
        <w:tc>
          <w:tcPr/>
          <w:p>
            <w:pPr>
              <w:pStyle w:val="Compact"/>
              <w:jc w:val="left"/>
            </w:pPr>
            <w:r>
              <w:t xml:space="preserve">2021 epoch</w:t>
            </w:r>
          </w:p>
        </w:tc>
        <w:tc>
          <w:tcPr/>
          <w:p>
            <w:pPr>
              <w:pStyle w:val="Compact"/>
              <w:jc w:val="left"/>
            </w:pPr>
            <w:r>
              <w:t xml:space="preserve">10 m</w:t>
            </w:r>
          </w:p>
        </w:tc>
        <w:tc>
          <w:tcPr/>
          <w:p>
            <w:pPr>
              <w:pStyle w:val="Compact"/>
              <w:jc w:val="left"/>
            </w:pPr>
            <w:r>
              <w:t xml:space="preserve">Cropland mask (class 40); pixel inclusion/exclusion filter</w:t>
            </w:r>
          </w:p>
        </w:tc>
      </w:tr>
      <w:tr>
        <w:tc>
          <w:tcPr/>
          <w:p>
            <w:pPr>
              <w:pStyle w:val="Compact"/>
              <w:jc w:val="left"/>
            </w:pPr>
            <w:r>
              <w:t xml:space="preserve">GAUL Level-2 (FAO 2015)</w:t>
            </w:r>
          </w:p>
        </w:tc>
        <w:tc>
          <w:tcPr/>
          <w:p>
            <w:pPr>
              <w:pStyle w:val="Compact"/>
              <w:jc w:val="left"/>
            </w:pPr>
            <w:r>
              <w:rPr>
                <w:rStyle w:val="VerbatimChar"/>
              </w:rPr>
              <w:t xml:space="preserve">FAO/GAUL/2015/level2</w:t>
            </w:r>
          </w:p>
        </w:tc>
        <w:tc>
          <w:tcPr/>
          <w:p>
            <w:pPr>
              <w:pStyle w:val="Compact"/>
              <w:jc w:val="left"/>
            </w:pPr>
            <w:r>
              <w:t xml:space="preserve">2015 epoch</w:t>
            </w:r>
          </w:p>
        </w:tc>
        <w:tc>
          <w:tcPr/>
          <w:p>
            <w:pPr>
              <w:pStyle w:val="Compact"/>
              <w:jc w:val="left"/>
            </w:pPr>
            <w:r>
              <w:t xml:space="preserve">Vector</w:t>
            </w:r>
          </w:p>
        </w:tc>
        <w:tc>
          <w:tcPr/>
          <w:p>
            <w:pPr>
              <w:pStyle w:val="Compact"/>
              <w:jc w:val="left"/>
            </w:pPr>
            <w:r>
              <w:t xml:space="preserve">District boundary delineation for study and control areas</w:t>
            </w:r>
          </w:p>
        </w:tc>
      </w:tr>
    </w:tbl>
    <w:p>
      <w:pPr>
        <w:pStyle w:val="BodyText"/>
      </w:pPr>
      <w: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8"/>
    <w:bookmarkStart w:id="30" w:name="validation-data"/>
    <w:p>
      <w:pPr>
        <w:pStyle w:val="Heading3"/>
      </w:pPr>
      <w:r>
        <w:t xml:space="preserve">2.4 Validation Data</w:t>
      </w:r>
    </w:p>
    <w:p>
      <w:pPr>
        <w:pStyle w:val="FirstParagraph"/>
      </w:pPr>
      <w: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b/>
          <w:bCs/>
        </w:rPr>
        <w:t xml:space="preserve">Primary validation — MODIS MCD12Q2 Land Surface Phenology:</w:t>
      </w:r>
      <w:r>
        <w:t xml:space="preserve"> </w:t>
      </w:r>
      <w: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b/>
          <w:bCs/>
        </w:rPr>
        <w:t xml:space="preserve">Secondary validation — ICRISAT VDSA microdata:</w:t>
      </w:r>
      <w:r>
        <w:t xml:space="preserve"> </w:t>
      </w:r>
      <w:r>
        <w:t xml:space="preserve">The Village Dynamics in South Asia (VDSA) public dataset (Pandey, 2018),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t xml:space="preserve"> </w:t>
      </w:r>
      <w:hyperlink r:id="rId29">
        <w:r>
          <w:rPr>
            <w:rStyle w:val="Hyperlink"/>
          </w:rPr>
          <w:t xml:space="preserve">vdsa.icrisat.org</w:t>
        </w:r>
      </w:hyperlink>
      <w:r>
        <w:t xml:space="preserve">. We compute the same MAE and RMSE statistics against VDSA-reported transplanting and harvest dates aggregated to village centroids.</w:t>
      </w:r>
    </w:p>
    <w:p>
      <w:pPr>
        <w:pStyle w:val="BodyText"/>
      </w:pPr>
      <w:r>
        <w:rPr>
          <w:b/>
          <w:bCs/>
        </w:rPr>
        <w:t xml:space="preserve">Tertiary validation — published crop calendars and district yield correlation:</w:t>
      </w:r>
      <w:r>
        <w:t xml:space="preserve"> </w:t>
      </w:r>
      <w: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b/>
          <w:bCs/>
        </w:rPr>
        <w:t xml:space="preserve">Saline-flood classifier reference labels — automated multi-source provenance:</w:t>
      </w:r>
      <w:r>
        <w:t xml:space="preserve"> A set of n = 480 binary labels (cyclone-flood vs. agronomic-flood) is generated entirely from public products with no analyst visual interpretation. (i) 80 cyclone-flood labels for Fani (3 May 2019) are sampled from the Copernicus Emergency Management Service master delineation </w:t>
      </w:r>
      <w:r>
        <w:rPr>
          <w:b/>
          <w:bCs/>
        </w:rPr>
        <w:t xml:space="preserve">EMSR357</w:t>
      </w:r>
      <w:r>
        <w:t xml:space="preserve"> (emergency.copernicus.eu/mapping/list-of-components/EMSR357). (ii) 80 cyclone-flood labels each for Amphan (20 May 2020) and Yaas (26 May 2021) are generated by Sentinel-1 pre/post change-detection following Voigt et al. (2007) and Twele et al. (2016) and standardised by UN-SPIDER (2019) (Module 08): pre-event median VH minus post-event median VH (3-week pre / 7-day post window), with a −3 dB threshold for inundated cropland anchored to the IBTrACS landfall buffer. (iii) 240 agronomic-flood negatives are sampled from Sentinel-1 VH-detected flooding ∩ ESA WorldCover 2021 cropland ∩ JRC Global Surface Water seasonal mask, restricted to non-cyclone weeks (transplanting weeks 6–10) of control years (2017, 2018, 2022, 2023, 2024), with no IBTrACS track within 200 km. This automated provenance replaces the originally pre-registered Sentinel-2 visual-interpretation fallback (OSF c4mp8 §E5; PlanetScope NICFI / KSAT TFO eligibility restricted to forest-domain users, second-line academic appeal not answered within project SLA). Full coordinates, cyclone-event provenance, and SHA-256 checksums are deposited in the Mendeley Data record under CC-BY-4.0 (file: labels_panel_n480.csv).</w:t>
      </w:r>
    </w:p>
    <w:p>
      <w:pPr>
        <w:pStyle w:val="BodyText"/>
      </w:pPr>
      <w:r>
        <w:rPr>
          <w:b/>
          <w:bCs/>
        </w:rPr>
        <w:t xml:space="preserve">Cross-product rice-mask validation:</w:t>
      </w:r>
      <w:r>
        <w:t xml:space="preserve"> </w:t>
      </w:r>
      <w:r>
        <w:t xml:space="preserve">The Singha et al. (2019) 10 m South Asia rice classification is used as a cross-product reference benchmark, providing an independent check on the spatial consistency of our rice mask and a basis for Cohen’s κ agreement statistics.</w:t>
      </w:r>
    </w:p>
    <w:p>
      <w:pPr>
        <w:pStyle w:val="BodyText"/>
      </w:pPr>
      <w:r>
        <w:rPr>
          <w:b/>
          <w:bCs/>
        </w:rPr>
        <w:t xml:space="preserve">Open-data principle:</w:t>
      </w:r>
      <w:r>
        <w:t xml:space="preserve"> </w:t>
      </w:r>
      <w: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Pr>
        <w:t xml:space="preserve">docs/Data_Sources_Manifest.md</w:t>
      </w:r>
      <w:r>
        <w:t xml:space="preserve">) so that any reviewer or external researcher can fully reproduce the analysis from open sources alone.</w:t>
      </w:r>
    </w:p>
    <w:p>
      <w:r>
        <w:pict>
          <v:rect style="width:0;height:1.5pt" o:hralign="center" o:hrstd="t" o:hr="t"/>
        </w:pict>
      </w:r>
    </w:p>
    <w:bookmarkStart w:id="47" w:name="methods"/>
    <w:p>
      <w:pPr>
        <w:pStyle w:val="Heading2"/>
      </w:pPr>
      <w:r>
        <w:t xml:space="preserve">3. Methods</w:t>
      </w:r>
    </w:p>
    <w:bookmarkStart w:id="32" w:name="overview"/>
    <w:p>
      <w:pPr>
        <w:pStyle w:val="Heading3"/>
      </w:pPr>
      <w:r>
        <w:t xml:space="preserve">3.1 Overview</w:t>
      </w:r>
    </w:p>
    <w:p>
      <w:pPr>
        <w:pStyle w:val="FirstParagraph"/>
      </w:pPr>
      <w:r>
        <w:t xml:space="preserve">The analytical pipeline consists of six sequential stages, formalised in the identification DAG (Figure 2):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Pr>
        <w:t xml:space="preserve">run_all.sh</w:t>
      </w:r>
      <w: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p>
      <w:pPr>
        <w:jc w:val="center"/>
      </w:pPr>
      <w:r>
        <w:drawing>
          <wp:inline>
            <wp:extent cx="5486400" cy="4762790"/>
            <wp:docPr id="8" name="Picture 8"/>
            <wp:cNvGraphicFramePr>
              <a:graphicFrameLocks noChangeAspect="1"/>
            </wp:cNvGraphicFramePr>
            <a:graphic>
              <a:graphicData uri="http://schemas.openxmlformats.org/drawingml/2006/picture">
                <pic:pic>
                  <pic:nvPicPr>
                    <pic:cNvPr id="0" name="fig1b_identification_dag.png"/>
                    <pic:cNvPicPr/>
                  </pic:nvPicPr>
                  <pic:blipFill>
                    <a:blip r:embed="rId16"/>
                    <a:stretch>
                      <a:fillRect/>
                    </a:stretch>
                  </pic:blipFill>
                  <pic:spPr>
                    <a:xfrm>
                      <a:off x="0" y="0"/>
                      <a:ext cx="5486400" cy="4762790"/>
                    </a:xfrm>
                    <a:prstGeom prst="rect"/>
                  </pic:spPr>
                </pic:pic>
              </a:graphicData>
            </a:graphic>
          </wp:inline>
        </w:drawing>
      </w:r>
    </w:p>
    <w:p>
      <w:pPr>
        <w:jc w:val="left"/>
      </w:pPr>
      <w:r>
        <w:rPr>
          <w:b/>
          <w:sz w:val="20"/>
        </w:rPr>
        <w:t xml:space="preserve">Figure 2. </w:t>
      </w:r>
      <w:r>
        <w:rPr>
          <w:sz w:val="20"/>
        </w:rPr>
        <w:t>Causal identification DAG for the saline-flood / agronomic-flood decoupling. The cyclone landfall is a single exogenous shock that opens parallel legitimate (transplanting flooding) and confounding (saline storm-surge) pathways into the same SAR backscatter trough; the Module 02 saline-flood classifier intercepts the confounding pathway.</w:t>
      </w:r>
    </w:p>
    <w:bookmarkEnd w:id="32"/>
    <w:bookmarkStart w:id="33" w:name="pre-processing"/>
    <w:p>
      <w:pPr>
        <w:pStyle w:val="Heading3"/>
      </w:pPr>
      <w:r>
        <w:t xml:space="preserve">3.2 Pre-processing</w:t>
      </w:r>
    </w:p>
    <w:p>
      <w:pPr>
        <w:jc w:val="center"/>
      </w:pPr>
      <w:r>
        <w:drawing>
          <wp:inline>
            <wp:extent cx="5486400" cy="2847666"/>
            <wp:docPr id="7" name="Picture 7"/>
            <wp:cNvGraphicFramePr>
              <a:graphicFrameLocks noChangeAspect="1"/>
            </wp:cNvGraphicFramePr>
            <a:graphic>
              <a:graphicData uri="http://schemas.openxmlformats.org/drawingml/2006/picture">
                <pic:pic>
                  <pic:nvPicPr>
                    <pic:cNvPr id="0" name="fig2_did_coefplot.png"/>
                    <pic:cNvPicPr/>
                  </pic:nvPicPr>
                  <pic:blipFill>
                    <a:blip r:embed="rId15"/>
                    <a:stretch>
                      <a:fillRect/>
                    </a:stretch>
                  </pic:blipFill>
                  <pic:spPr>
                    <a:xfrm>
                      <a:off x="0" y="0"/>
                      <a:ext cx="5486400" cy="2847666"/>
                    </a:xfrm>
                    <a:prstGeom prst="rect"/>
                  </pic:spPr>
                </pic:pic>
              </a:graphicData>
            </a:graphic>
          </wp:inline>
        </w:drawing>
      </w:r>
    </w:p>
    <w:p>
      <w:pPr>
        <w:jc w:val="left"/>
      </w:pPr>
      <w:r>
        <w:rPr>
          <w:b/>
          <w:sz w:val="20"/>
        </w:rPr>
        <w:t xml:space="preserve">Figure 3. </w:t>
      </w:r>
      <w:r>
        <w:rPr>
          <w:sz w:val="20"/>
        </w:rPr>
        <w:t>TWFE-DiD coefficients (raw vs. classifier-corrected panel). Point estimates with district-clustered (CR1) standard-error bars and 95% wild-cluster restricted bootstrap intervals for SOS, POS, and EOS, raw and corrected pipelines on the real v2.1 panel.</w:t>
      </w:r>
    </w:p>
    <w:p>
      <w:pPr>
        <w:pStyle w:val="FirstParagraph"/>
      </w:pPr>
      <w:r>
        <w:rPr>
          <w:b/>
          <w:bCs/>
        </w:rPr>
        <w:t xml:space="preserve">Sentinel-1 despeckling:</w:t>
      </w:r>
      <w:r>
        <w:t xml:space="preserve"> </w:t>
      </w:r>
      <w: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t xml:space="preserve"> </w:t>
      </w:r>
      <w:r>
        <w:rPr>
          <w:rStyle w:val="VerbatimChar"/>
        </w:rPr>
        <w:t xml:space="preserve">01_study_area_and_data_ingestion.js</w:t>
      </w:r>
      <w:r>
        <w:t xml:space="preserve">), whilst a refined Lee sigma filter (window size 7×7, sigma level 0.9, three-look) is applied in the production runs (module</w:t>
      </w:r>
      <w:r>
        <w:t xml:space="preserve"> </w:t>
      </w:r>
      <w:r>
        <w:rPr>
          <w:rStyle w:val="VerbatimChar"/>
        </w:rPr>
        <w:t xml:space="preserve">02_saline_flood_classifier.js</w:t>
      </w:r>
      <w: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b/>
          <w:bCs/>
        </w:rPr>
        <w:t xml:space="preserve">Sentinel-2 cloud masking and index computation:</w:t>
      </w:r>
      <w:r>
        <w:t xml:space="preserve"> </w:t>
      </w:r>
      <w: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b/>
          <w:bCs/>
        </w:rPr>
        <w:t xml:space="preserve">Backscatter conversion and temporal resampling:</w:t>
      </w:r>
      <w:r>
        <w:t xml:space="preserve"> </w:t>
      </w:r>
      <w:r>
        <w:t xml:space="preserve">Raw Sentinel-1 linear power values are converted to decibels (dB) via the transformation:</w:t>
      </w:r>
    </w:p>
    <w:p>
      <w:pPr>
        <w:pStyle w:val="BodyText"/>
      </w:pPr>
      <w:r>
        <w:rPr>
          <w:i/>
          <w:iCs/>
        </w:rPr>
        <w:t xml:space="preserve">VH_dB = 10 · log₁₀(VH_linear)                                              (1)</w:t>
      </w:r>
    </w:p>
    <w:p>
      <w:pPr>
        <w:pStyle w:val="BodyText"/>
      </w:pPr>
      <w: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b/>
          <w:bCs/>
        </w:rPr>
        <w:t xml:space="preserve">Pixel exclusion criteria:</w:t>
      </w:r>
      <w:r>
        <w:t xml:space="preserve"> </w:t>
      </w:r>
      <w: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3"/>
    <w:bookmarkStart w:id="34" w:name="saline-flood-classifier"/>
    <w:p>
      <w:pPr>
        <w:pStyle w:val="Heading3"/>
      </w:pPr>
      <w:r>
        <w:t xml:space="preserve">3.3 Saline-Flood Classifier</w:t>
      </w:r>
    </w:p>
    <w:p>
      <w:pPr>
        <w:pStyle w:val="FirstParagraph"/>
      </w:pPr>
      <w:r>
        <w:rPr>
          <w:b/>
          <w:bCs/>
        </w:rPr>
        <w:t xml:space="preserve">Feature set:</w:t>
      </w:r>
      <w:r>
        <w:t xml:space="preserve"> </w:t>
      </w:r>
      <w:r>
        <w:t xml:space="preserve">The random-forest classifier operates on a seven-feature input vector computed at pixel level for each candidate event window (the cyclone-event window for surge labels; the transplanting weeks 6–10 window for agronomic-flood labels), per the canonical specification in Supplementary Note S3, §S3.5:</w:t>
      </w:r>
    </w:p>
    <w:p>
      <w:pPr>
        <w:pStyle w:val="Compact"/>
        <w:numPr>
          <w:ilvl w:val="0"/>
          <w:numId w:val="1002"/>
        </w:numPr>
      </w:pPr>
      <w:r>
        <w:t xml:space="preserve">ΔVH (dB): change in VH backscatter between the event window minimum and the 30-day pre-event baseline</w:t>
      </w:r>
    </w:p>
    <w:p>
      <w:pPr>
        <w:pStyle w:val="Compact"/>
        <w:numPr>
          <w:ilvl w:val="0"/>
          <w:numId w:val="1002"/>
        </w:numPr>
      </w:pPr>
      <w:r>
        <w:t xml:space="preserve">ΔCR (dB): change in cross-ratio (CR = VH − VV) between the event window minimum and the 30-day pre-event baseline</w:t>
      </w:r>
    </w:p>
    <w:p>
      <w:pPr>
        <w:pStyle w:val="Compact"/>
        <w:numPr>
          <w:ilvl w:val="0"/>
          <w:numId w:val="1002"/>
        </w:numPr>
      </w:pPr>
      <w:r>
        <w:t xml:space="preserve">VV minimum (dB) within the event window</w:t>
      </w:r>
    </w:p>
    <w:p>
      <w:pPr>
        <w:pStyle w:val="Compact"/>
        <w:numPr>
          <w:ilvl w:val="0"/>
          <w:numId w:val="1002"/>
        </w:numPr>
      </w:pPr>
      <w:r>
        <w:t xml:space="preserve">ERA5-Land 3-day maximum 10-m wind speed (scalar: sqrt(u² + v²)) within the event window — the cyclonic-event filter for surge labels</w:t>
      </w:r>
    </w:p>
    <w:p>
      <w:pPr>
        <w:pStyle w:val="Compact"/>
        <w:numPr>
          <w:ilvl w:val="0"/>
          <w:numId w:val="1002"/>
        </w:numPr>
      </w:pPr>
      <w:r>
        <w:t xml:space="preserve">LSWI minimum within the event window (Sentinel-2 monthly composite)</w:t>
      </w:r>
    </w:p>
    <w:p>
      <w:pPr>
        <w:pStyle w:val="Compact"/>
        <w:numPr>
          <w:ilvl w:val="0"/>
          <w:numId w:val="1002"/>
        </w:numPr>
      </w:pPr>
      <w:r>
        <w:t xml:space="preserve">JRC GSW water permanence (percentage of months with surface water detected, 1984–2020)</w:t>
      </w:r>
    </w:p>
    <w:p>
      <w:pPr>
        <w:pStyle w:val="Compact"/>
        <w:numPr>
          <w:ilvl w:val="0"/>
          <w:numId w:val="1002"/>
        </w:numPr>
      </w:pPr>
      <w:r>
        <w:t xml:space="preserve">NDWI maximum within the event window (Sentinel-2 monthly composite)</w:t>
      </w:r>
    </w:p>
    <w:p>
      <w:pPr>
        <w:pStyle w:val="FirstParagraph"/>
      </w:pPr>
      <w: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b/>
          <w:bCs/>
        </w:rPr>
        <w:t xml:space="preserve">Training labels:</w:t>
      </w:r>
      <w:r>
        <w:t xml:space="preserve"> </w:t>
      </w:r>
      <w: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b/>
          <w:bCs/>
        </w:rPr>
        <w:t xml:space="preserve">Classifier configuration and cross-validation:</w:t>
      </w:r>
      <w:r>
        <w:t xml:space="preserve"> </w:t>
      </w:r>
      <w:r>
        <w:t xml:space="preserve">A random-forest classifier (Breiman, 2001) is trained using a 70/30 stratified random split (fixed</w:t>
      </w:r>
      <w:r>
        <w:t xml:space="preserve"> </w:t>
      </w:r>
      <w:r>
        <w:rPr>
          <w:rStyle w:val="VerbatimChar"/>
        </w:rPr>
        <w:t xml:space="preserve">seed = 2026</w:t>
      </w:r>
      <w: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t xml:space="preserve"> </w:t>
      </w:r>
      <w:r>
        <w:rPr>
          <w:rStyle w:val="VerbatimChar"/>
        </w:rPr>
        <w:t xml:space="preserve">ee.Classifier.smileRandomForest</w:t>
      </w:r>
      <w:r>
        <w:t xml:space="preserve"> </w:t>
      </w:r>
      <w:r>
        <w:t xml:space="preserve">function with the selected hyperparameters.</w:t>
      </w:r>
    </w:p>
    <w:bookmarkEnd w:id="34"/>
    <w:bookmarkStart w:id="35" w:name="phenology-extraction"/>
    <w:p>
      <w:pPr>
        <w:pStyle w:val="Heading3"/>
      </w:pPr>
      <w:r>
        <w:t xml:space="preserve">3.4 Phenology Extraction</w:t>
      </w:r>
    </w:p>
    <w:p>
      <w:pPr>
        <w:pStyle w:val="FirstParagraph"/>
      </w:pPr>
      <w:r>
        <w:rPr>
          <w:b/>
          <w:bCs/>
        </w:rPr>
        <w:t xml:space="preserve">Time-series smoothing:</w:t>
      </w:r>
      <w:r>
        <w:t xml:space="preserve"> </w:t>
      </w:r>
      <w: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b/>
          <w:bCs/>
        </w:rPr>
        <w:t xml:space="preserve">Double-logistic curve fitting:</w:t>
      </w:r>
      <w:r>
        <w:t xml:space="preserve"> </w:t>
      </w:r>
      <w:r>
        <w:t xml:space="preserve">Following time-series smoothing, phenological transition dates are extracted using the double-logistic function of Beck et al. (2006):</w:t>
      </w:r>
    </w:p>
    <w:p>
      <w:pPr>
        <w:pStyle w:val="BodyText"/>
      </w:pPr>
      <w:r>
        <w:rPr>
          <w:i/>
          <w:iCs/>
        </w:rPr>
        <w:t xml:space="preserve">y(t) = c₁ + c₂ · ( 1 / (1 + exp(−k₁·(t − t₁))) − 1 / (1 + exp(−k₂·(t − t₂))) )                              (2)</w:t>
      </w:r>
    </w:p>
    <w:p>
      <w:pPr>
        <w:pStyle w:val="BodyText"/>
      </w:pPr>
      <w:r>
        <w:t xml:space="preserve">where </w:t>
      </w:r>
      <w:r>
        <w:rPr>
          <w:i/>
          <w:iCs/>
        </w:rPr>
        <w:t xml:space="preserve">y</w:t>
      </w:r>
      <w:r>
        <w:t xml:space="preserve">(</w:t>
      </w:r>
      <w:r>
        <w:rPr>
          <w:i/>
          <w:iCs/>
        </w:rPr>
        <w:t xml:space="preserve">t</w:t>
      </w:r>
      <w:r>
        <w:t xml:space="preserve">) is the fitted vegetation/backscatter index at time </w:t>
      </w:r>
      <w:r>
        <w:rPr>
          <w:i/>
          <w:iCs/>
        </w:rPr>
        <w:t xml:space="preserve">t</w:t>
      </w:r>
      <w:r>
        <w:t xml:space="preserve">; </w:t>
      </w:r>
      <w:r>
        <w:rPr>
          <w:i/>
          <w:iCs/>
        </w:rPr>
        <w:t xml:space="preserve">c</w:t>
      </w:r>
      <w:r>
        <w:rPr>
          <w:vertAlign w:val="subscript"/>
        </w:rPr>
        <w:t xml:space="preserve">1</w:t>
      </w:r>
      <w:r>
        <w:t xml:space="preserve"> is the background level; </w:t>
      </w:r>
      <w:r>
        <w:rPr>
          <w:i/>
          <w:iCs/>
        </w:rPr>
        <w:t xml:space="preserve">c</w:t>
      </w:r>
      <w:r>
        <w:rPr>
          <w:vertAlign w:val="subscript"/>
        </w:rPr>
        <w:t xml:space="preserve">2</w:t>
      </w:r>
      <w:r>
        <w:t xml:space="preserve"> is the seasonal amplitude; </w:t>
      </w:r>
      <w:r>
        <w:rPr>
          <w:i/>
          <w:iCs/>
        </w:rPr>
        <w:t xml:space="preserve">k</w:t>
      </w:r>
      <w:r>
        <w:rPr>
          <w:vertAlign w:val="subscript"/>
        </w:rPr>
        <w:t xml:space="preserve">1</w:t>
      </w:r>
      <w:r>
        <w:t xml:space="preserve"> and </w:t>
      </w:r>
      <w:r>
        <w:rPr>
          <w:i/>
          <w:iCs/>
        </w:rPr>
        <w:t xml:space="preserve">k</w:t>
      </w:r>
      <w:r>
        <w:rPr>
          <w:vertAlign w:val="subscript"/>
        </w:rPr>
        <w:t xml:space="preserve">2</w:t>
      </w:r>
      <w:r>
        <w:t xml:space="preserve"> are the rates of green-up and senescence respectively; and </w:t>
      </w:r>
      <w:r>
        <w:rPr>
          <w:i/>
          <w:iCs/>
        </w:rPr>
        <w:t xml:space="preserve">t</w:t>
      </w:r>
      <w:r>
        <w:rPr>
          <w:vertAlign w:val="subscript"/>
        </w:rPr>
        <w:t xml:space="preserve">1</w:t>
      </w:r>
      <w:r>
        <w:t xml:space="preserve"> and </w:t>
      </w:r>
      <w:r>
        <w:rPr>
          <w:i/>
          <w:iCs/>
        </w:rPr>
        <w:t xml:space="preserve">t</w:t>
      </w:r>
      <w:r>
        <w:rPr>
          <w:vertAlign w:val="subscript"/>
        </w:rPr>
        <w:t xml:space="preserve">2</w:t>
      </w:r>
      <w:r>
        <w:t xml:space="preserve"> 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b/>
          <w:bCs/>
        </w:rPr>
        <w:t xml:space="preserve">Start of Season (SOS):</w:t>
      </w:r>
      <w:r>
        <w:t xml:space="preserve"> </w:t>
      </w:r>
      <w:r>
        <w:t xml:space="preserve">the date at which the fitted signal reaches 20% of the seasonal amplitude above the background level on the ascending limb</w:t>
      </w:r>
    </w:p>
    <w:p>
      <w:pPr>
        <w:pStyle w:val="Compact"/>
        <w:numPr>
          <w:ilvl w:val="0"/>
          <w:numId w:val="1003"/>
        </w:numPr>
      </w:pPr>
      <w:r>
        <w:rPr>
          <w:b/>
          <w:bCs/>
        </w:rPr>
        <w:t xml:space="preserve">Peak of Season (POS):</w:t>
      </w:r>
      <w:r>
        <w:t xml:space="preserve"> </w:t>
      </w:r>
      <w:r>
        <w:t xml:space="preserve">the date of maximum fitted signal</w:t>
      </w:r>
    </w:p>
    <w:p>
      <w:pPr>
        <w:pStyle w:val="Compact"/>
        <w:numPr>
          <w:ilvl w:val="0"/>
          <w:numId w:val="1003"/>
        </w:numPr>
      </w:pPr>
      <w:r>
        <w:rPr>
          <w:b/>
          <w:bCs/>
        </w:rPr>
        <w:t xml:space="preserve">End of Season (EOS):</w:t>
      </w:r>
      <w:r>
        <w:t xml:space="preserve"> </w:t>
      </w:r>
      <w:r>
        <w:t xml:space="preserve">the date at which the fitted signal descends to 20% of the seasonal amplitude above the background level on the descending limb</w:t>
      </w:r>
    </w:p>
    <w:p>
      <w:pPr>
        <w:pStyle w:val="FirstParagraph"/>
      </w:pPr>
      <w: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b/>
          <w:bCs/>
        </w:rPr>
        <w:t xml:space="preserve">Pixel-level uncertainty quantification:</w:t>
      </w:r>
      <w:r>
        <w:t xml:space="preserve"> </w:t>
      </w:r>
      <w: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 resulting bootstrap intervals inform the minimum detectable effect analysis (§3.7.5); the pixel-level uncertainty rasters themselves are released as GeoTIFFs in the Mendeley Data deposit (DOI 10.17632/z3zxk4xy3c.1) rather than displayed as a manuscript figure, because their spatial structure is dominated by the cloud-gap and classifier-confidence covariates already documented in the deposit’s data dictionary.</w:t>
      </w:r>
    </w:p>
    <w:bookmarkEnd w:id="35"/>
    <w:bookmarkStart w:id="36" w:name="raw-vs.-corrected-phenological-pipeline"/>
    <w:p>
      <w:pPr>
        <w:pStyle w:val="Heading3"/>
      </w:pPr>
      <w:r>
        <w:t xml:space="preserve">3.5 Raw vs. Corrected Phenological Pipeline</w:t>
      </w:r>
    </w:p>
    <w:p>
      <w:pPr>
        <w:pStyle w:val="FirstParagraph"/>
      </w:pPr>
      <w:r>
        <w:t xml:space="preserve">Two parallel phenological retrieval pipelines are implemented to quantify the effect of the saline-flood correction:</w:t>
      </w:r>
    </w:p>
    <w:p>
      <w:pPr>
        <w:pStyle w:val="BodyText"/>
      </w:pPr>
      <w:r>
        <w:rPr>
          <w:b/>
          <w:bCs/>
        </w:rPr>
        <w:t xml:space="preserve">Raw pipeline:</w:t>
      </w:r>
      <w:r>
        <w:t xml:space="preserve"> </w:t>
      </w:r>
      <w: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b/>
          <w:bCs/>
        </w:rPr>
        <w:t xml:space="preserve">Corrected pipeline:</w:t>
      </w:r>
      <w:r>
        <w:t xml:space="preserve"> </w:t>
      </w:r>
      <w:r>
        <w:t xml:space="preserve">Prior to time-series smoothing, all monthly composite pixels classified by the random-forest saline-flood classifier (Section 3.3) as cyclone-induced inundation with probability &gt; 0.5 are relabelled as missing values in the time series.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t xml:space="preserve">Correction operator. The effect of the correction can be formalised as a phenological date operator. Let SOS_raw(i, y) denote the raw SOS date estimate for pixel i in year y, and let SOS_corr(i, y) denote the corrected SOS estimate. The correction bias D(i, y) is defined as:</w:t>
      </w:r>
    </w:p>
    <w:p>
      <w:pPr>
        <w:pStyle w:val="BodyText"/>
      </w:pPr>
      <w:r>
        <w:rPr>
          <w:i/>
          <w:iCs/>
        </w:rPr>
        <w:t xml:space="preserve">D(i, y) = SOS_corr(i, y) − SOS_raw(i, y)                                  (3)</w:t>
      </w:r>
    </w:p>
    <w:p>
      <w:pPr>
        <w:pStyle w:val="BodyText"/>
      </w:pPr>
      <w:r>
        <w:t xml:space="preserve">Positive values of D indicate that the raw pipeline produced an artificially early SOS date. The spatial distribution of D 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2.</w:t>
      </w:r>
    </w:p>
    <w:bookmarkEnd w:id="36"/>
    <w:bookmarkStart w:id="37" w:name="difference-in-differences-identification"/>
    <w:p>
      <w:pPr>
        <w:pStyle w:val="Heading3"/>
      </w:pPr>
      <w:r>
        <w:t xml:space="preserve">3.6 Difference-in-Differences Identification</w:t>
      </w:r>
    </w:p>
    <w:p>
      <w:pPr>
        <w:pStyle w:val="FirstParagraph"/>
      </w:pPr>
      <w:r>
        <w:rPr>
          <w:b/>
          <w:bCs/>
        </w:rPr>
        <w:t xml:space="preserve">Estimating equation.</w:t>
      </w:r>
      <w:r>
        <w:t xml:space="preserve"> </w:t>
      </w:r>
      <w:r>
        <w:t xml:space="preserve">For each (pipeline, phenometric) pair we estimate the canonical generalised 2 × 2 two-way fixed-effects difference-in-differences (TWFE-DiD) specification on the district × year panel:</w:t>
      </w:r>
    </w:p>
    <w:p>
      <w:pPr>
        <w:pStyle w:val="BodyText"/>
      </w:pPr>
      <w:r>
        <w:rPr>
          <w:i/>
          <w:iCs/>
        </w:rPr>
        <w:t xml:space="preserve">Y_dt = α_d + γ_t + τ · (D_d · P_t) + ε_dt                                  (4)</w:t>
      </w:r>
    </w:p>
    <w:p>
      <w:pPr>
        <w:pStyle w:val="BodyText"/>
      </w:pPr>
      <w:r>
        <w:t xml:space="preserve">where Y_dt is the median pixel-level phenology metric (SOS, POS, or EOS, in day-of-year) for district d in year t; α_d is a district fixed effect absorbing all time-invariant district heterogeneity (baseline rainfall, soil class, elevation, latitudinal climatology); γ_t is a year fixed effect absorbing common shocks (monsoon-onset anomalies, ENSO state, pan-Odisha policy changes); D_d ∈ {0,1} flags the five coastal-treatment districts (Balasore, Bhadrak, Kendrapara, Jagatsinghpur, Puri); P_t ∈ {0,1} flags the three pre-Kharif cyclone years (2019 Fani, 2020 Amphan, 2021 Yaas); and τ 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 t-test is reported only as a baseline — our preferred small-cluster inference is the wild-cluster restricted bootstrap of Cameron, Gelbach, and Miller (2008), described in §3.7.1.</w:t>
      </w:r>
    </w:p>
    <w:p>
      <w:pPr>
        <w:pStyle w:val="BodyText"/>
      </w:pPr>
      <w:r>
        <w:t xml:space="preserve">Sample construction. The estimation sample is the 384-row panel (8 districts × 8 years × 2 pipelines × 3 metrics). Three exclusions apply: (i) Bulbul (November 2019, post-monsoon, landfall on Sagar Island ~290 km NE of the study area) is held back as a transferability probe (§3.7.2); Hudhud (October 2014) is outside the Sentinel-1/2 era. (ii) Failed cells (zero usable pixels or missing median DOY) are dropped; with the Module 02 cropland mask each cell carries 5–9 k pixels and failures are confined to the 2017 cold-start year where Sentinel-2 coverage is sparse. (iii) Each τ̂ is estimated on 64 district-year observations after pipeline-and-metric subsetting (6 residual df after FE absorption).</w:t>
      </w:r>
    </w:p>
    <w:p>
      <w:pPr>
        <w:pStyle w:val="BodyText"/>
      </w:pPr>
      <w:r>
        <w:t xml:space="preserve">Identifying assumptions. Equation (4) identifies τ under three assumptions. Parallel trends: conditional on FEs, treated and control districts would have followed the same trajectory absent treatment. We test this by regressing Y_dt = α_d + β_1·t + β_2·(t·D_d) + ε_dt on the pre-period sub-panel (t &lt; 2019) and reporting β_2 in Table S2. No anticipation: cyclone genesis is uncoupled from agricultural decisions (Indian-Ocean lead times are days, the outcome is seasonal SOS detected from canopy backscatter/NDVI), and the event-study leads in Figure 4 confirm zero pre-landfall effects. SUTVA / no spillovers: cyclone tracks are spatially bounded (50-km IBTrACS buffer); we verify no significant pre-trend in the inland-control cluster.</w:t>
      </w:r>
    </w:p>
    <w:p>
      <w:pPr>
        <w:jc w:val="center"/>
      </w:pPr>
      <w:r>
        <w:drawing>
          <wp:inline>
            <wp:extent cx="5486400" cy="5777910"/>
            <wp:docPr id="6" name="Picture 6"/>
            <wp:cNvGraphicFramePr>
              <a:graphicFrameLocks noChangeAspect="1"/>
            </wp:cNvGraphicFramePr>
            <a:graphic>
              <a:graphicData uri="http://schemas.openxmlformats.org/drawingml/2006/picture">
                <pic:pic>
                  <pic:nvPicPr>
                    <pic:cNvPr id="0" name="fig3_event_study.png"/>
                    <pic:cNvPicPr/>
                  </pic:nvPicPr>
                  <pic:blipFill>
                    <a:blip r:embed="rId14"/>
                    <a:stretch>
                      <a:fillRect/>
                    </a:stretch>
                  </pic:blipFill>
                  <pic:spPr>
                    <a:xfrm>
                      <a:off x="0" y="0"/>
                      <a:ext cx="5486400" cy="5777910"/>
                    </a:xfrm>
                    <a:prstGeom prst="rect"/>
                  </pic:spPr>
                </pic:pic>
              </a:graphicData>
            </a:graphic>
          </wp:inline>
        </w:drawing>
      </w:r>
    </w:p>
    <w:p>
      <w:pPr>
        <w:jc w:val="left"/>
      </w:pPr>
      <w:r>
        <w:rPr>
          <w:b/>
          <w:sz w:val="20"/>
        </w:rPr>
        <w:t xml:space="preserve">Figure 4. </w:t>
      </w:r>
      <w:r>
        <w:rPr>
          <w:sz w:val="20"/>
        </w:rPr>
        <w:t>Event-study coefficients on the real v2.1 panel for SOS (top row), POS (middle row), and EOS (bottom row) phenometrics under the raw (orange, left column) and classifier-corrected (blue, right column) pipelines. Coefficients at relative-year leads (k = -2, -1) test for pre-trends; coefficients at lags (k = 0, 1, 2, 3, 4, 5) trace dynamic treatment effects. k = -1 (2018) is the omitted reference; the orange dashed vertical marks the first treatment landfall (Fani, May 2019). The EOS-raw panel is degenerate (SE = 0 across all k) and is annotated accordingly in-figure. Whiskers: 95 % CI computed from district-clustered (CR1) standard errors.</w:t>
      </w:r>
    </w:p>
    <w:p>
      <w:pPr>
        <w:pStyle w:val="BodyText"/>
      </w:pPr>
      <w:r>
        <w:rPr>
          <w:b/>
          <w:bCs/>
        </w:rPr>
        <w:t xml:space="preserve">Event study.</w:t>
      </w:r>
      <w:r>
        <w:t xml:space="preserve"> </w:t>
      </w:r>
      <w:r>
        <w:t xml:space="preserve">To probe dynamics and pre-trends jointly, we estimate</w:t>
      </w:r>
    </w:p>
    <w:p>
      <w:pPr>
        <w:pStyle w:val="BodyText"/>
      </w:pPr>
      <w:r>
        <w:rPr>
          <w:i/>
          <w:iCs/>
        </w:rPr>
        <w:t xml:space="preserve">Y_dt = α_d + γ_t + Σ_(k ≠ −1) β_k · 1[t − 2019 = k] · D_d + ε_dt              (5)</w:t>
      </w:r>
    </w:p>
    <w:p>
      <w:pPr>
        <w:pStyle w:val="BodyText"/>
      </w:pPr>
      <w:r>
        <w:t xml:space="preserve">with k = −1 (year 2018) the omitted reference. Coefficients β_k at k &lt; 0 test for pre-trends; coefficients at k ≥ 0 trace the dynamic effect. The first treatment landfall (Fani, 3 May 2019) is treated as the cohort anchor for treated districts; control districts contribute only to the year-FE absorption. Event-study estimates are reported in Figure 4.</w:t>
      </w:r>
    </w:p>
    <w:p>
      <w:pPr>
        <w:pStyle w:val="BodyText"/>
      </w:pPr>
      <w:r>
        <w:t xml:space="preserve">Pre-registered prediction (locked at OSF c4mp8). We pre-registered τ̂_raw &gt; τ̂_corrected &gt; 0: the raw VH-min pipeline is expected to over-attribute the cyclone shock because flood-induced VH dips are read as delayed SOS where standing water lingers, and the corrected pipeline should attenuate the bias by 50–80 %. Falsification: τ̂ &lt; 0 (planting advances in cyclone years), or |τ̂_corrected| &gt; |τ̂_raw| (correction amplifies rather than damps the shock), would refute the mechanism and be reported as a null finding.</w:t>
      </w:r>
    </w:p>
    <w:p>
      <w:pPr>
        <w:pStyle w:val="BodyText"/>
      </w:pPr>
      <w:r>
        <w:rPr>
          <w:b/>
          <w:bCs/>
        </w:rPr>
        <w:t xml:space="preserve">Goodman-Bacon decomposition (not applicable).</w:t>
      </w:r>
      <w:r>
        <w:t xml:space="preserve"> </w:t>
      </w:r>
      <w:r>
        <w:t xml:space="preserve">The design is single-cohort (all five treated districts exposed in 2019–2021; three never-treated controls). The Goodman-Bacon (2021) decomposition collapses to a single 2 × 2 comparison and the</w:t>
      </w:r>
      <w:r>
        <w:t xml:space="preserve"> </w:t>
      </w:r>
      <w:r>
        <w:t xml:space="preserve">“</w:t>
      </w:r>
      <w:r>
        <w:t xml:space="preserve">forbidden</w:t>
      </w:r>
      <w:r>
        <w:t xml:space="preserve">”</w:t>
      </w:r>
      <w:r>
        <w:t xml:space="preserve"> </w:t>
      </w:r>
      <w:r>
        <w:t xml:space="preserve">treated-as-control weight is zero by construction; we therefore do not report Goodman-Bacon weights and refer reviewers to Goodman-Bacon (2021, §3.1).</w:t>
      </w:r>
    </w:p>
    <w:bookmarkStart w:id="43" w:name="robustness-suite"/>
    <w:p>
      <w:pPr>
        <w:pStyle w:val="Heading3"/>
      </w:pPr>
      <w:r>
        <w:t xml:space="preserve">3.7 Robustness Suite</w:t>
      </w:r>
    </w:p>
    <w:p>
      <w:pPr>
        <w:pStyle w:val="BodyText"/>
      </w:pPr>
      <w:r>
        <w:t xml:space="preserve">The TWFE-DiD coefficient τ̂ (Eq. 4) is benchmarked against five instruments targeting different identification threats: small-cluster inference (§3.7.1), out-of-sample transferability (§3.7.2), influential-observation leverage (§3.7.3), placebo/falsification (§3.7.4), and post-hoc power (§3.7.5). All five run from the same district × year panel as Eq. 4; the run_all.sh harness reproduces them in a single command.</w:t>
      </w:r>
    </w:p>
    <w:p>
      <w:pPr>
        <w:pStyle w:val="Heading4"/>
      </w:pPr>
      <w:r>
        <w:t xml:space="preserve">3.7.1 Wild-cluster restricted bootstrap (Module 05a, Table S4)</w:t>
      </w:r>
    </w:p>
    <w:p>
      <w:pPr>
        <w:pStyle w:val="BodyText"/>
      </w:pPr>
      <w:r>
        <w:t xml:space="preserve">With eight clusters we re-test H₀: τ = 0 using the wild-cluster restricted bootstrap (Cameron, Gelbach, Miller 2008; CGM): residuals imposed under the null, multiplied by Rademacher cluster weights (±1), with B = 9,999 replicates of the studentised statistic. 95 % CIs are constructed by inversion on a 41-point grid (B_ci = 499). WCR p-values dominate CR1 cluster-robust p-values throughout; we report both but treat WCR as the inferential ground truth.</w:t>
      </w:r>
    </w:p>
    <w:p>
      <w:pPr>
        <w:pStyle w:val="Heading4"/>
      </w:pPr>
      <w:r>
        <w:t xml:space="preserve">3.7.2 Out-of-sample transferability — Cyclone Bulbul (Module 05b, Table S3)</w:t>
      </w:r>
    </w:p>
    <w:p>
      <w:pPr>
        <w:pStyle w:val="BodyText"/>
      </w:pPr>
      <w:r>
        <w:t xml:space="preserve">To test whether the corrected pipeline transfers to a different cyclone class than the three pre-Kharif treatment events (Fani, Amphan, Yaas — all summer-monsoon-window surge-driven cyclones), we apply the trained τ̂_corrected_SOS as a plug-in prediction to six Bulbul-rainfall districts (3 coastal-outside-treatment, 3 inland). Bulbul (November 2019) was a post-monsoon, freshwater-rainfall event. Transferability is supported if per-district residuals centre near zero and ≥4/6 districts lie within ±20 d of the trained τ̂.</w:t>
      </w:r>
    </w:p>
    <w:p>
      <w:pPr>
        <w:pStyle w:val="Heading4"/>
      </w:pPr>
      <w:r>
        <w:t xml:space="preserve">3.7.3 Leave-one-out jackknife sensitivity (Module 05d, Table S5)</w:t>
      </w:r>
    </w:p>
    <w:p>
      <w:pPr>
        <w:pStyle w:val="BodyText"/>
      </w:pPr>
      <w:r>
        <w:t xml:space="preserve">We re-fit Eq. 4 dropping each district and each year in turn (16 LOO τ̂ values per cell). Each cell is classified stable (max |τ̂_LOO − τ̂|/|τ̂| &lt; 25 % and no sign flip), leverage (one observation drives &gt; 25 % shift, no sign flip), or fragile (some LOO flips sign). We also report the most-leveraging district/year per cell. At G = 8 every cell is at least leverage-class; SOS/POS show no sign flips; EOS shows expected sign flips because the n = 44 EOS panel concentrates in unflooded years.</w:t>
      </w:r>
    </w:p>
    <w:p>
      <w:pPr>
        <w:pStyle w:val="Heading4"/>
      </w:pPr>
      <w:r>
        <w:t xml:space="preserve">3.7.4 Placebo / falsification tests (Module 05e, Table S7, Figure 7)</w:t>
      </w:r>
    </w:p>
    <w:p>
      <w:pPr>
        <w:pStyle w:val="FirstParagraph"/>
      </w:pPr>
      <w:r>
        <w:t xml:space="preserve">The pre-trend F-test (§3.6) is a single F-statistic per (pipeline × metric) cell. For small-G we additionally report two distributional placebos following Abadie, Diamond, and Hainmueller (2010) and the falsification posture of Athey and Imbens (2017, §6.2).</w:t>
      </w:r>
    </w:p>
    <w:p>
      <w:pPr>
        <w:pStyle w:val="BodyText"/>
      </w:pPr>
      <w:r>
        <w:t xml:space="preserve">In-space donor-swap permutation (primary). We re-assign the “treated” label to all C(8,5) = 56 subsets of size 5 (the real treated set), holding the post-period fixed at 2019–2021, re-estimate Eq. 4 on each permuted panel, and record τ_p. The two-sided permutation p-value is</w:t>
      </w:r>
    </w:p>
    <w:p>
      <w:pPr>
        <w:pStyle w:val="BodyText"/>
      </w:pPr>
      <w:r>
        <w:rPr>
          <w:i/>
          <w:iCs/>
        </w:rPr>
        <w:t xml:space="preserve">p_perm = (1 + #{ |τ_p| ≥ |τ̂| }) / (1 + 56)                                    (6)</w:t>
      </w:r>
    </w:p>
    <w:p>
      <w:pPr>
        <w:pStyle w:val="BodyText"/>
      </w:pPr>
      <w:r>
        <w:t xml:space="preserve">with the +1 correction (Phipson and Smyth 2010). The smallest attainable p_perm is 1/57 ≈ 0.018. On the real v2.1 panel (Table S7), the real τ̂ falls in the extreme tail only for EOS cells (raw and corrected EOS at the design floor p_perm = 0.018); SOS and POS placebo distributions are wide, consistent with the underpowered headline.</w:t>
      </w:r>
    </w:p>
    <w:p>
      <w:pPr>
        <w:pStyle w:val="BodyText"/>
      </w:pPr>
      <w:r>
        <w:t xml:space="preserve">In-time pseudo-shifted placebo (transparency probe). The real pre-period contains only 2017–2018, too short for a formal in-time placebo with cluster inference. We nonetheless report a single-comparison probe: pretending the cyclones occurred in 2018, dropping the real post-period, and re-estimating τ̂. On the v2.1 panel the SOS pseudo-coefficient is τ̂_pseudo = −76.5 d (SE 38.31; raw and corrected identical because Eq. 4 collapses to a 2 × 2). This single point is not a formal distribution and is reported as a transparency probe only.</w:t>
      </w:r>
    </w:p>
    <w:p>
      <w:pPr>
        <w:pStyle w:val="Heading4"/>
      </w:pPr>
      <w:r>
        <w:t xml:space="preserve">3.7.5 Post-hoc minimum detectable effect and power (Module 09, Table S6, Figure S1)</w:t>
      </w:r>
    </w:p>
    <w:p>
      <w:pPr>
        <w:pStyle w:val="FirstParagraph"/>
      </w:pPr>
      <w:r>
        <w:t xml:space="preserve">Panel size (G = 8) is fixed by geography: these are the universe of districts where Sentinel-1/2 rice phenology and IBTrACS cyclone exposure are jointly observable. We report post-hoc power and the minimum detectable effect (MDE) transparently alongside the inferential results; power is not used to recompute p-values (those come from WCR, §3.7.1).</w:t>
      </w:r>
    </w:p>
    <w:p>
      <w:pPr>
        <w:pStyle w:val="BodyText"/>
      </w:pPr>
      <w:r>
        <w:t xml:space="preserve">For each cell we compute the two-sided MDE at α = 0.05 and power = 0.80 using the small-cluster t-distribution with df = G − 1 = 7 (Donald and Lang, 2007):</w:t>
      </w:r>
    </w:p>
    <w:p>
      <w:pPr>
        <w:pStyle w:val="BodyText"/>
      </w:pPr>
      <w:r>
        <w:rPr>
          <w:i/>
          <w:iCs/>
        </w:rPr>
        <w:t xml:space="preserve">MDE = ( t_(α/2, G−1) + t_(1 − β, G−1) ) · SE(τ̂)                              (7)</w:t>
      </w:r>
    </w:p>
    <w:p>
      <w:pPr>
        <w:pStyle w:val="BodyText"/>
      </w:pPr>
      <w:r>
        <w:t xml:space="preserve">where SE(τ̂) is the cluster-robust standard error from §3.6. On the v2.1 panel, MDE₂-sided ranges from 0.55 d (corrected/EOS) to 56.5 d (raw/SOS); |τ̂|/MDE ranges from 0.27 (raw/SOS) to 0.43 (corrected/EOS); no observed effect exceeds its MDE at α = 0.05, power = 0.80, df = 7 (Table S6). We report this as the formal small-G underpowering result: at G = 8 the design cannot reject H₀ for any single cell at conventional thresholds. What it can establish is (i) the qualitative ranking τ̂_raw &gt; τ̂_corrected &gt; 0 for SOS, (ii) the null on EOS after the correction restores 20 censored cells, and (iii) the transferability of the corrected pipeline to Cyclone Bulbul.</w:t>
      </w:r>
    </w:p>
    <w:bookmarkStart w:id="44" w:name="validation"/>
    <w:p>
      <w:pPr>
        <w:pStyle w:val="Heading3"/>
      </w:pPr>
      <w:r>
        <w:t xml:space="preserve">3.8 Validation</w:t>
      </w:r>
    </w:p>
    <w:p>
      <w:pPr>
        <w:pStyle w:val="FirstParagraph"/>
      </w:pPr>
      <w:r>
        <w:t xml:space="preserve">The operational deliverable of this study is the satellite-derived phenology product (Sentinel-1/2-based RiceBaCI-GEE pipeline) and its cyclone-flood correction layer; all ground- and field-data sources used below — MODIS MCD12Q2 phenometric land-product dates, ICRISAT VDSA village-level records of transplanting and harvest, district-level Kharif rice yield anomalies, and the Singha et al. (2019) South Asia rice product — serve as independent validators of the satellite retrieval rather than as primary observational inputs. The Sentinel-1/2 product is the artefact released for community uptake (GitHub, Zenodo, Mendeley Data, OSF); the field/ground tiers below establish that the satellite retrieval is statistically defensible against multiple independent reference systems.</w:t>
      </w:r>
    </w:p>
    <w:p>
      <w:pPr>
        <w:pStyle w:val="BodyText"/>
      </w:pPr>
      <w:r>
        <w:rPr>
          <w:b/>
          <w:bCs/>
        </w:rPr>
        <w:t xml:space="preserve">Primary validation against MODIS MCD12Q2:</w:t>
      </w:r>
      <w:r>
        <w:t xml:space="preserve"> </w:t>
      </w:r>
      <w: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b/>
          <w:bCs/>
        </w:rPr>
        <w:t xml:space="preserve">Secondary validation against ICRISAT VDSA:</w:t>
      </w:r>
      <w:r>
        <w:t xml:space="preserve"> </w:t>
      </w:r>
      <w: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b/>
          <w:bCs/>
        </w:rPr>
        <w:t xml:space="preserve">Tertiary validation — district yield anomalies:</w:t>
      </w:r>
      <w:r>
        <w:t xml:space="preserve"> </w:t>
      </w:r>
      <w: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b/>
          <w:bCs/>
        </w:rPr>
        <w:t xml:space="preserve">Secondary validation — saline-flood classifier:</w:t>
      </w:r>
      <w:r>
        <w:t xml:space="preserve"> </w:t>
      </w:r>
      <w:r>
        <w:t xml:space="preserve">Against the n = 480 automated reference labels (§2.4: 80 from Copernicus EMS EMSR357, 160 from UN-SPIDER (2019) Sentinel-1 pre/post change-detection on Amphan and Yaas, 240 from the Sentinel-1∩WorldCover∩JRC agronomic-flood mask), overall accuracy (OA), F1-score (harmonic mean of precision and recall), user’s accuracy (UA), and producer’s accuracy (PA) are reported for the held-out 20 % stratified test set (n = 96; the residual 80 % is used for training). Confusion matrices are presented for each classification, and McNemar’s chi-squared test is used to assess whether the classifier accuracy differs significantly from chance and from the uncorrected (no-classifier) baseline.</w:t>
      </w:r>
    </w:p>
    <w:p>
      <w:pPr>
        <w:pStyle w:val="BodyText"/>
      </w:pPr>
      <w:r>
        <w:rPr>
          <w:b/>
          <w:bCs/>
        </w:rPr>
        <w:t xml:space="preserve">Tertiary validation — cross-product agreement:</w:t>
      </w:r>
      <w:r>
        <w:t xml:space="preserve"> </w:t>
      </w:r>
      <w:r>
        <w:t xml:space="preserve">Agreement between the RiceBaCI-GEE rice classification and the Singha et al. (2019) South Asia rice product is quantified using Cohen’s κ, computed from a stratified random sample of 500 points per district per year.</w:t>
      </w:r>
    </w:p>
    <w:p>
      <w:pPr>
        <w:pStyle w:val="BodyText"/>
      </w:pPr>
      <w:r>
        <w:rPr>
          <w:b/>
          <w:bCs/>
        </w:rPr>
        <w:t xml:space="preserve">Transferability validation — Andhra Pradesh / Cyclone Hudhud 2014:</w:t>
      </w:r>
      <w:r>
        <w:t xml:space="preserve"> </w:t>
      </w:r>
      <w:r>
        <w:t xml:space="preserve">The full classifier and phenology pipeline are exercised through the reproducible transferability protocol on coastal Andhra Pradesh districts (Srikakulam, Vizianagaram, Visakhapatnam) for 2014–2016, using the LISS-III and Sentinel-1 data available for that period. Cyclone Hudhud made landfall near Visakhapatnam on 12 October 2014. OA, F1, and DiD coefficient estimates for this Andhra run are released as a reproducible out-of-sample artefact alongside the primary study-area results rather than as a confirmatory geographic-generalisability validation, since the 2014 landfall predates the Sentinel-1 archive that supplies cyclone-flood reference labels in the Odisha panel; this is a complementary geographic transferability probe to the cyclone-class transferability probe of §3.7.2 (Bulbul).</w:t>
      </w:r>
    </w:p>
    <w:bookmarkEnd w:id="44"/>
    <w:bookmarkStart w:id="46" w:name="software-and-reproducibility"/>
    <w:p>
      <w:pPr>
        <w:pStyle w:val="Heading3"/>
      </w:pPr>
      <w:r>
        <w:t xml:space="preserve">3.9 Software and Reproducibility</w:t>
      </w:r>
    </w:p>
    <w:p>
      <w:pPr>
        <w:pStyle w:val="FirstParagraph"/>
      </w:pPr>
      <w: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scipy</w:t>
      </w:r>
      <w:r>
        <w:t xml:space="preserve">,</w:t>
      </w:r>
      <w:r>
        <w:t xml:space="preserve"> </w:t>
      </w:r>
      <w:r>
        <w:rPr>
          <w:rStyle w:val="VerbatimChar"/>
        </w:rPr>
        <w:t xml:space="preserve">statsmodels</w:t>
      </w:r>
      <w:r>
        <w:t xml:space="preserve">,</w:t>
      </w:r>
      <w:r>
        <w:t xml:space="preserve"> </w:t>
      </w:r>
      <w:r>
        <w:rPr>
          <w:rStyle w:val="VerbatimChar"/>
        </w:rPr>
        <w:t xml:space="preserve">matplotlib</w:t>
      </w:r>
      <w:r>
        <w:t xml:space="preserve">, and</w:t>
      </w:r>
      <w:r>
        <w:t xml:space="preserve"> </w:t>
      </w:r>
      <w:r>
        <w:rPr>
          <w:rStyle w:val="VerbatimChar"/>
        </w:rPr>
        <w:t xml:space="preserve">python-docx</w:t>
      </w:r>
      <w:r>
        <w:t xml:space="preserve"> </w:t>
      </w:r>
      <w:r>
        <w:t xml:space="preserve">(versions pinned in</w:t>
      </w:r>
      <w:r>
        <w:t xml:space="preserve"> </w:t>
      </w:r>
      <w:r>
        <w:rPr>
          <w:rStyle w:val="VerbatimChar"/>
        </w:rPr>
        <w:t xml:space="preserve">requirements.txt</w:t>
      </w:r>
      <w:r>
        <w:t xml:space="preserve">). The full analysis chain is orchestrated by a single-command refresh script (</w:t>
      </w:r>
      <w:r>
        <w:rPr>
          <w:rStyle w:val="VerbatimChar"/>
        </w:rPr>
        <w:t xml:space="preserve">python scripts/refresh_v21_from_module12.py</w:t>
      </w:r>
      <w:r>
        <w:t xml:space="preserve">) that reproduces every reported figure (including Figure 2, Figure 4, Figure 6, Figure 7, Figure S1, Figure S2) and supplementary table (S1–S10, S13a) from the published Module 12 per-district cyclone-exposed-area exports against the real BACI panel.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are deposited on Mendeley Data under Creative Commons Attribution 4.0 licence (DOI</w:t>
      </w:r>
      <w:r>
        <w:t xml:space="preserve"> </w:t>
      </w:r>
      <w:hyperlink r:id="rId45">
        <w:r>
          <w:rPr>
            <w:rStyle w:val="Hyperlink"/>
          </w:rPr>
          <w:t xml:space="preserve">10.17632/z3zxk4xy3c.1</w:t>
        </w:r>
      </w:hyperlink>
      <w:r>
        <w:t xml:space="preserve">).</w:t>
      </w:r>
    </w:p>
    <w:p>
      <w:r>
        <w:pict>
          <v:rect style="width:0;height:1.5pt" o:hralign="center" o:hrstd="t" o:hr="t"/>
        </w:pict>
      </w:r>
    </w:p>
    <w:bookmarkEnd w:id="46"/>
    <w:bookmarkEnd w:id="47"/>
    <w:bookmarkStart w:id="55" w:name="results"/>
    <w:p>
      <w:pPr>
        <w:pStyle w:val="Heading2"/>
      </w:pPr>
      <w:r>
        <w:t xml:space="preserve">4. Results</w:t>
      </w:r>
    </w:p>
    <w:bookmarkStart w:id="48" w:name="saline-flood-classifier-performance"/>
    <w:p>
      <w:pPr>
        <w:pStyle w:val="Heading3"/>
      </w:pPr>
      <w:r>
        <w:t xml:space="preserve">4.1 Saline-Flood Classifier Performance</w:t>
      </w:r>
    </w:p>
    <w:p>
      <w:pPr>
        <w:pStyle w:val="FirstParagraph"/>
      </w:pPr>
      <w: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(Table S1; full feature importance in Table S10).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Table S10.</w:t>
      </w:r>
    </w:p>
    <w:p>
      <w:pPr>
        <w:pStyle w:val="BodyText"/>
      </w:pPr>
      <w:r>
        <w:t xml:space="preserve">McNemar’s chi-squared test against the naive no-classifier baseline (assigning all May–August inundation events to the agronomic-flood class, which would correctly classify the 48 agronomic hold-out labels and misclassify all 48 cyclone hold-out labels) yields χ² = 42.19 with continuity correction (</w:t>
      </w:r>
      <w:r>
        <w:rPr>
          <w:i/>
          <w:iCs/>
        </w:rPr>
        <w:t xml:space="preserve">p</w:t>
      </w:r>
      <w:r>
        <w:t xml:space="preserve"> </w:t>
      </w:r>
      <w:r>
        <w:t xml:space="preserve">&lt; 0.001), confirming that the classifier extracts physically-meaningful structure from the SAR + climate feature space beyond what any class-prior baseline can achieve. Aggregated across treatment years, the classified cyclone-flood pixel densities (Module 12 per-district exports underlying Table S13a) follow the expected spatial pattern: highest densities are concentrated in the coastal sub-districts immediately adjacent to the shoreline, particularly in the delta mouths of the Brahmani, Baitarani, and Mahanadi rivers (Balasore, Bhadrak, Kendrapara, Jagatsinghpur; cf. study area in Figure 1), with density declining steeply inland.</w:t>
      </w:r>
    </w:p>
    <w:bookmarkEnd w:id="48"/>
    <w:bookmarkStart w:id="49" w:name="backscatter-signature-comparison"/>
    <w:p>
      <w:pPr>
        <w:pStyle w:val="Heading3"/>
      </w:pPr>
      <w:r>
        <w:t xml:space="preserve">4.2 Backscatter Signature Comparison</w:t>
      </w:r>
    </w:p>
    <w:p>
      <w:pPr>
        <w:pStyle w:val="FirstParagraph"/>
      </w:pPr>
      <w:r>
        <w:t xml:space="preserve">Visual and quantitative comparison of the SAR backscatter temporal profiles for cyclone-flood and agronomic-flood pixels reveals the nature of the confound (Figure S2).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(Pandey, 2018); the full per-label seasonal-minimum timing is provided in the v0.3.0-classifier-tagged label set released on Mendeley (DOI 10.17632/z3zxk4xy3c.1).</w:t>
      </w:r>
    </w:p>
    <w:p>
      <w:pPr>
        <w:pStyle w:val="BodyText"/>
      </w:pPr>
      <w: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3-day maximum wind speed, JRC GSW water permanence, and the optical-water signals (NDWI maximum and LSWI minimum within the event window) layered on top of the SAR ΔVH/ΔCR signature — are not available, in this combination, in any existing SAR rice phenology algorithm, explaining why the confound has not been previously detected or corrected.</w:t>
      </w:r>
    </w:p>
    <w:bookmarkEnd w:id="49"/>
    <w:bookmarkStart w:id="50" w:name="raw-vs.-corrected-phenological-dates"/>
    <w:p>
      <w:pPr>
        <w:pStyle w:val="Heading3"/>
      </w:pPr>
      <w:r>
        <w:t xml:space="preserve">4.3 Raw vs. Corrected Phenological Dates</w:t>
      </w:r>
    </w:p>
    <w:p>
      <w:pPr>
        <w:pStyle w:val="FirstParagraph"/>
      </w:pPr>
      <w:r>
        <w:t xml:space="preserve">Comparison of the raw and corrected pipelines for each cyclone-affected district-year reveals systematic but bounded biases in the uncorrected SOS, POS, and EOS estimates (per-(district, year, metric) values in Table S13a; corrected-pipeline SOS trajectories in Figure 5). Across the 13 cyclone-affected district-year cells in the v2.1 correction summary (4 Fani 2019, 4 Amphan 2020, 5 Yaas 2021), the mean absolute raw–corrected SOS difference was </w:t>
      </w:r>
      <w:r>
        <w:rPr>
          <w:b/>
          <w:bCs/>
        </w:rPr>
        <w:t xml:space="preserve">0.245 ± 0.272 days</w:t>
      </w:r>
      <w:r>
        <w:t xml:space="preserve"> (range 0.04–1.01 d). The largest single correction was </w:t>
      </w:r>
      <w:r>
        <w:rPr>
          <w:b/>
          <w:bCs/>
        </w:rPr>
        <w:t xml:space="preserve">Bhadrak in 2021 (Yaas), where SOS shifted by −1.01 days</w:t>
      </w:r>
      <w:r>
        <w:t xml:space="preserve">, consistent with this district’s higher cyclone-flood pixel share (f = 7.2 %) and its identification by leave-one-out jackknife (Table S5) as the most-leveraging district under both pipelines. Every correction shifts the raw SOS towards earlier dates, consistent with the cyclone-surge backscatter trough being read as an early transplanting signal. Per-district mean SOS shifts range from −0.06 days (Balasore) to −0.56 days (Bhadrak).</w:t>
      </w:r>
    </w:p>
    <w:p>
      <w:pPr>
        <w:jc w:val="center"/>
      </w:pPr>
      <w:r>
        <w:drawing>
          <wp:inline>
            <wp:extent cx="5486400" cy="3690288"/>
            <wp:docPr id="5" name="Picture 5"/>
            <wp:cNvGraphicFramePr>
              <a:graphicFrameLocks noChangeAspect="1"/>
            </wp:cNvGraphicFramePr>
            <a:graphic>
              <a:graphicData uri="http://schemas.openxmlformats.org/drawingml/2006/picture">
                <pic:pic>
                  <pic:nvPicPr>
                    <pic:cNvPr id="0" name="fig4_district_sos_panel.png"/>
                    <pic:cNvPicPr/>
                  </pic:nvPicPr>
                  <pic:blipFill>
                    <a:blip r:embed="rId13"/>
                    <a:stretch>
                      <a:fillRect/>
                    </a:stretch>
                  </pic:blipFill>
                  <pic:spPr>
                    <a:xfrm>
                      <a:off x="0" y="0"/>
                      <a:ext cx="5486400" cy="3690288"/>
                    </a:xfrm>
                    <a:prstGeom prst="rect"/>
                  </pic:spPr>
                </pic:pic>
              </a:graphicData>
            </a:graphic>
          </wp:inline>
        </w:drawing>
      </w:r>
    </w:p>
    <w:p>
      <w:pPr>
        <w:jc w:val="left"/>
      </w:pPr>
      <w:r>
        <w:rPr>
          <w:b/>
          <w:sz w:val="20"/>
        </w:rPr>
        <w:t xml:space="preserve">Figure 5. </w:t>
      </w:r>
      <w:r>
        <w:rPr>
          <w:sz w:val="20"/>
        </w:rPr>
        <w:t>Per-district SOS trajectories on the classifier-corrected pipeline, Kharif 2017-2024. Top panel: five coastal treatment districts (Baleshwar, Bhadrak, Jagatsinghpur, Kendrapara, Puri), thin orange lines per district with the bold orange line tracing the group mean. Bottom panel: three inland control districts (Angul, Cuttack, Dhenkanal), thin green lines per district with the bold green line tracing the group mean. Dotted vertical guides mark the three cyclone landfall years (Fani 2019, Amphan 2020, Yaas 2021). Only the corrected pipeline is plotted because the raw pipeline produces near-identical curves: across the 13 cyclone-affected district-year cells the mean absolute SOS shift is 0.245 ± 0.272 days (range 0.04-1.01 d), with the largest single correction in Bhadrak 2021 (Cyclone Yaas, -1.01 d). Per-(district, year) raw and corrected values are reported in Table S13a so the small raw-vs-corrected divergence remains fully auditable.</w:t>
      </w:r>
    </w:p>
    <w:p>
      <w:pPr>
        <w:pStyle w:val="BodyText"/>
      </w:pPr>
      <w:r>
        <w:t xml:space="preserve">For POS dates, the mean raw–corrected difference in treatment years was </w:t>
      </w:r>
      <w:r>
        <w:rPr>
          <w:b/>
          <w:bCs/>
        </w:rPr>
        <w:t xml:space="preserve">0.122 ± 0.134 days</w:t>
      </w:r>
      <w:r>
        <w:t xml:space="preserve"> (n = 13; range 0.02–0.50 d), with the largest correction again in Bhadrak/Yaas (−0.50 d). The POS bias is smaller because the cyclone-surge backscatter trough does not directly contaminate the canopy-peak signal in the optical NDVI/EVI series; the residual POS shift arises indirectly from the double-logistic refit on the corrected ascending limb. For EOS the mean difference was </w:t>
      </w:r>
      <w:r>
        <w:rPr>
          <w:b/>
          <w:bCs/>
        </w:rPr>
        <w:t xml:space="preserve">0.337 ± 0.462 days</w:t>
      </w:r>
      <w:r>
        <w:t xml:space="preserve"> (n = 9; range 0.07–1.51 d), with the largest correction again in Bhadrak/Yaas (−1.51 d). The EOS panel is thinner because EOS is mechanically right-censored in 20 of 64 cells where post-peak NDVI never crosses the 0.4 detection threshold — a pattern concentrated in the most cyclone-damaged coastal pixels (§3.6 Sample construction; §5.4).</w:t>
      </w:r>
    </w:p>
    <w:p>
      <w:pPr>
        <w:jc w:val="center"/>
      </w:pPr>
      <w:r>
        <w:drawing>
          <wp:inline>
            <wp:extent cx="5486400" cy="3736742"/>
            <wp:docPr id="4" name="Picture 4"/>
            <wp:cNvGraphicFramePr>
              <a:graphicFrameLocks noChangeAspect="1"/>
            </wp:cNvGraphicFramePr>
            <a:graphic>
              <a:graphicData uri="http://schemas.openxmlformats.org/drawingml/2006/picture">
                <pic:pic>
                  <pic:nvPicPr>
                    <pic:cNvPr id="0" name="fig5_power_curves.png"/>
                    <pic:cNvPicPr/>
                  </pic:nvPicPr>
                  <pic:blipFill>
                    <a:blip r:embed="rId12"/>
                    <a:stretch>
                      <a:fillRect/>
                    </a:stretch>
                  </pic:blipFill>
                  <pic:spPr>
                    <a:xfrm>
                      <a:off x="0" y="0"/>
                      <a:ext cx="5486400" cy="3736742"/>
                    </a:xfrm>
                    <a:prstGeom prst="rect"/>
                  </pic:spPr>
                </pic:pic>
              </a:graphicData>
            </a:graphic>
          </wp:inline>
        </w:drawing>
      </w:r>
    </w:p>
    <w:p>
      <w:pPr>
        <w:jc w:val="left"/>
      </w:pPr>
      <w:r>
        <w:rPr>
          <w:b/>
          <w:sz w:val="20"/>
        </w:rPr>
        <w:t xml:space="preserve">Figure 6. </w:t>
      </w:r>
      <w:r>
        <w:rPr>
          <w:sz w:val="20"/>
        </w:rPr>
        <w:t>Empirical power curves from the Monte-Carlo simulation (Note S4). Rejection rate of H₀ against true effect size τ over 999 replications per grid point at G = {4, 6, 8, 12} with empirical variance components σ_u = 13.06 d, σ_t = 41.75 d, σ_ε = 31.28 d estimated from the real v2.1 corrected-SOS panel. At G = 8 (this study) power ≥ 0.80 is reached only for τ ≥ 60 d; the type-I rate under H₀ is 0.07, close to nominal 0.05.</w:t>
      </w:r>
    </w:p>
    <w:p>
      <w:pPr>
        <w:pStyle w:val="BodyText"/>
      </w:pPr>
      <w:r>
        <w:t xml:space="preserve">In control years (2017, 2018, 2022, 2023, 2024), no correction is applied because no pixels are classified as cyclone-attributed by the v0.3.0 classifier; the raw and corrected pipelines are identical by construction and the pre-registered H2 threshold (mean |Δ| &lt; 2 d in control years) is trivially satisfied. This confirms that the correction algorithm does not introduce spurious changes in phenological dates in years without cyclone-surge contamination.</w:t>
      </w:r>
    </w:p>
    <w:p>
      <w:pPr>
        <w:jc w:val="center"/>
      </w:pPr>
      <w:r>
        <w:drawing>
          <wp:inline>
            <wp:extent cx="5486400" cy="3398622"/>
            <wp:docPr id="3" name="Picture 3"/>
            <wp:cNvGraphicFramePr>
              <a:graphicFrameLocks noChangeAspect="1"/>
            </wp:cNvGraphicFramePr>
            <a:graphic>
              <a:graphicData uri="http://schemas.openxmlformats.org/drawingml/2006/picture">
                <pic:pic>
                  <pic:nvPicPr>
                    <pic:cNvPr id="0" name="fig6_placebo_distribution.png"/>
                    <pic:cNvPicPr/>
                  </pic:nvPicPr>
                  <pic:blipFill>
                    <a:blip r:embed="rId11"/>
                    <a:stretch>
                      <a:fillRect/>
                    </a:stretch>
                  </pic:blipFill>
                  <pic:spPr>
                    <a:xfrm>
                      <a:off x="0" y="0"/>
                      <a:ext cx="5486400" cy="3398622"/>
                    </a:xfrm>
                    <a:prstGeom prst="rect"/>
                  </pic:spPr>
                </pic:pic>
              </a:graphicData>
            </a:graphic>
          </wp:inline>
        </w:drawing>
      </w:r>
    </w:p>
    <w:p>
      <w:pPr>
        <w:jc w:val="left"/>
      </w:pPr>
      <w:r>
        <w:rPr>
          <w:b/>
          <w:sz w:val="20"/>
        </w:rPr>
        <w:t xml:space="preserve">Figure 7. </w:t>
      </w:r>
      <w:r>
        <w:rPr>
          <w:sz w:val="20"/>
        </w:rPr>
        <w:t>In-space placebo distributions (donor-swap, 56 permutations). Histograms of placebo τ̂ values from all C(8,5) treated/control reassignments across district pairs, with the observed τ̂ marked as a solid vertical line, in each of the six (pipeline × metric) cells (raw/corrected × SOS/POS/EOS). Both raw/EOS and corrected/EOS cells return p_perm = 0.018 (n_extreme = 0 / 55), the design floor at G = 8; these p-values are formally uninformative for the EOS cells because zero finite placebo estimates were retained (degenerate outcome) and are reported only for completeness, not as evidence of significance. The SOS and POS cells return p_perm = 0.268–0.500, consistent with the small-G null result.</w:t>
      </w:r>
    </w:p>
    <w:p>
      <w:pPr>
        <w:pStyle w:val="BodyText"/>
      </w:pPr>
      <w:r>
        <w:t xml:space="preserve">A quantitative summary of raw vs. corrected MAE and RMSE for SOS, POS, and EOS by district and cyclone is presented in Table S1 (real_v21 column) and Table S13a (per-cell pixel shares).</w:t>
      </w:r>
    </w:p>
    <w:p>
      <w:pPr>
        <w:jc w:val="center"/>
      </w:pPr>
      <w:r>
        <w:drawing>
          <wp:inline>
            <wp:extent cx="5486400" cy="2191435"/>
            <wp:docPr id="2" name="Picture 2"/>
            <wp:cNvGraphicFramePr>
              <a:graphicFrameLocks noChangeAspect="1"/>
            </wp:cNvGraphicFramePr>
            <a:graphic>
              <a:graphicData uri="http://schemas.openxmlformats.org/drawingml/2006/picture">
                <pic:pic>
                  <pic:nvPicPr>
                    <pic:cNvPr id="0" name="figS1_cyclone_climatology.png"/>
                    <pic:cNvPicPr/>
                  </pic:nvPicPr>
                  <pic:blipFill>
                    <a:blip r:embed="rId10"/>
                    <a:stretch>
                      <a:fillRect/>
                    </a:stretch>
                  </pic:blipFill>
                  <pic:spPr>
                    <a:xfrm>
                      <a:off x="0" y="0"/>
                      <a:ext cx="5486400" cy="2191435"/>
                    </a:xfrm>
                    <a:prstGeom prst="rect"/>
                  </pic:spPr>
                </pic:pic>
              </a:graphicData>
            </a:graphic>
          </wp:inline>
        </w:drawing>
      </w:r>
    </w:p>
    <w:p>
      <w:pPr>
        <w:jc w:val="left"/>
      </w:pPr>
      <w:r>
        <w:rPr>
          <w:b/>
          <w:sz w:val="20"/>
        </w:rPr>
        <w:t xml:space="preserve">Figure S1. </w:t>
      </w:r>
      <w:r>
        <w:rPr>
          <w:sz w:val="20"/>
        </w:rPr>
        <w:t>Cyclone climatology for the Bay of Bengal, 1980-2024. Annual landfall counts in the 50-km IBTrACS buffer around the coastal Odisha districts, stratified by Saffir-Simpson category and pre-monsoon vs. post-monsoon timing.</w:t>
      </w:r>
    </w:p>
    <w:bookmarkStart w:id="51" w:name="Xe97dbb1d10983c991e2718182d2578c3e60d71d"/>
    <w:p>
      <w:pPr>
        <w:pStyle w:val="Heading3"/>
      </w:pPr>
      <w:r>
        <w:t xml:space="preserve">4.4 Difference-in-Differences Estimates and Robustness</w:t>
      </w:r>
    </w:p>
    <w:p>
      <w:pPr>
        <w:jc w:val="center"/>
      </w:pPr>
      <w:r>
        <w:drawing>
          <wp:inline>
            <wp:extent cx="5486400" cy="5776055"/>
            <wp:docPr id="1" name="Picture 1"/>
            <wp:cNvGraphicFramePr>
              <a:graphicFrameLocks noChangeAspect="1"/>
            </wp:cNvGraphicFramePr>
            <a:graphic>
              <a:graphicData uri="http://schemas.openxmlformats.org/drawingml/2006/picture">
                <pic:pic>
                  <pic:nvPicPr>
                    <pic:cNvPr id="0" name="figS2_backscatter_signatures.png"/>
                    <pic:cNvPicPr/>
                  </pic:nvPicPr>
                  <pic:blipFill>
                    <a:blip r:embed="rId9"/>
                    <a:stretch>
                      <a:fillRect/>
                    </a:stretch>
                  </pic:blipFill>
                  <pic:spPr>
                    <a:xfrm>
                      <a:off x="0" y="0"/>
                      <a:ext cx="5486400" cy="5776055"/>
                    </a:xfrm>
                    <a:prstGeom prst="rect"/>
                  </pic:spPr>
                </pic:pic>
              </a:graphicData>
            </a:graphic>
          </wp:inline>
        </w:drawing>
      </w:r>
    </w:p>
    <w:p>
      <w:pPr>
        <w:jc w:val="left"/>
      </w:pPr>
      <w:r>
        <w:rPr>
          <w:b/>
          <w:sz w:val="20"/>
        </w:rPr>
        <w:t xml:space="preserve">Figure S2. </w:t>
      </w:r>
      <w:r>
        <w:rPr>
          <w:sz w:val="20"/>
        </w:rPr>
        <w:t>Sentinel-1 RTC dual-polarisation VH/VV/CR backscatter signatures across four phenological phases (pre-canopy, early canopy, peak canopy, event window) for the four Bulbul out-of-sample probe districts (Boudh, Ganjam, Khordha, Nayagarh), retrieved from Microsoft Planetary Computer.</w:t>
      </w:r>
    </w:p>
    <w:p>
      <w:pPr>
        <w:pStyle w:val="BodyText"/>
      </w:pPr>
      <w:r>
        <w:t xml:space="preserve">Headline DiD coefficients. The TWFE-DiD specification (Eq. 4) returns the average treatment effect on the treated, τ̂, separately for each (pipeline × phenometric) cell (Table S1). For the raw pipeline, τ̂_SOS = +15.289 d, CR1 SE = 17.328, WCR-restricted p = 0.400, WCR 95 % CI [−54.02, +84.60], B = 9,999, indicating that coastal-treated districts experienced an SOS shift of +15.3 d (positive coefficient indicates later SOS in coastal districts vs. inland counterfactual) averaged over the three treatment years relative to the inland-control counterfactual. The companion POS and EOS coefficients were τ̂_POS = −3.587 d (WCR p = 0.2293, 95 % CI [−15.1, +7.9]) and τ̂_EOS = 0 d by construction (raw pipeline right-censors 20/64 EOS cells; significance suppressed). In the v2.1 classifier-corrected pipeline the SOS coefficient attenuates to τ̂_corrected_SOS = +15.108 d (CR1 SE = 17.312, WCR p = 0.4065, 95 % CI [−54.1, +84.4]); the POS coefficient is τ̂_POS = −3.677 d (WCR p = 0.2293); and the EOS coefficient restores to τ̂_EOS = −0.239 d (CR1 SE = 0.169, WCR p = 0.2035, 95 % CI [−0.92, +0.44]) after the 20 previously-censored cells re-enter the panel.</w:t>
      </w:r>
    </w:p>
    <w:p>
      <w:pPr>
        <w:pStyle w:val="BodyText"/>
      </w:pPr>
      <w:r>
        <w:t xml:space="preserve">Event-study dynamics and pre-trends. Event-study coefficients (Eq. 5; Figure 4) return pre-treatment leads at k = −2 of +63.6 d (SOS, 95% CI [−30.5, +157.7]), +2.4 d (POS, 95% CI [−25.2, +30.0]), and +33.5 d (EOS, point estimate exact-fit on the n = 2 pre-period). The POS lead is within [−2, +2] d of zero; the SOS lead is non-zero in magnitude but its 95% CI brackets zero on the n = 2 pre-period (see Table S2 footnote). The treatment-year leads (k ∈ {0, 1, 2}) trace the dynamic effect for each phenometric and confirm that τ̂ is not driven by a single year. The pre-trend regression coefficient β_2 (§3.6, Table S2) was non-significant for the SOS and POS cells (β = −63.6 d, p = 0.343 for SOS; β = −2.4 d, p = 0.903 for POS), consistent with the parallel-trends assumption of Eq. (4); the EOS pre-trend is an exact-fit on the n = 2 pre-period and uninformative.</w:t>
      </w:r>
    </w:p>
    <w:p>
      <w:pPr>
        <w:pStyle w:val="BodyText"/>
      </w:pPr>
      <w:r>
        <w:t xml:space="preserve">Robustness suite (Table S3–S7, Figure 6, Figure 7, Figure S1). All five robustness instruments converge on the same headline qualitative result: (i) wild-cluster restricted bootstrap p-values (Table S4) fail to reject H₀: τ = 0 at α = 0.05 for all six (pipeline × metric) cells (raw/SOS p = 0.400, corrected/SOS p = 0.4065, raw/POS p = 0.2293, corrected/POS p = 0.2293, raw/EOS p = 0.2047, corrected/EOS p = 0.2035) — consistent with the small-G underpowering result documented in §3.7.5 and the MDE table (Table S6); (ii) the in-space donor-swap permutation (Table S7) isolates the real τ̂ in the extreme tail of 56 reassignments only for the EOS cells (p_perm = 0.018 in both raw and corrected EOS, the design floor); the SOS and POS placebo distributions are wide and the real τ̂ does not separate; (iii) the leave-one-out jackknife shows no LOO sign flips for SOS/POS in either pipeline; EOS exhibits expected sign flips in the n = 44 panel and is reported as leverage-class; (iv) Bulbul transferability (Table S3) is supported with 4/4 paddy-dominant probe districts inside the 95 % PI (3/4 within ±20 d of the trained τ̂_corrected_SOS; (v) the in-time single-shift placebo recovers τ̂_pseudo = −76.5 d, far from the headline +15.1 d and in the expected sign-reversed direction when the cyclone window is moved off the real landfall years.</w:t>
      </w:r>
    </w:p>
    <w:p>
      <w:pPr>
        <w:pStyle w:val="BodyText"/>
      </w:pPr>
      <w:r>
        <w:rPr>
          <w:b/>
          <w:bCs/>
        </w:rPr>
        <w:t xml:space="preserve">Out-of-sample transferability (Cyclone Bulbul; Note S1, Table S3).</w:t>
      </w:r>
      <w:r>
        <w:t xml:space="preserve"> </w:t>
      </w:r>
      <w:r>
        <w:t xml:space="preserve">Applying the v2.1 corrected-SOS DiD coefficient as a plug-in prediction to the six pre-registered Bulbul probe districts (Odisha; November 2019) yields the following result. Probe SOS was retrieved from Sentinel-2 L2A monthly-NDVI district means via the Microsoft Planetary Computer STAC API (anonymous access; double-logistic fit with 30 %-amplitude threshold fallback in cloud-affected series). Two districts — Mayurbhanj (April-baseline NDVI 0.60–0.62, Similipal forest) and Kandhamal (0.41–0.52, Eastern Ghats) — were excluded as forest-dominated AOIs on the pre-specified April-baseline NDVI &gt; 0.40 rule. The four paddy-dominant probe districts yielded observed Bulbul SOS shifts of Boudh +7.0 d, Ganjam +14.0 d, Khordha +37.6 d, and Nayagarh +28.1 d, with per-district residuals against the trained τ̂_corrected_SOS = +15.108 d of −8.11 d, −1.11 d, +22.49 d, and +12.99 d respectively (mean residual +6.56 d; range [−8.11, +22.49]). All 4 of 4 paddy probes lie inside the empirical 95 % prediction interval [−36.57, +66.78] d derived from the empirical idiosyncratic SD across the four paddy-dominant probe-district pre-period (2017–2018) SOS baselines (σ_idio = 19.88 d) — a falsifiable PASS verdict for the pre-registered transferability test (Note S1 §S1.4). The sign and magnitude of the mean residual are consistent with the trained v2.1 ATT being a</w:t>
      </w:r>
      <w:r>
        <w:t xml:space="preserve"> </w:t>
      </w:r>
      <w:r>
        <w:rPr>
          <w:i/>
          <w:iCs/>
        </w:rPr>
        <w:t xml:space="preserve">lower bound</w:t>
      </w:r>
      <w:r>
        <w:t xml:space="preserve"> </w:t>
      </w:r>
      <w:r>
        <w:t xml:space="preserve">on the SOS delay in the more cyclone-exposed coastal probes (Khordha, Nayagarh), whose 2020 phenologies absorb both the residual 2019 Bulbul rainfall signature and the early 2020 Amphan landfall (May 20). Bulbul never enters the panel that identifies τ; this analysis is genuinely out-of-sample and is reported as a falsifiability check (Note S1; Table S3).</w:t>
      </w:r>
    </w:p>
    <w:bookmarkEnd w:id="51"/>
    <w:bookmarkStart w:id="52" w:name="multi-source-validation"/>
    <w:p>
      <w:pPr>
        <w:pStyle w:val="Heading3"/>
      </w:pPr>
      <w:r>
        <w:t xml:space="preserve">4.5 Multi-Source Validation</w:t>
      </w:r>
    </w:p>
    <w:p>
      <w:pPr>
        <w:pStyle w:val="FirstParagraph"/>
      </w:pPr>
      <w:r>
        <w:rPr>
          <w:b/>
          <w:bCs/>
        </w:rPr>
        <w:t xml:space="preserve">Against MODIS MCD12Q2.</w:t>
      </w:r>
      <w:r>
        <w:t xml:space="preserve"> </w:t>
      </w:r>
      <w:r>
        <w:t xml:space="preserve">Because the v2.1 correction shifts district-year SOS by at most 1.01 d at the cell level (mean |Δ| over the 13 SOS-perturbed cells = 0.245 ± 0.272 d; over all 64 panel cells the mean is necessarily smaller because 51 cells receive no correction),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six treatment cells with flood_share &gt; 1 % (Cuttack 2019, Puri 2019, Jagatsinghpur 2020, Jagatsinghpur 2021, Kendrapara 2021, Bhadrak 2021). The small magnitude of the v2.1 correction relative to MCD12Q2’s MOD09Q1-based 8-day reflectance-input window (Friedl et al., 2010; Gray et al., 2019) means the corrected SOS estimates remain within the pre-registered ≤10-day MAE acceptance band.</w:t>
      </w:r>
    </w:p>
    <w:p>
      <w:pPr>
        <w:pStyle w:val="BodyText"/>
      </w:pPr>
      <w:r>
        <w:rPr>
          <w:b/>
          <w:bCs/>
        </w:rPr>
        <w:t xml:space="preserve">Against ICRISAT VDSA Bhadrak.</w:t>
      </w:r>
      <w:r>
        <w:t xml:space="preserve"> </w:t>
      </w:r>
      <w:r>
        <w:t xml:space="preserve">Bhadrak is the treatment district that carries the largest single-cell v2.1 correction (Yaas 2021, flood_share 7.21 %) and is also the only one of the five coastal treatment districts with a VDSA village-panel ground-truth. Bulbul (November 2019) is not in the Odisha estimation panel — it enters only as the out-of-sample West Bengal transferability probe (§3.7.2, Table S3) — so the only Bhadrak treatment cells subject to v2.1 correction are Amphan 2020 (f = 0.79 %) and Yaas 2021 (f = 7.21 %). The corrected SOS series shifts by 0.11 d in Bhadrak/Amphan and by 1.01 d in Bhadrak/Yaas; the POS series shifts by 0.05 d and 0.50 d respectively. Both shifts sit well within the ±5-day inter-village variance of VDSA-reported transplanting dates, so the corrected Bhadrak SOS series remains within the VDSA envelope reported in §3.7; no significant degradation or improvement against VDSA is claimed.</w:t>
      </w:r>
    </w:p>
    <w:p>
      <w:pPr>
        <w:pStyle w:val="BodyText"/>
      </w:pPr>
      <w:r>
        <w:rPr>
          <w:b/>
          <w:bCs/>
        </w:rPr>
        <w:t xml:space="preserve">District yield-anomaly cross-check.</w:t>
      </w:r>
      <w:r>
        <w:t xml:space="preserve"> </w:t>
      </w:r>
      <w:r>
        <w:t xml:space="preserve">Pearson correlations between v2.1 corrected SOS anomalies and district Kharif yield anomalies are within the ± 0.02 envelope of the v1 raw-series correlations reported in §3.7 — expected, given that the maximum v2.1 SOS shift (Bhadrak/Yaas 2021, −1.01 d) is well below the 16-day compositing quantum of the underlying MOD13Q1 phenology series and the ≈10-day effective revisit of the Sentinel-2 monthly composites. We therefore do not claim that the v2.1 correction</w:t>
      </w:r>
      <w:r>
        <w:t xml:space="preserve"> </w:t>
      </w:r>
      <w:r>
        <w:rPr>
          <w:i/>
          <w:iCs/>
        </w:rPr>
        <w:t xml:space="preserve">strengthens</w:t>
      </w:r>
      <w:r>
        <w:t xml:space="preserve"> </w:t>
      </w:r>
      <w:r>
        <w:t xml:space="preserve">the yield-coupling correlation; rather, the v2.1 correction</w:t>
      </w:r>
      <w:r>
        <w:t xml:space="preserve"> </w:t>
      </w:r>
      <w:r>
        <w:rPr>
          <w:i/>
          <w:iCs/>
        </w:rPr>
        <w:t xml:space="preserve">does not damage</w:t>
      </w:r>
      <w:r>
        <w:t xml:space="preserve"> </w:t>
      </w:r>
      <w:r>
        <w:t xml:space="preserve">the v1 yield-coupling result — consistent with the small-correction empirical finding.</w:t>
      </w:r>
    </w:p>
    <w:bookmarkEnd w:id="52"/>
    <w:bookmarkStart w:id="53" w:name="transferability-to-andhra-pradesh"/>
    <w:p>
      <w:pPr>
        <w:pStyle w:val="Heading3"/>
      </w:pPr>
      <w:r>
        <w:t xml:space="preserve">4.6 Transferability to Andhra Pradesh</w:t>
      </w:r>
    </w:p>
    <w:p>
      <w:pPr>
        <w:pStyle w:val="FirstParagraph"/>
      </w:pPr>
      <w: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additional manual training labels are required to extend to Hudhud — the automated multi-source reference set used to train the v0.3.0 classifier (§2.4) is reused, and the Hudhud-specific Sentinel-1 change-detection labels are generated by the same automated UN-SPIDER (2019) pre/post pipeline used for Amphan and Yaas. The v1.0.1-submission release documents the classifier-and-correction methodology in a transferable form (scripts/transfer_to_hudhud_panel.py + gee/13_hudhud_sar_change.js, both in the v1.0.1-submission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3"/>
    <w:bookmarkStart w:id="54" w:name="pixel-level-uncertainty-maps"/>
    <w:p>
      <w:pPr>
        <w:pStyle w:val="Heading3"/>
      </w:pPr>
      <w:r>
        <w:t xml:space="preserve">4.7 Pixel-Level Uncertainty Maps</w:t>
      </w:r>
    </w:p>
    <w:p>
      <w:pPr>
        <w:pStyle w:val="FirstParagraph"/>
      </w:pPr>
      <w:r>
        <w:t xml:space="preserve">Pixel-level bootstrap 95% confidence intervals for the corrected SOS dates are released as GeoTIFFs in the Mendeley deposit (DOI 10.17632/z3zxk4xy3c.1) and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bounded by the 0.245 ± 0.272-day across-cell mean (n = 13 perturbed cells) and the 1.01-day single-cell maximum (Bhadrak/Yaas 2021), both of which fall well below the 16-day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w:t>
      </w:r>
    </w:p>
    <w:p>
      <w:r>
        <w:pict>
          <v:rect style="width:0;height:1.5pt" o:hralign="center" o:hrstd="t" o:hr="t"/>
        </w:pict>
      </w:r>
    </w:p>
    <w:bookmarkEnd w:id="54"/>
    <w:bookmarkEnd w:id="55"/>
    <w:bookmarkStart w:id="61" w:name="discussion"/>
    <w:p>
      <w:pPr>
        <w:pStyle w:val="Heading2"/>
      </w:pPr>
      <w:r>
        <w:t xml:space="preserve">5. Discussion</w:t>
      </w:r>
    </w:p>
    <w:bookmarkStart w:id="56" w:name="X413039ce8929f692f4677f6755de7c428e81743"/>
    <w:p>
      <w:pPr>
        <w:pStyle w:val="Heading3"/>
      </w:pPr>
      <w:r>
        <w:t xml:space="preserve">5.1 The Cyclone-Flood Confound is Real and Consequential</w:t>
      </w:r>
    </w:p>
    <w:p>
      <w:pPr>
        <w:pStyle w:val="BodyText"/>
      </w:pPr>
      <w: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The v2.1 classifier-corrected pipeline attenuates the raw SOS DiD coefficient from +15.289 d to +15.108 d (Δτ̂ = −0.181 d, 1.2 % attenuation; CR1 SE 17.31; WCR 95 % CI inclusive of zero) — a directionally pre-registered attenuation that is small in magnitude relative to the MDE at G = 8 clusters and is therefore interpreted as indicative of the cyclone-flood confound rather than as a confirmatory effect size.</w:t>
      </w:r>
    </w:p>
    <w:p>
      <w:pPr>
        <w:pStyle w:val="BodyText"/>
      </w:pPr>
      <w:r>
        <w:t xml:space="preserve">The v2.1 correction framework shifts the district-aggregated SOS DiD coefficient from +15.289 d (raw) to +15.108 d (corrected) — a Δτ̂ = −0.181 d (1.2 %) attenuation in cyclone-treated district-years, whilst introducing measurable but small shifts in control-district cells (raw-vs-corrected SOS mean |Δ| over all 64 district-year cells = 0.245 ± 0.272 d; maximum 1.01 d in Bhadrak 2021 under Yaas). The attenuation is directionally consistent with the pre-registered prediction τ̂_raw &gt; τ̂_corrected &gt; 0 but is small in magnitude relative to the MDE at G = 8 clusters (Table S6); the headline τ̂_corrected_SOS = +15.108 d should therefore be interpreted as indicative rather than confirmatory pending the larger-panel TIMESAT replication registered at github.com/pandasupranab/RiceBaCI-GEE/tree/feature/reviewer-revision (§5.4).</w:t>
      </w:r>
    </w:p>
    <w:bookmarkEnd w:id="56"/>
    <w:bookmarkStart w:id="57" w:name="X74ae85da50ab575e61e2fa3e4a1dc08c2fca7a6"/>
    <w:p>
      <w:pPr>
        <w:pStyle w:val="Heading3"/>
      </w:pPr>
      <w:r>
        <w:t xml:space="preserve">5.2 Comparison with Prior SAR Rice Phenology Work</w:t>
      </w:r>
    </w:p>
    <w:p>
      <w:pPr>
        <w:pStyle w:val="FirstParagraph"/>
      </w:pPr>
      <w: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 which conditions on ERA5 3-day maximum wind, JRC GSW water permanence, and the optical-water signals (NDWI maximum, LSWI minimum) alongside the SAR ΔVH/ΔCR/VV-minimum signature, and which is gated to the cyclone-event window selected from IBTrACS landfall records — provides a principled approach to discriminating between the two sources of backscatter troughs that a single-feature SPRI-type index cannot resolve.</w:t>
      </w:r>
    </w:p>
    <w:bookmarkEnd w:id="57"/>
    <w:bookmarkStart w:id="58" w:name="X72215c8a120334e2e19e38b920d16c858c508c1"/>
    <w:p>
      <w:pPr>
        <w:pStyle w:val="Heading3"/>
      </w:pPr>
      <w:r>
        <w:t xml:space="preserve">5.3 Implications for Climate-Vulnerability Assessment</w:t>
      </w:r>
    </w:p>
    <w:p>
      <w:pPr>
        <w:pStyle w:val="FirstParagraph"/>
      </w:pPr>
      <w: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b/>
          <w:bCs/>
        </w:rPr>
        <w:t xml:space="preserve">Parametric crop insurance:</w:t>
      </w:r>
      <w:r>
        <w:t xml:space="preserve"> </w:t>
      </w:r>
      <w: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b/>
          <w:bCs/>
        </w:rPr>
        <w:t xml:space="preserve">Crop model data assimilation:</w:t>
      </w:r>
      <w:r>
        <w:t xml:space="preserve"> </w:t>
      </w:r>
      <w: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8"/>
    <w:bookmarkStart w:id="59" w:name="limitations"/>
    <w:p>
      <w:pPr>
        <w:pStyle w:val="Heading3"/>
      </w:pPr>
      <w:r>
        <w:t xml:space="preserve">5.4 Limitations</w:t>
      </w:r>
    </w:p>
    <w:p>
      <w:pPr>
        <w:pStyle w:val="FirstParagraph"/>
      </w:pPr>
      <w:r>
        <w:t xml:space="preserve">Several limitations of this study warrant acknowledgement. First, validation relies on multiple independent open-data sources (MCD12Q2, ICRISAT VDSA, FAO–GIEWS calendars, district yield records) rather than dense in-situ BBCH observations, which are unsafe and impractical to collect during cyclone events. This design maximises reproducibility but cannot match the pixel density of a dedicated agrometeorological network; integration with institutional ground data, where collaborative access permits, is treated as a complementary line of work. Second, the n = 480 reference-label set used to train the v0.3.0 saline-flood classifier is derived from automated multi-source provenance (Copernicus EMS EMSR357 for Fani; UN-SPIDER (2019) Sentinel-1 pre/post change-detection for Amphan and Yaas; Sentinel-1∩WorldCover∩JRC mask for agronomic-flood negatives; §2.4) rather than from analyst visual interpretation. The originally pre-registered PlanetScope NICFI pathway (OSF c4mp8 §E5; KSAT TFO access restricted to forest-domain users, 2026-05-06) was replaced by the automated route because it is fully reproducible from public products, independent of analyst judgement, and SHA-256-pinned in the Mendeley deposit. The principal cost is that cyclone-flood positives inherit the ≈10 m EMSR357 geolocation tolerance and the −3 dB Sentinel-1 change-detection threshold (UN-SPIDER, 2019), which can miss thin surge-channel features, and agronomic-flood negatives inherit the JRC mask’s under-detection of small bunded paddy patches. Both biases are conservative — they depress classifier OA by design, so OA = 0.844 SAR-only is a lower bound on true performance. Third, the GEE prototype uses a 3×3 boxcar focal-mean for Sentinel-1 despeckling in Module 01; production modules apply the refined Lee sigma filter (noted in code comments), and the inconsistency could affect reproducibility of early exploratory results. Fourth, although the classifier exceeds the pre-registered OA ≥ 0.88 / F1 ≥ 0.85 thresholds on the Odisha study area and shows promising transfer to Andhra Pradesh, its applicability to other cyclone-exposed deltas (Irrawaddy, Mekong, Ganges–Brahmaputra–Meghna) is untested; extension to other ocean basins would require ingesting equivalent track data in place of IBTrACS North Indian Ocean. Fifth, panicle initiation (PI) — the most critical sub-stage for saline-stress yield loss — is treated as exploratory using red-edge features (CIre, B5/B7 ratio) and is not claimed as a confirmatory contribution.</w:t>
      </w:r>
    </w:p>
    <w:p>
      <w:pPr>
        <w:pStyle w:val="FirstParagraph"/>
      </w:pPr>
      <w:r>
        <w:t xml:space="preserve">Sixth, and most consequential, the double-logistic curve-fitting algorithm in Module 04 exhibits a quantisation pattern in a non-trivial fraction of district-year cells. Diagnostic re-inspection of the 64-cell SOS/POS and 44-cell EOS panels revealed that fitted phenometrics cluster at fixed DOYs (notably 135, 258, 288, 319, 349–350) in cells where the underlying NDVI trajectory lacks a well-resolved Kharif trough. Against literature-anchored biological ranges (SOS 160–220, POS 240–280, EOS 290–330; Singha et al., 2019; Sakamoto et al., 2005; Gray et al., 2019; FAO-GIEWS; IRRI Sali-rice envelope), implausible values occur in ≈45 % of SOS, ≈98 % of POS, and 100 % of EOS cells. This is the signature of the Beck et al. (2006) double-logistic optimiser snapping to fixed positions when the four-parameter fit cannot identify the true transplanting trough — a known limitation on tropical multi-cropped pixels (Atkinson et al., 2012; Cao et al., 2015). Sentinel-1B failure (December 2021), which halved SAR revisit in 2022–2023 Kharif, and the COVID-19 lockdown overlap with Cyclones Amphan (May 2020) and Yaas (May 2021) both contributed to degenerate fits in cyclone-treated cells. Consequently, the reported corrected_SOS DiD coefficient τ̂ = +15.108 d is indicative rather than confirmatory: the 95 % wild-cluster bootstrap CI brackets zero (WCR p = 0.4065), the leave-one-out jackknife flags `leverage` (Table S5), and a panel-restricted sensitivity dropping all literature-implausible cells (Supplement S11.4, n = 16) returns τ̂ = +62.96 d, p = 0.0075, CI [−18, +145] — reported as a robustness diagnostic, not an alternative headline. The principal evidentiary load of this study therefore rests on (a) the mechanism-level demonstration that cyclone-induced saline inundation produces a SAR backscatter signature observationally indistinguishable from agronomic flooding (§4.2; Figure S2), (b) the saline-flood classifier itself (§4.1; OA = 0.844 SAR-only / 0.990 full-feature), and (c) the per-district pixel-share bound on cyclone-affected rice area (§4.6; Table 1). The phenometric DiD estimates in §4.4 are reported as a falsifiable test of the pre-registered hypothesis τ_raw &gt; τ_corrected &gt; 0, with the absolute magnitude treated as uncertain; confirmation against TIMESAT (Jönsson &amp; Eklundh, 2004) or MCD12Q2 v6.1 (Gray et al., 2019) is a priority for follow-up, and a Module 04 re-implementation with TIMESAT and asymmetric Gaussian alternatives is registered on the `feature/reviewer-revision` branch.</w:t>
      </w:r>
    </w:p>
    <w:bookmarkEnd w:id="59"/>
    <w:bookmarkStart w:id="60" w:name="future-work"/>
    <w:p>
      <w:pPr>
        <w:pStyle w:val="Heading3"/>
      </w:pPr>
      <w:r>
        <w:t xml:space="preserve">5.5 Future Work</w:t>
      </w:r>
    </w:p>
    <w:p>
      <w:pPr>
        <w:pStyle w:val="FirstParagraph"/>
      </w:pPr>
      <w:r>
        <w:t xml:space="preserve">Four directions follow from the present findings. First, classifying rice establishment method (transplanted puddled rice vs. direct-seeded rice; Fikriyah et al., 2019) is a logical extension of the saline-flood classifier, since the two methods produce distinct backscatter dynamics around transplanting/germination — important as Odisha shifts from TPR to DSR under labour and climate pressures. Second, panicle-initiation detection from the Sentinel-2 red-edge CIre index (Jha et al., 2025) would complete the pixel-level phenological calendar from transplanting to maturity and enable calculation of cyclone-induced grain-filling reductions. Third, coupling the corrected products with DSSAT or ORYZA2000 (Mohite et al., 2019; Manikandan et al., 2025) would propagate pixel-level bootstrap CIs into yield-loss distributions. Fourth, systematic application of RiceBaCI-GEE to other cyclone-exposed Asian deltas (Irrawaddy, Mekong, Ganges–Brahmaputra–Meghna, Red River, Chao Phraya) would yield the first multi-delta inventory of cyclone-induced SAR phenology bias and the evidence base for a community best-practice recommendation.</w:t>
      </w:r>
    </w:p>
    <w:p>
      <w:r>
        <w:pict>
          <v:rect style="width:0;height:1.5pt" o:hralign="center" o:hrstd="t" o:hr="t"/>
        </w:pict>
      </w:r>
    </w:p>
    <w:bookmarkStart w:id="62" w:name="conclusions"/>
    <w:p>
      <w:pPr>
        <w:pStyle w:val="Heading2"/>
      </w:pPr>
      <w:r>
        <w:t xml:space="preserve">6. Conclusions</w:t>
      </w:r>
    </w:p>
    <w:p>
      <w:pPr>
        <w:pStyle w:val="FirstParagraph"/>
      </w:pPr>
      <w:r>
        <w:t xml:space="preserve">We present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from storm-surge inundation is observationally indistinguishable from the transplanting trough on which all published rice phenology algorithms depend. Failure to correct this confound introduces systematic SOS, POS, and EOS errors in cyclone years exceeding normal interannual variability, generating misleading climate-impact inferences in precisely the most cyclone-stressed districts.</w:t>
      </w:r>
    </w:p>
    <w:p>
      <w:pPr>
        <w:pStyle w:val="BodyText"/>
      </w:pPr>
      <w: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A reproducible transferability protocol was exercised over coastal Andhra Pradesh (Cyclone Hudhud 2014) using the same automated multi-source reference workflow; the run is released as a code-and-data deliverable rather than a confirmatory validation, since the 2014 landfall predates the Sentinel-1 archive used for cyclone-flood reference labels (Section 3.7). All GEE code, processed phenological rasters, and validation reference data are openly archived, supporting adoption by the remote sensing community and integration into crop-insurance and crop-model assimilation pipelines for the world’s most cyclone-exposed rice regions.</w:t>
      </w:r>
    </w:p>
    <w:p>
      <w:r>
        <w:pict>
          <v:rect style="width:0;height:1.5pt" o:hralign="center" o:hrstd="t" o:hr="t"/>
        </w:pict>
      </w:r>
    </w:p>
    <w:bookmarkEnd w:id="62"/>
    <w:bookmarkStart w:id="63" w:name="credit-author-contribution-statement"/>
    <w:p>
      <w:pPr>
        <w:pStyle w:val="Heading2"/>
      </w:pPr>
      <w:r>
        <w:t xml:space="preserve">CRediT Author Contribution Statement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Contribution (CRediT taxonomy)</w:t>
            </w:r>
          </w:p>
        </w:tc>
        <w:tc>
          <w:tcPr/>
          <w:p>
            <w:pPr>
              <w:pStyle w:val="Compact"/>
              <w:jc w:val="left"/>
            </w:pPr>
            <w:r>
              <w:t xml:space="preserve">Supranab Panda</w:t>
            </w:r>
          </w:p>
        </w:tc>
        <w:tc>
          <w:tcPr/>
          <w:p>
            <w:pPr>
              <w:pStyle w:val="Compact"/>
              <w:jc w:val="left"/>
            </w:pPr>
            <w:r>
              <w:t xml:space="preserve">Sarat Chandra Sahu</w:t>
            </w:r>
          </w:p>
        </w:tc>
      </w:tr>
      <w:tr>
        <w:tc>
          <w:tcPr/>
          <w:p>
            <w:pPr>
              <w:pStyle w:val="Compact"/>
              <w:jc w:val="left"/>
            </w:pPr>
            <w:r>
              <w:t xml:space="preserve">Conceptualisation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Software (GEE code, Python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Resources</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Visualisation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Lead</w:t>
            </w:r>
          </w:p>
        </w:tc>
      </w:tr>
    </w:tbl>
    <w:p>
      <w:pPr>
        <w:pStyle w:val="BodyText"/>
      </w:pPr>
      <w:r>
        <w:rPr>
          <w:i/>
          <w:iCs/>
        </w:rPr>
        <w:t xml:space="preserve">Author affiliations and full contact details are listed in the title block; additional contributors, if any, will be reflected in this matrix prior to journal submission.</w:t>
      </w:r>
    </w:p>
    <w:p>
      <w:r>
        <w:pict>
          <v:rect style="width:0;height:1.5pt" o:hralign="center" o:hrstd="t" o:hr="t"/>
        </w:pict>
      </w:r>
    </w:p>
    <w:bookmarkEnd w:id="63"/>
    <w:bookmarkStart w:id="64" w:name="declaration-of-competing-interests"/>
    <w:p>
      <w:pPr>
        <w:pStyle w:val="Heading2"/>
      </w:pPr>
      <w:r>
        <w:t xml:space="preserve">Declaration of Competing Interests</w:t>
      </w:r>
    </w:p>
    <w:p>
      <w:pPr>
        <w:pStyle w:val="FirstParagraph"/>
      </w:pPr>
      <w:r>
        <w:t xml:space="preserve">The authors declare that they have no known competing financial interests or personal relationships that could have appeared to influence the work reported in this paper.</w:t>
      </w:r>
    </w:p>
    <w:p>
      <w:r>
        <w:pict>
          <v:rect style="width:0;height:1.5pt" o:hralign="center" o:hrstd="t" o:hr="t"/>
        </w:pict>
      </w:r>
    </w:p>
    <w:bookmarkEnd w:id="64"/>
    <w:bookmarkStart w:id="65"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pict>
          <v:rect style="width:0;height:1.5pt" o:hralign="center" o:hrstd="t" o:hr="t"/>
        </w:pict>
      </w:r>
    </w:p>
    <w:bookmarkEnd w:id="65"/>
    <w:bookmarkStart w:id="66" w:name="funding"/>
    <w:p>
      <w:pPr>
        <w:pStyle w:val="Heading2"/>
      </w:pPr>
      <w:r>
        <w:t xml:space="preserve">Funding</w:t>
      </w:r>
    </w:p>
    <w:p>
      <w:pPr>
        <w:pStyle w:val="FirstParagraph"/>
      </w:pPr>
      <w:r>
        <w:t xml:space="preserve">This research did not receive any specific grant from funding agencies in the public, commercial, or not-for-profit sectors.</w:t>
      </w:r>
    </w:p>
    <w:p>
      <w:pPr>
        <w:pStyle w:val="BodyText"/>
      </w:pPr>
      <w:r>
        <w:rPr>
          <w:i/>
          <w:iCs/>
        </w:rPr>
        <w:t xml:space="preserve">[Note to author: update this statement if funding is received. Standard Elsevier funder acknowledgement with grant numbers should be added here prior to submission.]</w:t>
      </w:r>
    </w:p>
    <w:p>
      <w:r>
        <w:pict>
          <v:rect style="width:0;height:1.5pt" o:hralign="center" o:hrstd="t" o:hr="t"/>
        </w:pict>
      </w:r>
    </w:p>
    <w:bookmarkEnd w:id="66"/>
    <w:bookmarkStart w:id="73" w:name="data-availability-statement"/>
    <w:p>
      <w:pPr>
        <w:pStyle w:val="Heading2"/>
      </w:pPr>
      <w:r>
        <w:t xml:space="preserve">Data Availability Statement</w:t>
      </w:r>
    </w:p>
    <w:p>
      <w:pPr>
        <w:pStyle w:val="FirstParagraph"/>
      </w:pPr>
      <w:r>
        <w:t xml:space="preserve">The processed corrected and uncorrected Sentinel-1/2 Kharif rice phenological date rasters (SOS, POS, EOS, correction bias Δ</w:t>
      </w:r>
      <w:r>
        <w:rPr>
          <w:i/>
          <w:iCs/>
        </w:rPr>
        <w:t xml:space="preserve">D</w:t>
      </w:r>
      <w:r>
        <w:t xml:space="preserve">, bootstrap 95% confidence intervals) for all five coastal Odisha districts and eight Kharif seasons (2017–2024), together with the district BACI panel (n = 384), the saline-flood classifier label set (n = 480), the RF model card v0.3.0, and SHA256 checksums, are deposited at Mendeley Data under Creative Commons Attribution 4.0 licence (DOI:</w:t>
      </w:r>
      <w:r>
        <w:t xml:space="preserve"> </w:t>
      </w:r>
      <w:hyperlink r:id="rId45">
        <w:r>
          <w:rPr>
            <w:rStyle w:val="Hyperlink"/>
          </w:rPr>
          <w:t xml:space="preserve">10.17632/z3zxk4xy3c.1</w:t>
        </w:r>
      </w:hyperlink>
      <w:r>
        <w:t xml:space="preserve">). All Google Earth Engine JavaScript processing code and Python statistical analysis scripts are publicly available at</w:t>
      </w:r>
      <w:r>
        <w:t xml:space="preserve"> </w:t>
      </w:r>
      <w:hyperlink r:id="rId67">
        <w:r>
          <w:rPr>
            <w:rStyle w:val="Hyperlink"/>
          </w:rPr>
          <w:t xml:space="preserve">https://github.com/pandasupranab/RiceBaCI-GEE</w:t>
        </w:r>
      </w:hyperlink>
      <w:r>
        <w:t xml:space="preserve"> </w:t>
      </w:r>
      <w:r>
        <w:t xml:space="preserve">under an MIT licence; tagged source-code releases corresponding to the pre-registration (v0.1.0-prereg) and successive submission snapshots are permanently archived on Zenodo (concept DOI:</w:t>
      </w:r>
      <w:r>
        <w:t xml:space="preserve"> </w:t>
      </w:r>
      <w:hyperlink r:id="rId68">
        <w:r>
          <w:rPr>
            <w:rStyle w:val="Hyperlink"/>
          </w:rPr>
          <w:t xml:space="preserve">10.5281/zenodo.20024578</w:t>
        </w:r>
      </w:hyperlink>
      <w:r>
        <w:t xml:space="preserve">; v0.1.1-prereg DOI:</w:t>
      </w:r>
      <w:r>
        <w:t xml:space="preserve"> </w:t>
      </w:r>
      <w:hyperlink r:id="rId69">
        <w:r>
          <w:rPr>
            <w:rStyle w:val="Hyperlink"/>
          </w:rPr>
          <w:t xml:space="preserve">10.5281/zenodo.20024579</w:t>
        </w:r>
      </w:hyperlink>
      <w:r>
        <w:t xml:space="preserve">; v1.0.0-submission DOI:</w:t>
      </w:r>
      <w:r>
        <w:t xml:space="preserve"> </w:t>
      </w:r>
      <w:hyperlink r:id="rId70">
        <w:r>
          <w:rPr>
            <w:rStyle w:val="Hyperlink"/>
          </w:rPr>
          <w:t xml:space="preserve">10.5281/zenodo.20585636</w:t>
        </w:r>
      </w:hyperlink>
      <w:r>
        <w:t xml:space="preserve">; v1.0.1-submission DOI:</w:t>
      </w:r>
      <w:r>
        <w:t xml:space="preserve"> </w:t>
      </w:r>
      <w:hyperlink r:id="rId71">
        <w:r>
          <w:rPr>
            <w:rStyle w:val="Hyperlink"/>
          </w:rPr>
          <w:t xml:space="preserve">10.5281/zenodo.20587316</w:t>
        </w:r>
      </w:hyperlink>
      <w:r>
        <w:t xml:space="preserve">). The study pre-registration, including all pre-specified hypotheses, analysis decisions, and inference criteria, is available at</w:t>
      </w:r>
      <w:r>
        <w:t xml:space="preserve"> </w:t>
      </w:r>
      <w:hyperlink r:id="rId72">
        <w:r>
          <w:rPr>
            <w:rStyle w:val="Hyperlink"/>
          </w:rPr>
          <w:t xml:space="preserve">https://osf.io/c4mp8</w:t>
        </w:r>
      </w:hyperlink>
      <w:r>
        <w:t xml:space="preserve"> </w:t>
      </w:r>
      <w:r>
        <w:t xml:space="preserve">(DOI: 10.17605/OSF.IO/C4MP8). All n = 480 classifier reference labels (Copernicus EMS EMSR357 cyclone-flood points for Fani; UN-SPIDER (2019) Sentinel-1 pre/post change-detection points for Amphan and Yaas; Sentinel-1∩WorldCover∩JRC agronomic-flood points), together with coordinates, dates, cyclone-event provenance fields, and SHA-256 checksums, are openly redistributable and are included in full in the Mendeley Data record (</w:t>
      </w:r>
      <w:r>
        <w:rPr>
          <w:rStyle w:val="VerbatimChar"/>
        </w:rPr>
        <w:t xml:space="preserve">labels_panel_n480.csv</w:t>
      </w:r>
      <w:r>
        <w:t xml:space="preserve">,</w:t>
      </w:r>
      <w:r>
        <w:t xml:space="preserve"> </w:t>
      </w:r>
      <w:r>
        <w:rPr>
          <w:rStyle w:val="VerbatimChar"/>
        </w:rPr>
        <w:t xml:space="preserve">labels_features_n480.csv</w:t>
      </w:r>
      <w:r>
        <w:t xml:space="preserve">) under CC-BY-4.0.</w:t>
      </w:r>
    </w:p>
    <w:p>
      <w:r>
        <w:pict>
          <v:rect style="width:0;height:1.5pt" o:hralign="center" o:hrstd="t" o:hr="t"/>
        </w:pict>
      </w:r>
    </w:p>
    <w:bookmarkEnd w:id="73"/>
    <w:bookmarkStart w:id="75" w:name="acknowledgements"/>
    <w:p>
      <w:pPr>
        <w:pStyle w:val="Heading2"/>
      </w:pPr>
      <w:r>
        <w:t xml:space="preserve">Acknowledgements</w:t>
      </w:r>
    </w:p>
    <w:p>
      <w:pPr>
        <w:pStyle w:val="FirstParagraph"/>
      </w:pPr>
      <w: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t xml:space="preserve"> </w:t>
      </w:r>
      <w:hyperlink r:id="rId29">
        <w:r>
          <w:rPr>
            <w:rStyle w:val="Hyperlink"/>
          </w:rPr>
          <w:t xml:space="preserve">vdsa.icrisat.org</w:t>
        </w:r>
      </w:hyperlink>
      <w:r>
        <w:t xml:space="preserve"> </w:t>
      </w:r>
      <w:r>
        <w:t xml:space="preserve">under the open-data licence of the project. District-level rice yield records were obtained from the Government of India Open Data Platform (</w:t>
      </w:r>
      <w:hyperlink r:id="rId74">
        <w:r>
          <w:rPr>
            <w:rStyle w:val="Hyperlink"/>
          </w:rPr>
          <w:t xml:space="preserve">data.gov.in</w:t>
        </w:r>
      </w:hyperlink>
      <w: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i/>
          <w:iCs/>
        </w:rPr>
        <w:t xml:space="preserve">[Note to author: add specific named acknowledgements for laboratory facilities, computing infrastructure, and any colleagues who provided informal advice or data not already cited as co-authors, prior to submission.]</w:t>
      </w:r>
    </w:p>
    <w:p>
      <w:r>
        <w:pict>
          <v:rect style="width:0;height:1.5pt" o:hralign="center" o:hrstd="t" o:hr="t"/>
        </w:pict>
      </w:r>
    </w:p>
    <w:bookmarkEnd w:id="75"/>
    <w:bookmarkStart w:id="76" w:name="references"/>
    <w:p>
      <w:pPr>
        <w:pStyle w:val="Heading2"/>
      </w:pPr>
      <w:r>
        <w:t xml:space="preserve">References</w:t>
      </w:r>
    </w:p>
    <w:p>
      <w:pPr>
        <w:pStyle w:val="FirstParagraph"/>
      </w:pPr>
      <w:r>
        <w:t xml:space="preserve">Abadie, A., Diamond, A., Hainmueller, J., 2010. Synthetic control methods for comparative case studies: estimating the effect of California’s tobacco control program.</w:t>
      </w:r>
      <w:r>
        <w:t xml:space="preserve"> </w:t>
      </w:r>
      <w:r>
        <w:rPr>
          <w:i/>
          <w:iCs/>
        </w:rPr>
        <w:t xml:space="preserve">Journal of the American Statistical Association</w:t>
      </w:r>
      <w:r>
        <w:t xml:space="preserve"> </w:t>
      </w:r>
      <w:r>
        <w:t xml:space="preserve">105, 493–505. https://doi.org/10.1198/jasa.2009.ap08746</w:t>
      </w:r>
    </w:p>
    <w:p>
      <w:pPr>
        <w:pStyle w:val="BodyText"/>
      </w:pPr>
      <w:r>
        <w:t xml:space="preserve">Afshar, M.H., Bulcock, H., Mathews, C., 2021. Parametric crop insurance basis risk analysis for Odisha rice using APSIM crop modelling.</w:t>
      </w:r>
      <w:r>
        <w:t xml:space="preserve"> </w:t>
      </w:r>
      <w:r>
        <w:rPr>
          <w:i/>
          <w:iCs/>
        </w:rPr>
        <w:t xml:space="preserve">EGU General Assembly 2021</w:t>
      </w:r>
      <w:r>
        <w:t xml:space="preserve">, EGU21-9534. https://doi.org/10.5194/EGUSPHERE-EGU21-9534</w:t>
      </w:r>
    </w:p>
    <w:p>
      <w:pPr>
        <w:pStyle w:val="BodyText"/>
      </w:pPr>
      <w:r>
        <w:t xml:space="preserve">Athey, S., Imbens, G.W., 2017. The state of applied econometrics: causality and policy evaluation.</w:t>
      </w:r>
      <w:r>
        <w:t xml:space="preserve"> </w:t>
      </w:r>
      <w:r>
        <w:rPr>
          <w:i/>
          <w:iCs/>
        </w:rPr>
        <w:t xml:space="preserve">Journal of Economic Perspectives</w:t>
      </w:r>
      <w:r>
        <w:t xml:space="preserve"> </w:t>
      </w:r>
      <w:r>
        <w:t xml:space="preserve">31, 3–32. https://doi.org/10.1257/jep.31.2.3</w:t>
      </w:r>
    </w:p>
    <w:p>
      <w:pPr>
        <w:pStyle w:val="BodyText"/>
      </w:pPr>
      <w:r>
        <w:t xml:space="preserve">Beck, P.S.A., Atzberger, C., Høgda, K.A., Johansen, B., Skidmore, A.K., 2006. Improved monitoring of vegetation dynamics at very high latitudes: a new method using MODIS NDVI.</w:t>
      </w:r>
      <w:r>
        <w:t xml:space="preserve"> </w:t>
      </w:r>
      <w:r>
        <w:rPr>
          <w:i/>
          <w:iCs/>
        </w:rPr>
        <w:t xml:space="preserve">Remote Sensing of Environment</w:t>
      </w:r>
      <w:r>
        <w:t xml:space="preserve"> </w:t>
      </w:r>
      <w:r>
        <w:t xml:space="preserve">100, 321–334. https://doi.org/10.1016/j.rse.2005.10.021</w:t>
      </w:r>
    </w:p>
    <w:p>
      <w:pPr>
        <w:pStyle w:val="BodyText"/>
      </w:pPr>
      <w:r>
        <w:t xml:space="preserve">Breiman, L., 2001. Random forests.</w:t>
      </w:r>
      <w:r>
        <w:t xml:space="preserve"> </w:t>
      </w:r>
      <w:r>
        <w:rPr>
          <w:i/>
          <w:iCs/>
        </w:rPr>
        <w:t xml:space="preserve">Machine Learning</w:t>
      </w:r>
      <w:r>
        <w:t xml:space="preserve"> </w:t>
      </w:r>
      <w:r>
        <w:t xml:space="preserve">45, 5–32. https://doi.org/10.1023/A:1010933404324</w:t>
      </w:r>
    </w:p>
    <w:p>
      <w:pPr>
        <w:pStyle w:val="BodyText"/>
      </w:pPr>
      <w:r>
        <w:t xml:space="preserve">Cameron, A.C., Gelbach, J.B., Miller, D.L., 2008. Bootstrap-based improvements for inference with clustered errors.</w:t>
      </w:r>
      <w:r>
        <w:t xml:space="preserve"> </w:t>
      </w:r>
      <w:r>
        <w:rPr>
          <w:i/>
          <w:iCs/>
        </w:rPr>
        <w:t xml:space="preserve">Review of Economics and Statistics</w:t>
      </w:r>
      <w:r>
        <w:t xml:space="preserve"> </w:t>
      </w:r>
      <w:r>
        <w:t xml:space="preserve">90, 414–427. https://doi.org/10.1162/rest.90.3.414</w:t>
      </w:r>
    </w:p>
    <w:p>
      <w:pPr>
        <w:pStyle w:val="BodyText"/>
      </w:pPr>
      <w:r>
        <w:t xml:space="preserve">Donald, S.G., Lang, K., 2007. Inference with difference-in-differences and other panel data.</w:t>
      </w:r>
      <w:r>
        <w:t xml:space="preserve"> </w:t>
      </w:r>
      <w:r>
        <w:rPr>
          <w:i/>
          <w:iCs/>
        </w:rPr>
        <w:t xml:space="preserve">Review of Economics and Statistics</w:t>
      </w:r>
      <w:r>
        <w:t xml:space="preserve"> </w:t>
      </w:r>
      <w:r>
        <w:t xml:space="preserve">89, 221–233. https://doi.org/10.1162/rest.89.2.221</w:t>
      </w:r>
    </w:p>
    <w:p>
      <w:pPr>
        <w:pStyle w:val="BodyText"/>
      </w:pPr>
      <w:r>
        <w:t xml:space="preserve">Eilers, P.H.C., 2003. A perfect smoother.</w:t>
      </w:r>
      <w:r>
        <w:t xml:space="preserve"> </w:t>
      </w:r>
      <w:r>
        <w:rPr>
          <w:i/>
          <w:iCs/>
        </w:rPr>
        <w:t xml:space="preserve">Analytical Chemistry</w:t>
      </w:r>
      <w:r>
        <w:t xml:space="preserve"> </w:t>
      </w:r>
      <w:r>
        <w:t xml:space="preserve">75, 3631–3636. https://doi.org/10.1021/ac034173t</w:t>
      </w:r>
    </w:p>
    <w:p>
      <w:pPr>
        <w:pStyle w:val="BodyText"/>
      </w:pPr>
      <w:r>
        <w:t xml:space="preserve">FAO, 2015. Global Administrative Unit Layers (GAUL), Level 2. Food and Agriculture Organization of the United Nations, Rome. https://data.apps.fao.org/catalog/dataset/gaul-2015</w:t>
      </w:r>
    </w:p>
    <w:p>
      <w:pPr>
        <w:pStyle w:val="BodyText"/>
      </w:pPr>
      <w:r>
        <w:t xml:space="preserve">Filipponi, F., 2019. Sentinel-1 GRD preprocessing workflow.</w:t>
      </w:r>
      <w:r>
        <w:t xml:space="preserve"> </w:t>
      </w:r>
      <w:r>
        <w:rPr>
          <w:i/>
          <w:iCs/>
        </w:rPr>
        <w:t xml:space="preserve">Multidisciplinary Digital Publishing Institute Proceedings</w:t>
      </w:r>
      <w:r>
        <w:t xml:space="preserve"> </w:t>
      </w:r>
      <w:r>
        <w:t xml:space="preserve">18, 11. https://doi.org/10.3390/ECRS-3-06201</w:t>
      </w:r>
    </w:p>
    <w:p>
      <w:pPr>
        <w:pStyle w:val="BodyText"/>
      </w:pPr>
      <w:r>
        <w:t xml:space="preserve">Fikriyah, V.N., Darvishzadeh, R., Laborte, A., Khan, N.I., Nelson, A., 2019. Discriminating transplanted and direct seeded rice using Sentinel-1 intensity data.</w:t>
      </w:r>
      <w:r>
        <w:t xml:space="preserve"> </w:t>
      </w:r>
      <w:r>
        <w:rPr>
          <w:i/>
          <w:iCs/>
        </w:rPr>
        <w:t xml:space="preserve">International Journal of Applied Earth Observation and Geoinformation</w:t>
      </w:r>
      <w:r>
        <w:t xml:space="preserve"> </w:t>
      </w:r>
      <w:r>
        <w:t xml:space="preserve">76, 143–153. https://doi.org/10.1016/J.JAG.2018.11.007</w:t>
      </w:r>
    </w:p>
    <w:p>
      <w:pPr>
        <w:pStyle w:val="BodyText"/>
      </w:pPr>
      <w:r>
        <w:t xml:space="preserve">Friedl, M.A., Sulla-Menashe, D., Tan, B., Schneider, A., Ramankutty, N., Sibley, A., Huang, X., 2010. MODIS Collection 5 global land cover: algorithm refinements and characterization of new datasets.</w:t>
      </w:r>
      <w:r>
        <w:t xml:space="preserve"> </w:t>
      </w:r>
      <w:r>
        <w:rPr>
          <w:i/>
          <w:iCs/>
        </w:rPr>
        <w:t xml:space="preserve">Remote Sensing of Environment</w:t>
      </w:r>
      <w:r>
        <w:t xml:space="preserve"> </w:t>
      </w:r>
      <w:r>
        <w:t xml:space="preserve">114, 168–182. https://doi.org/10.1016/j.rse.2009.08.016</w:t>
      </w:r>
    </w:p>
    <w:p>
      <w:pPr>
        <w:pStyle w:val="BodyText"/>
      </w:pPr>
      <w:r>
        <w:t xml:space="preserve">Goodman-Bacon, A., 2021. Difference-in-differences with variation in treatment timing.</w:t>
      </w:r>
      <w:r>
        <w:t xml:space="preserve"> </w:t>
      </w:r>
      <w:r>
        <w:rPr>
          <w:i/>
          <w:iCs/>
        </w:rPr>
        <w:t xml:space="preserve">Journal of Econometrics</w:t>
      </w:r>
      <w:r>
        <w:t xml:space="preserve"> </w:t>
      </w:r>
      <w:r>
        <w:t xml:space="preserve">225, 254–277. https://doi.org/10.1016/j.jeconom.2021.03.014</w:t>
      </w:r>
    </w:p>
    <w:p>
      <w:pPr>
        <w:pStyle w:val="BodyText"/>
      </w:pPr>
      <w:r>
        <w:t xml:space="preserve">Gorelick, N., Hancher, M., Dixon, M., Ilyushchenko, S., Thau, D., Moore, R., 2017. Google Earth Engine: Planetary-scale geospatial analysis for everyone.</w:t>
      </w:r>
      <w:r>
        <w:t xml:space="preserve"> </w:t>
      </w:r>
      <w:r>
        <w:rPr>
          <w:i/>
          <w:iCs/>
        </w:rPr>
        <w:t xml:space="preserve">Remote Sensing of Environment</w:t>
      </w:r>
      <w:r>
        <w:t xml:space="preserve"> </w:t>
      </w:r>
      <w:r>
        <w:t xml:space="preserve">202, 18–27. https://doi.org/10.1016/j.rse.2017.06.031</w:t>
      </w:r>
    </w:p>
    <w:p>
      <w:pPr>
        <w:pStyle w:val="BodyText"/>
      </w:pPr>
      <w:r>
        <w:t xml:space="preserve">Gray, J., Sulla-Menashe, D., Friedl, M.A., 2019.</w:t>
      </w:r>
      <w:r>
        <w:t xml:space="preserve"> </w:t>
      </w:r>
      <w:r>
        <w:rPr>
          <w:i/>
          <w:iCs/>
        </w:rPr>
        <w:t xml:space="preserve">User Guide to Collection 6 MODIS Land Cover Dynamics (MCD12Q2) Product</w:t>
      </w:r>
      <w:r>
        <w:t xml:space="preserve">, Version 6.0. NASA EOSDIS Land Processes Distributed Active Archive Center, Sioux Falls, SD. https://lpdaac.usgs.gov/documents/465/MCD12Q2_User_Guide_V6.pdf</w:t>
      </w:r>
    </w:p>
    <w:p>
      <w:pPr>
        <w:pStyle w:val="BodyText"/>
      </w:pPr>
      <w:r>
        <w:t xml:space="preserve">Hoshikawa, K., Hayashi, M., Yamamoto, T., Watanabe, R., 2023. SAR backscatter behaviour of partially inundated paddy rice: implications for waterlogged rainfed rice monitoring.</w:t>
      </w:r>
      <w:r>
        <w:t xml:space="preserve"> </w:t>
      </w:r>
      <w:r>
        <w:rPr>
          <w:i/>
          <w:iCs/>
        </w:rPr>
        <w:t xml:space="preserve">European Journal of Remote Sensing</w:t>
      </w:r>
      <w:r>
        <w:t xml:space="preserve"> </w:t>
      </w:r>
      <w:r>
        <w:t xml:space="preserve">56. https://doi.org/10.1080/22797254.2023.2269305</w:t>
      </w:r>
    </w:p>
    <w:p>
      <w:pPr>
        <w:pStyle w:val="BodyText"/>
      </w:pPr>
      <w:r>
        <w:t xml:space="preserve">Hu, Z., Zhang, H., Liang, D., Liu, M., 2023. Mapping multi-cropping paddy rice in the Yangtze River Delta with Sentinel-1/2 time series data.</w:t>
      </w:r>
      <w:r>
        <w:t xml:space="preserve"> </w:t>
      </w:r>
      <w:r>
        <w:rPr>
          <w:i/>
          <w:iCs/>
        </w:rPr>
        <w:t xml:space="preserve">Remote Sensing</w:t>
      </w:r>
      <w:r>
        <w:t xml:space="preserve"> </w:t>
      </w:r>
      <w:r>
        <w:t xml:space="preserve">15, 2794. https://doi.org/10.3390/rs15112794</w:t>
      </w:r>
    </w:p>
    <w:p>
      <w:pPr>
        <w:pStyle w:val="BodyText"/>
      </w:pPr>
      <w:r>
        <w:t xml:space="preserve">IMD, 2020.</w:t>
      </w:r>
      <w:r>
        <w:t xml:space="preserve"> </w:t>
      </w:r>
      <w:r>
        <w:rPr>
          <w:i/>
          <w:iCs/>
        </w:rPr>
        <w:t xml:space="preserve">Report on Cyclonic Disturbances over North Indian Ocean during 2020</w:t>
      </w:r>
      <w:r>
        <w:t xml:space="preserve">. India Meteorological Department, New Delhi. https://rsmcnewdelhi.imd.gov.in</w:t>
      </w:r>
    </w:p>
    <w:p>
      <w:pPr>
        <w:pStyle w:val="BodyText"/>
      </w:pPr>
      <w:r>
        <w:t xml:space="preserve">IPCC, 2022.</w:t>
      </w:r>
      <w:r>
        <w:t xml:space="preserve"> </w:t>
      </w:r>
      <w:r>
        <w:rPr>
          <w:i/>
          <w:iCs/>
        </w:rPr>
        <w:t xml:space="preserve">Climate Change 2022: Impacts, Adaptation and Vulnerability. Contribution of Working Group II to the Sixth Assessment Report of the Intergovernmental Panel on Climate Change</w:t>
      </w:r>
      <w:r>
        <w:t xml:space="preserve"> </w:t>
      </w:r>
      <w:r>
        <w:t xml:space="preserve">(H.-O. Pörtner, D.C. Roberts, M. Tignor, E.S. Poloczanska, K. Mintenbeck, A. Alegría, M. Craig, S. Langsdorf, S. Löschke, V. Möller, A. Okem, B. Rama, Eds.). Cambridge University Press. https://doi.org/10.1017/9781009325844</w:t>
      </w:r>
    </w:p>
    <w:p>
      <w:pPr>
        <w:pStyle w:val="BodyText"/>
      </w:pPr>
      <w:r>
        <w:t xml:space="preserve">Jha, P.K., Brown, B., Bellotti, W., Dreccer, M.F., 2025. Predicting rice phenology using machine learning and remote sensing for Australian temperate rice systems.</w:t>
      </w:r>
      <w:r>
        <w:t xml:space="preserve"> </w:t>
      </w:r>
      <w:r>
        <w:rPr>
          <w:i/>
          <w:iCs/>
        </w:rPr>
        <w:t xml:space="preserve">Remote Sensing</w:t>
      </w:r>
      <w:r>
        <w:t xml:space="preserve"> </w:t>
      </w:r>
      <w:r>
        <w:t xml:space="preserve">17, 3050. https://doi.org/10.3390/rs17173050</w:t>
      </w:r>
    </w:p>
    <w:p>
      <w:pPr>
        <w:pStyle w:val="BodyText"/>
      </w:pPr>
      <w:r>
        <w:t xml:space="preserve">Jönsson, P., Eklundh, L., 2004. TIMESAT — a program for analyzing time-series of satellite sensor data.</w:t>
      </w:r>
      <w:r>
        <w:t xml:space="preserve"> </w:t>
      </w:r>
      <w:r>
        <w:rPr>
          <w:i/>
          <w:iCs/>
        </w:rPr>
        <w:t xml:space="preserve">Computers and Geosciences</w:t>
      </w:r>
      <w:r>
        <w:t xml:space="preserve"> </w:t>
      </w:r>
      <w:r>
        <w:t xml:space="preserve">30, 833–845. https://doi.org/10.1016/j.cageo.2004.05.006</w:t>
      </w:r>
    </w:p>
    <w:p>
      <w:pPr>
        <w:pStyle w:val="BodyText"/>
      </w:pPr>
      <w:r>
        <w:t xml:space="preserve">Knapp, K.R., Kruk, M.C., Levinson, D.H., Diamond, H.J., Neumann, C.J., 2010. The International Best Track Archive for Climate Stewardship (IBTrACS): unifying tropical cyclone data.</w:t>
      </w:r>
      <w:r>
        <w:t xml:space="preserve"> </w:t>
      </w:r>
      <w:r>
        <w:rPr>
          <w:i/>
          <w:iCs/>
        </w:rPr>
        <w:t xml:space="preserve">Bulletin of the American Meteorological Society</w:t>
      </w:r>
      <w:r>
        <w:t xml:space="preserve"> </w:t>
      </w:r>
      <w:r>
        <w:t xml:space="preserve">91, 363–376. https://doi.org/10.1175/2009BAMS2755.1</w:t>
      </w:r>
    </w:p>
    <w:p>
      <w:pPr>
        <w:pStyle w:val="BodyText"/>
      </w:pPr>
      <w:r>
        <w:t xml:space="preserve">Konkathi, P., Shetty, A., Rawal, S., 2024. Kharif rice mapping using multi-polarisation Sentinel-1 SAR in coastal Andhra Pradesh.</w:t>
      </w:r>
      <w:r>
        <w:t xml:space="preserve"> </w:t>
      </w:r>
      <w:r>
        <w:rPr>
          <w:i/>
          <w:iCs/>
        </w:rPr>
        <w:t xml:space="preserve">Proceedings of the IGARSS 2024 IEEE International Geoscience and Remote Sensing Symposium</w:t>
      </w:r>
      <w:r>
        <w:t xml:space="preserve">, 1014–1017. https://doi.org/10.1109/InGARSS61818.2024.10984185</w:t>
      </w:r>
    </w:p>
    <w:p>
      <w:pPr>
        <w:pStyle w:val="BodyText"/>
      </w:pPr>
      <w:r>
        <w:t xml:space="preserve">Lee, J.-S., Pottier, E., 2009.</w:t>
      </w:r>
      <w:r>
        <w:t xml:space="preserve"> </w:t>
      </w:r>
      <w:r>
        <w:rPr>
          <w:i/>
          <w:iCs/>
        </w:rPr>
        <w:t xml:space="preserve">Polarimetric Radar Imaging: From Basics to Applications</w:t>
      </w:r>
      <w:r>
        <w:t xml:space="preserve">. CRC Press, Boca Raton, FL.</w:t>
      </w:r>
    </w:p>
    <w:p>
      <w:pPr>
        <w:pStyle w:val="BodyText"/>
      </w:pPr>
      <w:r>
        <w:t xml:space="preserve">Lobert, F., Löw, J., Schwieder, M., Gocht, A., Schlund, M., Hostert, P., Erasmi, S., 2024. A deep learning approach for deriving winter wheat phenology from optical and SAR time series at field level.</w:t>
      </w:r>
      <w:r>
        <w:t xml:space="preserve"> </w:t>
      </w:r>
      <w:r>
        <w:rPr>
          <w:i/>
          <w:iCs/>
        </w:rPr>
        <w:t xml:space="preserve">Remote Sensing of Environment</w:t>
      </w:r>
      <w:r>
        <w:t xml:space="preserve"> </w:t>
      </w:r>
      <w:r>
        <w:t xml:space="preserve">298, 113800. https://doi.org/10.1016/j.rse.2023.113800</w:t>
      </w:r>
    </w:p>
    <w:p>
      <w:pPr>
        <w:pStyle w:val="BodyText"/>
      </w:pPr>
      <w:r>
        <w:t xml:space="preserve">Manikandan, G., et al., 2025. Integration of Sentinel-1 SAR data with DSSAT crop model for rice yield estimation in the Cauvery Delta, Tamil Nadu.</w:t>
      </w:r>
      <w:r>
        <w:t xml:space="preserve"> </w:t>
      </w:r>
      <w:r>
        <w:rPr>
          <w:i/>
          <w:iCs/>
        </w:rPr>
        <w:t xml:space="preserve">Pharma Science Trends</w:t>
      </w:r>
      <w:r>
        <w:t xml:space="preserve"> </w:t>
      </w:r>
      <w:r>
        <w:t xml:space="preserve">[in press]. https://doi.org/10.14719/pst.7442</w:t>
      </w:r>
    </w:p>
    <w:p>
      <w:pPr>
        <w:pStyle w:val="BodyText"/>
      </w:pPr>
      <w:r>
        <w:t xml:space="preserve">Meroni, M., D’Andrimont, R., Vrieling, A., Fasbender, D., Lemoine, G., Rembold, F., Seguini, L., Verhegghen, A., 2021. Comparing land surface phenology of major European crops as derived from SAR and multispectral data of Sentinel-1 and -2.</w:t>
      </w:r>
      <w:r>
        <w:t xml:space="preserve"> </w:t>
      </w:r>
      <w:r>
        <w:rPr>
          <w:i/>
          <w:iCs/>
        </w:rPr>
        <w:t xml:space="preserve">Remote Sensing of Environment</w:t>
      </w:r>
      <w:r>
        <w:t xml:space="preserve"> </w:t>
      </w:r>
      <w:r>
        <w:t xml:space="preserve">253, 112232. https://doi.org/10.1016/j.rse.2020.112232</w:t>
      </w:r>
    </w:p>
    <w:p>
      <w:pPr>
        <w:pStyle w:val="BodyText"/>
      </w:pPr>
      <w:r>
        <w:t xml:space="preserve">Minasny, B., Fiantis, D., Mulyanto, B., Sulaeman, Y., Widyatmanti, W., 2022. A review of remote sensing for rice crop monitoring and yield estimation.</w:t>
      </w:r>
      <w:r>
        <w:t xml:space="preserve"> </w:t>
      </w:r>
      <w:r>
        <w:rPr>
          <w:i/>
          <w:iCs/>
        </w:rPr>
        <w:t xml:space="preserve">Remote Sensing</w:t>
      </w:r>
      <w:r>
        <w:t xml:space="preserve"> </w:t>
      </w:r>
      <w:r>
        <w:t xml:space="preserve">14, 1875. https://doi.org/10.3390/rs14081875</w:t>
      </w:r>
    </w:p>
    <w:p>
      <w:pPr>
        <w:pStyle w:val="BodyText"/>
      </w:pPr>
      <w:r>
        <w:t xml:space="preserve">Mohite, J.D., Sawant, S.A., Pandit, A.U., Pappula, S., 2019. Assimilation of Sentinel-1 SAR data for rice crop simulation using ORYZA model in coastal Andhra Pradesh, India.</w:t>
      </w:r>
      <w:r>
        <w:t xml:space="preserve"> </w:t>
      </w:r>
      <w:r>
        <w:rPr>
          <w:i/>
          <w:iCs/>
        </w:rPr>
        <w:t xml:space="preserve">Proceedings of the 8th International Conference on Agro-Geoinformatics</w:t>
      </w:r>
      <w:r>
        <w:t xml:space="preserve">, 1–5. https://doi.org/10.1109/Agro-Geoinformatics.2019.8820245</w:t>
      </w:r>
    </w:p>
    <w:p>
      <w:pPr>
        <w:pStyle w:val="BodyText"/>
      </w:pPr>
      <w:r>
        <w:t xml:space="preserve">Pandey, V.L., 2018.</w:t>
      </w:r>
      <w:r>
        <w:t xml:space="preserve"> </w:t>
      </w:r>
      <w:r>
        <w:rPr>
          <w:i/>
          <w:iCs/>
        </w:rPr>
        <w:t xml:space="preserve">Smallholders’ Dairy Farming and Markets: Productivity and Performance in India—ICRISAT Village Dynamics in South Asia (VDSA) Bulletin Series</w:t>
      </w:r>
      <w:r>
        <w:t xml:space="preserve">. International Crops Research Institute for the Semi-Arid Tropics (ICRISAT), Patancheru, India. http://vdsa.icrisat.org</w:t>
      </w:r>
    </w:p>
    <w:p>
      <w:pPr>
        <w:pStyle w:val="BodyText"/>
      </w:pPr>
      <w:r>
        <w:t xml:space="preserve">Pearl, J., 2009.</w:t>
      </w:r>
      <w:r>
        <w:t xml:space="preserve"> </w:t>
      </w:r>
      <w:r>
        <w:rPr>
          <w:i/>
          <w:iCs/>
        </w:rPr>
        <w:t xml:space="preserve">Causality: Models, Reasoning and Inference</w:t>
      </w:r>
      <w:r>
        <w:t xml:space="preserve">, 2nd ed. Cambridge University Press, Cambridge. https://doi.org/10.1017/CBO9780511803161</w:t>
      </w:r>
    </w:p>
    <w:p>
      <w:pPr>
        <w:pStyle w:val="BodyText"/>
      </w:pPr>
      <w:r>
        <w:t xml:space="preserve">Pham-Van, C., Pham-Duc, B., Ngo-Duc, T., Phan-Van, T., Pham-Thi, N., Frappart, F., 2020. Monitoring rice cultivation in Vietnam using remote sensing: challenges and opportunities from Sentinel data.</w:t>
      </w:r>
      <w:r>
        <w:t xml:space="preserve"> </w:t>
      </w:r>
      <w:r>
        <w:rPr>
          <w:i/>
          <w:iCs/>
        </w:rPr>
        <w:t xml:space="preserve">Remote Sensing</w:t>
      </w:r>
      <w:r>
        <w:t xml:space="preserve"> </w:t>
      </w:r>
      <w:r>
        <w:t xml:space="preserve">12, 3196. https://doi.org/10.3390/RS12193196</w:t>
      </w:r>
    </w:p>
    <w:p>
      <w:pPr>
        <w:pStyle w:val="BodyText"/>
      </w:pPr>
      <w:r>
        <w:t xml:space="preserve">Phipson, B., Smyth, G.K., 2010. Permutation P-values should never be zero: calculating exact P-values when permutations are randomly drawn.</w:t>
      </w:r>
      <w:r>
        <w:t xml:space="preserve"> </w:t>
      </w:r>
      <w:r>
        <w:rPr>
          <w:i/>
          <w:iCs/>
        </w:rPr>
        <w:t xml:space="preserve">Statistical Applications in Genetics and Molecular Biology</w:t>
      </w:r>
      <w:r>
        <w:t xml:space="preserve"> </w:t>
      </w:r>
      <w:r>
        <w:t xml:space="preserve">9, Article 39. https://doi.org/10.2202/1544-6115.1585</w:t>
      </w:r>
    </w:p>
    <w:p>
      <w:pPr>
        <w:pStyle w:val="BodyText"/>
      </w:pPr>
      <w:r>
        <w:t xml:space="preserve">R Core Team, 2024.</w:t>
      </w:r>
      <w:r>
        <w:t xml:space="preserve"> </w:t>
      </w:r>
      <w:r>
        <w:rPr>
          <w:i/>
          <w:iCs/>
        </w:rPr>
        <w:t xml:space="preserve">R: A Language and Environment for Statistical Computing</w:t>
      </w:r>
      <w:r>
        <w:t xml:space="preserve">. R Foundation for Statistical Computing, Vienna, Austria. https://www.r-project.org</w:t>
      </w:r>
    </w:p>
    <w:p>
      <w:pPr>
        <w:pStyle w:val="BodyText"/>
      </w:pPr>
      <w:r>
        <w:t xml:space="preserve">Rangasamy, A., Pande, C.B., Rajaram, R., Gopinath, G., 2025. Remote sensing-based rice crop phenology retrieval using Sentinel-1 SAR time series for Tamil Nadu coastal districts.</w:t>
      </w:r>
      <w:r>
        <w:t xml:space="preserve"> </w:t>
      </w:r>
      <w:r>
        <w:rPr>
          <w:i/>
          <w:iCs/>
        </w:rPr>
        <w:t xml:space="preserve">Scientific Reports</w:t>
      </w:r>
      <w:r>
        <w:t xml:space="preserve"> </w:t>
      </w:r>
      <w:r>
        <w:t xml:space="preserve">15. https://doi.org/10.1038/s41598-025-91655-z</w:t>
      </w:r>
    </w:p>
    <w:p>
      <w:pPr>
        <w:pStyle w:val="BodyText"/>
      </w:pPr>
      <w:r>
        <w:t xml:space="preserve">Shen, Y., Liao, X., 2025. High-frequency Sentinel-1 SAR composites for rice phenology and planting area estimation in monsoon Asia.</w:t>
      </w:r>
      <w:r>
        <w:t xml:space="preserve"> </w:t>
      </w:r>
      <w:r>
        <w:rPr>
          <w:i/>
          <w:iCs/>
        </w:rPr>
        <w:t xml:space="preserve">Remote Sensing</w:t>
      </w:r>
      <w:r>
        <w:t xml:space="preserve"> </w:t>
      </w:r>
      <w:r>
        <w:t xml:space="preserve">17, 1033. https://doi.org/10.3390/rs17061033</w:t>
      </w:r>
    </w:p>
    <w:p>
      <w:pPr>
        <w:pStyle w:val="BodyText"/>
      </w:pPr>
      <w:r>
        <w:t xml:space="preserve">Shi, R., Liu, Z., Sun, H., Zhang, G., 2024. Phenology-based rice mapping from Sentinel-1 SAR multi-orbit fusion.</w:t>
      </w:r>
      <w:r>
        <w:t xml:space="preserve"> </w:t>
      </w:r>
      <w:r>
        <w:rPr>
          <w:i/>
          <w:iCs/>
        </w:rPr>
        <w:t xml:space="preserve">ISPRS Archives</w:t>
      </w:r>
      <w:r>
        <w:t xml:space="preserve"> </w:t>
      </w:r>
      <w:r>
        <w:t xml:space="preserve">XLVIII-1-2024, 799–806. https://doi.org/10.5194/isprs-archives-XLVIII-1-2024-799-2024</w:t>
      </w:r>
    </w:p>
    <w:p>
      <w:pPr>
        <w:pStyle w:val="BodyText"/>
      </w:pPr>
      <w:r>
        <w:t xml:space="preserve">Singha, M., Dong, J., Zhang, G., Xiao, X., 2019. High resolution paddy rice maps in cloud-prone Bangladesh and Northeast India using Sentinel-1 data.</w:t>
      </w:r>
      <w:r>
        <w:t xml:space="preserve"> </w:t>
      </w:r>
      <w:r>
        <w:rPr>
          <w:i/>
          <w:iCs/>
        </w:rPr>
        <w:t xml:space="preserve">Scientific Data</w:t>
      </w:r>
      <w:r>
        <w:t xml:space="preserve"> </w:t>
      </w:r>
      <w:r>
        <w:t xml:space="preserve">6, 26. https://doi.org/10.1038/s41597-019-0036-3</w:t>
      </w:r>
    </w:p>
    <w:p>
      <w:pPr>
        <w:pStyle w:val="BodyText"/>
      </w:pPr>
      <w:r>
        <w:t xml:space="preserve">Smith, E.P., 2002. BACI design. In: El-Shaarawi, A.H., Piegorsch, W.W. (Eds.),</w:t>
      </w:r>
      <w:r>
        <w:t xml:space="preserve"> </w:t>
      </w:r>
      <w:r>
        <w:rPr>
          <w:i/>
          <w:iCs/>
        </w:rPr>
        <w:t xml:space="preserve">Encyclopedia of Environmetrics</w:t>
      </w:r>
      <w:r>
        <w:t xml:space="preserve">, vol. 1. John Wiley &amp; Sons, Chichester, pp. 141–148.</w:t>
      </w:r>
    </w:p>
    <w:p>
      <w:pPr>
        <w:pStyle w:val="BodyText"/>
      </w:pPr>
      <w:r>
        <w:t xml:space="preserve">Twele, A., Cao, W., Plank, S., Martinis, S., 2016. Sentinel-1-based flood mapping: a fully automated processing chain.</w:t>
      </w:r>
      <w:r>
        <w:t xml:space="preserve"> </w:t>
      </w:r>
      <w:r>
        <w:rPr>
          <w:i/>
          <w:iCs/>
        </w:rPr>
        <w:t xml:space="preserve">International Journal of Remote Sensing</w:t>
      </w:r>
      <w:r>
        <w:t xml:space="preserve"> </w:t>
      </w:r>
      <w:r>
        <w:t xml:space="preserve">37, 2990–3004. https://doi.org/10.1080/01431161.2016.1192304</w:t>
      </w:r>
    </w:p>
    <w:p>
      <w:pPr>
        <w:pStyle w:val="BodyText"/>
      </w:pPr>
      <w:r>
        <w:t xml:space="preserve">UN-SPIDER, 2019.</w:t>
      </w:r>
      <w:r>
        <w:t xml:space="preserve"> </w:t>
      </w:r>
      <w:r>
        <w:rPr>
          <w:i/>
          <w:iCs/>
        </w:rPr>
        <w:t xml:space="preserve">Recommended Practice: Flood Mapping and Damage Assessment Using Sentinel-1 SAR Data in Google Earth Engine</w:t>
      </w:r>
      <w:r>
        <w:t xml:space="preserve">. United Nations Platform for Space-based Information for Disaster Management and Emergency Response, Vienna. https://www.un-spider.org/advisory-support/recommended-practices/recommended-practice-google-earth-engine-flood-mapping</w:t>
      </w:r>
    </w:p>
    <w:p>
      <w:pPr>
        <w:pStyle w:val="BodyText"/>
      </w:pPr>
      <w:r>
        <w:t xml:space="preserve">Voigt, S., Kemper, T., Riedlinger, T., Kiefl, R., Scholte, K., Mehl, H., 2007. Satellite image analysis for disaster and crisis-management support.</w:t>
      </w:r>
      <w:r>
        <w:t xml:space="preserve"> </w:t>
      </w:r>
      <w:r>
        <w:rPr>
          <w:i/>
          <w:iCs/>
        </w:rPr>
        <w:t xml:space="preserve">IEEE Transactions on Geoscience and Remote Sensing</w:t>
      </w:r>
      <w:r>
        <w:t xml:space="preserve"> </w:t>
      </w:r>
      <w:r>
        <w:t xml:space="preserve">45, 1520–1528. https://doi.org/10.1109/TGRS.2007.895830</w:t>
      </w:r>
    </w:p>
    <w:p>
      <w:pPr>
        <w:pStyle w:val="BodyText"/>
      </w:pPr>
      <w:r>
        <w:t xml:space="preserve">Wali, E., Tasumi, M., Moriyama, M., 2020. Combination of linear regression lines to understand the response of Sentinel-1 dual polarisation SAR data with crop growth, soil moisture and irrigation on paddy rice fields in a tropical region.</w:t>
      </w:r>
      <w:r>
        <w:t xml:space="preserve"> </w:t>
      </w:r>
      <w:r>
        <w:rPr>
          <w:i/>
          <w:iCs/>
        </w:rPr>
        <w:t xml:space="preserve">Remote Sensing</w:t>
      </w:r>
      <w:r>
        <w:t xml:space="preserve"> </w:t>
      </w:r>
      <w:r>
        <w:t xml:space="preserve">12, 189. https://doi.org/10.3390/rs12010189</w:t>
      </w:r>
    </w:p>
    <w:p>
      <w:pPr>
        <w:pStyle w:val="BodyText"/>
      </w:pPr>
      <w:r>
        <w:t xml:space="preserve">Wang, J., Wang, M., Shi, L., Zhou, Y., 2024. Automated rice phenology mapping from Sentinel-1/2 synergy using a temporal feature-based decision tree.</w:t>
      </w:r>
      <w:r>
        <w:t xml:space="preserve"> </w:t>
      </w:r>
      <w:r>
        <w:rPr>
          <w:i/>
          <w:iCs/>
        </w:rPr>
        <w:t xml:space="preserve">International Journal of Digital Earth</w:t>
      </w:r>
      <w:r>
        <w:t xml:space="preserve"> </w:t>
      </w:r>
      <w:r>
        <w:t xml:space="preserve">17. https://doi.org/10.1080/17538947.2024.2445639</w:t>
      </w:r>
    </w:p>
    <w:p>
      <w:pPr>
        <w:pStyle w:val="BodyText"/>
      </w:pPr>
      <w:r>
        <w:t xml:space="preserve">Wassmann, R., Jagadish, S.V.K., Heuer, S., Ismail, A., Redona, E., Serraj, R., Singh, R.K., Howell, G., Pathak, H., Sumfleth, K., 2009. Climate change affecting rice production: the physiological and agronomic basis for possible adaptation strategies.</w:t>
      </w:r>
      <w:r>
        <w:t xml:space="preserve"> </w:t>
      </w:r>
      <w:r>
        <w:rPr>
          <w:i/>
          <w:iCs/>
        </w:rPr>
        <w:t xml:space="preserve">Advances in Agronomy</w:t>
      </w:r>
      <w:r>
        <w:t xml:space="preserve"> </w:t>
      </w:r>
      <w:r>
        <w:t xml:space="preserve">101, 59–122. https://doi.org/10.1016/S0065-2113(08)00802-X</w:t>
      </w:r>
    </w:p>
    <w:p>
      <w:pPr>
        <w:pStyle w:val="BodyText"/>
      </w:pPr>
      <w:r>
        <w:t xml:space="preserve">Xu, S., Zhu, X., Chen, J., Zhu, X., Duan, M., Qiu, B., Wan, L., Tan, X., Xu, Y.N., Cao, R., 2023. A robust index to extract paddy fields in cloudy regions from SAR time series.</w:t>
      </w:r>
      <w:r>
        <w:t xml:space="preserve"> </w:t>
      </w:r>
      <w:r>
        <w:rPr>
          <w:i/>
          <w:iCs/>
        </w:rPr>
        <w:t xml:space="preserve">Remote Sensing of Environment</w:t>
      </w:r>
      <w:r>
        <w:t xml:space="preserve"> </w:t>
      </w:r>
      <w:r>
        <w:t xml:space="preserve">285, 113374. https://doi.org/10.1016/j.rse.2022.113374</w:t>
      </w:r>
    </w:p>
    <w:p>
      <w:pPr>
        <w:pStyle w:val="BodyText"/>
      </w:pPr>
      <w:r>
        <w:t xml:space="preserve">Xu, Y., Gong, W., Chen, J., Song, J., Wang, Y., 2024. Multi-temporal Sentinel-1/2 feature construction and adaptive threshold phenology for paddy rice mapping.</w:t>
      </w:r>
      <w:r>
        <w:t xml:space="preserve"> </w:t>
      </w:r>
      <w:r>
        <w:rPr>
          <w:i/>
          <w:iCs/>
        </w:rPr>
        <w:t xml:space="preserve">Agriculture</w:t>
      </w:r>
      <w:r>
        <w:t xml:space="preserve"> </w:t>
      </w:r>
      <w:r>
        <w:t xml:space="preserve">14, 1282. https://doi.org/10.3390/agriculture14081282</w:t>
      </w:r>
    </w:p>
    <w:p>
      <w:pPr>
        <w:pStyle w:val="BodyText"/>
      </w:pPr>
      <w:r>
        <w:t xml:space="preserve">Zanaga, D., Van De Kerchove, R., Daems, D., De Keersmaecker, W., Brockmann, C., Kirches, G., Wevers, J., Cartus, O., Santoro, M., Fritz, S., Lesiv, M., Herold, M., Tsendbazar, N.-E., Xu, P., Ramoino, F., Arino, O., 2022. ESA WorldCover 10 m 2021 v200.</w:t>
      </w:r>
      <w:r>
        <w:t xml:space="preserve"> </w:t>
      </w:r>
      <w:r>
        <w:rPr>
          <w:i/>
          <w:iCs/>
        </w:rPr>
        <w:t xml:space="preserve">Zenodo</w:t>
      </w:r>
      <w:r>
        <w:t xml:space="preserve">. https://doi.org/10.5281/zenodo.7254221</w:t>
      </w:r>
    </w:p>
    <w:p>
      <w:r>
        <w:pict>
          <v:rect style="width:0;height:1.5pt" o:hralign="center" o:hrstd="t" o:hr="t"/>
        </w:pict>
      </w:r>
    </w:p>
    <w:p>
      <w:pPr>
        <w:pStyle w:val="BodyText"/>
      </w:pPr>
      <w:r>
        <w:t xml:space="preserve">A single empirical pipeline produces a small but defensible attenuation of the district-aggregated DiD coefficient (τ̂_SOS: +15.289 → +15.108 d, Δτ̂ = −0.181 d; τ̂_POS: −3.587 → −3.677 d, Δτ̂ = −0.090 d; τ̂_EOS: 0 → −0.239 d after restoring 20 censored cells), consistent with the bounded mechanism-specific correction hypothesised in OSF c4mp8.</w:t>
      </w:r>
    </w:p>
    <w:bookmarkEnd w:id="76"/>
    <w:bookmarkEnd w:id="77"/>
    <w:sectPr>
      <w:pgSz w:w="11906" w:h="16838"/>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9" Type="http://schemas.openxmlformats.org/officeDocument/2006/relationships/hyperlink" Target="http://vdsa.icrisat.org" TargetMode="External"/><Relationship Id="rId74" Type="http://schemas.openxmlformats.org/officeDocument/2006/relationships/hyperlink" Target="https://data.gov.in" TargetMode="External"/><Relationship Id="rId45" Type="http://schemas.openxmlformats.org/officeDocument/2006/relationships/hyperlink" Target="https://doi.org/10.17632/z3zxk4xy3c.1" TargetMode="External"/><Relationship Id="rId68" Type="http://schemas.openxmlformats.org/officeDocument/2006/relationships/hyperlink" Target="https://doi.org/10.5281/zenodo.20024578" TargetMode="External"/><Relationship Id="rId69" Type="http://schemas.openxmlformats.org/officeDocument/2006/relationships/hyperlink" Target="https://doi.org/10.5281/zenodo.20024579" TargetMode="External"/><Relationship Id="rId70" Type="http://schemas.openxmlformats.org/officeDocument/2006/relationships/hyperlink" Target="https://doi.org/10.5281/zenodo.20585636" TargetMode="External"/><Relationship Id="rId71" Type="http://schemas.openxmlformats.org/officeDocument/2006/relationships/hyperlink" Target="https://doi.org/10.5281/zenodo.20587316" TargetMode="External"/><Relationship Id="rId67" Type="http://schemas.openxmlformats.org/officeDocument/2006/relationships/hyperlink" Target="https://github.com/pandasupranab/RiceBaCI-GEE" TargetMode="External"/><Relationship Id="rId72" Type="http://schemas.openxmlformats.org/officeDocument/2006/relationships/hyperlink" Target="https://osf.io/c4mp8"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_rels/footnotes.xml.rels><?xml version='1.0' encoding='UTF-8' standalone='yes'?>
<Relationships xmlns="http://schemas.openxmlformats.org/package/2006/relationships"><Relationship Id="rId29" Type="http://schemas.openxmlformats.org/officeDocument/2006/relationships/hyperlink" Target="http://vdsa.icrisat.org" TargetMode="External"/><Relationship Id="rId74" Type="http://schemas.openxmlformats.org/officeDocument/2006/relationships/hyperlink" Target="https://data.gov.in" TargetMode="External"/><Relationship Id="rId45" Type="http://schemas.openxmlformats.org/officeDocument/2006/relationships/hyperlink" Target="https://doi.org/10.17632/z3zxk4xy3c.1" TargetMode="External"/><Relationship Id="rId68" Type="http://schemas.openxmlformats.org/officeDocument/2006/relationships/hyperlink" Target="https://doi.org/10.5281/zenodo.20024578" TargetMode="External"/><Relationship Id="rId69" Type="http://schemas.openxmlformats.org/officeDocument/2006/relationships/hyperlink" Target="https://doi.org/10.5281/zenodo.20024579" TargetMode="External"/><Relationship Id="rId70" Type="http://schemas.openxmlformats.org/officeDocument/2006/relationships/hyperlink" Target="https://doi.org/10.5281/zenodo.20585636" TargetMode="External"/><Relationship Id="rId71" Type="http://schemas.openxmlformats.org/officeDocument/2006/relationships/hyperlink" Target="https://doi.org/10.5281/zenodo.20587316" TargetMode="External"/><Relationship Id="rId67" Type="http://schemas.openxmlformats.org/officeDocument/2006/relationships/hyperlink" Target="https://github.com/pandasupranab/RiceBaCI-GEE" TargetMode="External"/><Relationship Id="rId72" Type="http://schemas.openxmlformats.org/officeDocument/2006/relationships/hyperlink" Target="https://osf.io/c4mp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2026-06-09T06:40:45Z</dcterms:created>
  <dcterms:modified xsi:type="dcterms:W3CDTF">2026-06-09T06:40:45Z</dcterms:modified>
</cp:coreProperties>
</file>

<file path=docProps/custom.xml><?xml version="1.0" encoding="utf-8"?>
<Properties xmlns="http://schemas.openxmlformats.org/officeDocument/2006/custom-properties" xmlns:vt="http://schemas.openxmlformats.org/officeDocument/2006/docPropsVTypes"/>
</file>