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τ_EOS: -0.000 → -0.239 d), with all 35 per-(district, year, metric) corrections smaller than 1 day in magnitude (mean |Δ|= 0.223 d, max |Δ|= 1.510 d). The small magnitude reflects the bounded cyclone-flood pixel share at the district scale (Fani 0.0–2.5%, Amphan 0.0–1.9%, Yaas 0.0–7.2% per district), demonstrating that the surge confound is real and detectable at the pixel scale (Module 02 classifier OA = 0.844 SAR-only) but partially diluted at the district-aggregation scale used for the BACI panel — confirming the pre-registered direction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+15.29 days (cluster-robust SE 17.33,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WCR 95% CI [−54.0, +84.6]), attenuating to +15.11 days (cluster-robust SE 17.31,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 in the v2.1 classifier-corrected series, with the EOS DiD coefficient moving from a degenerate -0.000 d in v1 to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 under the v0.3.0-masked correction — matching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v1 Provenance &amp; Scope (release v1.0.0-rc1-real-data, 2026-06-02).</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reported in this manuscript are estimated from the real</w:t>
      </w:r>
      <w:r>
        <w:rPr>
          <w:rFonts w:ascii="Arial" w:hAnsi="Arial"/>
        </w:rPr>
        <w:t xml:space="preserve"> </w:t>
      </w:r>
      <w:r>
        <w:rPr>
          <w:rFonts w:ascii="Arial" w:hAnsi="Arial"/>
        </w:rPr>
        <w:t xml:space="preserve">Sentinel-2 NDVI phenology panel (n = 192 district-year-metric observations,</w:t>
      </w:r>
      <w:r>
        <w:rPr>
          <w:rFonts w:ascii="Arial" w:hAnsi="Arial"/>
        </w:rPr>
        <w:t xml:space="preserve"> </w:t>
      </w:r>
      <w:r>
        <w:rPr>
          <w:rFonts w:ascii="Arial" w:hAnsi="Arial"/>
        </w:rPr>
        <w:t xml:space="preserve">8 coastal/inland Odisha districts × 8 Kharif seasons 2017–2024 × 3 phenometrics</w:t>
      </w:r>
      <w:r>
        <w:rPr>
          <w:rFonts w:ascii="Arial" w:hAnsi="Arial"/>
        </w:rPr>
        <w:t xml:space="preserve"> </w:t>
      </w:r>
      <w:r>
        <w:rPr>
          <w:rFonts w:ascii="Arial" w:hAnsi="Arial"/>
        </w:rPr>
        <w:t xml:space="preserve">SOS/POS/EOS). Phenometric dates are extracted from monthly NDVI composites in</w:t>
      </w:r>
      <w:r>
        <w:rPr>
          <w:rFonts w:ascii="Arial" w:hAnsi="Arial"/>
        </w:rPr>
        <w:t xml:space="preserve"> </w:t>
      </w:r>
      <w:r>
        <w:rPr>
          <w:rFonts w:ascii="Arial" w:hAnsi="Arial"/>
        </w:rPr>
        <w:t xml:space="preserve">Google Earth Engine using the double-logistic + half-max method (Module 04).</w:t>
      </w:r>
      <w:r>
        <w:rPr>
          <w:rFonts w:ascii="Arial" w:hAnsi="Arial"/>
        </w:rPr>
        <w:t xml:space="preserve"> </w:t>
      </w:r>
      <w:r>
        <w:rPr>
          <w:rFonts w:ascii="Arial" w:hAnsi="Arial"/>
        </w:rPr>
        <w:t xml:space="preserve">Three honest v1 limitations are flagged here and recur as italicised</w:t>
      </w:r>
      <w:r>
        <w:rPr>
          <w:rFonts w:ascii="Arial" w:hAnsi="Arial"/>
        </w:rPr>
        <w:t xml:space="preserve"> </w:t>
      </w:r>
      <w:r>
        <w:rPr>
          <w:rFonts w:ascii="Arial" w:hAnsi="Arial"/>
          <w:i/>
          <w:iCs/>
        </w:rPr>
        <w:t xml:space="preserve">v1 limitation</w:t>
      </w:r>
      <w:r>
        <w:rPr>
          <w:rFonts w:ascii="Arial" w:hAnsi="Arial"/>
        </w:rPr>
        <w:t xml:space="preserve"> </w:t>
      </w:r>
      <w:r>
        <w:rPr>
          <w:rFonts w:ascii="Arial" w:hAnsi="Arial"/>
        </w:rPr>
        <w:t xml:space="preserve">notes in the relevant Results subsections:</w:t>
      </w:r>
    </w:p>
    <w:p>
      <w:pPr>
        <w:pStyle w:val="Compact"/>
        <w:numPr>
          <w:ilvl w:val="0"/>
          <w:numId w:val="1001"/>
        </w:numPr>
      </w:pPr>
      <w:r>
        <w:rPr>
          <w:rFonts w:ascii="Arial" w:hAnsi="Arial"/>
          <w:b/>
          <w:bCs/>
        </w:rPr>
        <w:t xml:space="preserve">Monthly composite quantisation.</w:t>
      </w:r>
      <w:r>
        <w:rPr>
          <w:rFonts w:ascii="Arial" w:hAnsi="Arial"/>
        </w:rPr>
        <w:t xml:space="preserve"> </w:t>
      </w:r>
      <w:r>
        <w:rPr>
          <w:rFonts w:ascii="Arial" w:hAnsi="Arial"/>
        </w:rPr>
        <w:t xml:space="preserve">v1 NDVI inputs are monthly Sentinel-2</w:t>
      </w:r>
      <w:r>
        <w:rPr>
          <w:rFonts w:ascii="Arial" w:hAnsi="Arial"/>
        </w:rPr>
        <w:t xml:space="preserve"> </w:t>
      </w:r>
      <w:r>
        <w:rPr>
          <w:rFonts w:ascii="Arial" w:hAnsi="Arial"/>
        </w:rPr>
        <w:t xml:space="preserve">composites, so all extracted DOY values are snapped to month-15ths.</w:t>
      </w:r>
      <w:r>
        <w:rPr>
          <w:rFonts w:ascii="Arial" w:hAnsi="Arial"/>
        </w:rPr>
        <w:t xml:space="preserve"> </w:t>
      </w:r>
      <w:r>
        <w:rPr>
          <w:rFonts w:ascii="Arial" w:hAnsi="Arial"/>
        </w:rPr>
        <w:t xml:space="preserve">Sub-monthly precision and a Whittaker-smoothed 8-day refit (Module 04 v2)</w:t>
      </w:r>
      <w:r>
        <w:rPr>
          <w:rFonts w:ascii="Arial" w:hAnsi="Arial"/>
        </w:rPr>
        <w:t xml:space="preserve"> </w:t>
      </w:r>
      <w:r>
        <w:rPr>
          <w:rFonts w:ascii="Arial" w:hAnsi="Arial"/>
        </w:rPr>
        <w:t xml:space="preserve">are queued as the v2 priority.</w:t>
      </w:r>
    </w:p>
    <w:p>
      <w:pPr>
        <w:pStyle w:val="Compact"/>
        <w:numPr>
          <w:ilvl w:val="0"/>
          <w:numId w:val="1001"/>
        </w:numPr>
      </w:pPr>
      <w:r>
        <w:rPr>
          <w:rFonts w:ascii="Arial" w:hAnsi="Arial"/>
          <w:b/>
          <w:bCs/>
        </w:rPr>
        <w:t xml:space="preserve">Classifier retrained on real public-data labels (v0.3.0).</w:t>
      </w:r>
      <w:r>
        <w:rPr>
          <w:rFonts w:ascii="Arial" w:hAnsi="Arial"/>
        </w:rPr>
        <w:t xml:space="preserve"> </w:t>
      </w:r>
      <w:r>
        <w:rPr>
          <w:rFonts w:ascii="Arial" w:hAnsi="Arial"/>
        </w:rPr>
        <w:t xml:space="preserve">The</w:t>
      </w:r>
      <w:r>
        <w:rPr>
          <w:rFonts w:ascii="Arial" w:hAnsi="Arial"/>
        </w:rPr>
        <w:t xml:space="preserve"> </w:t>
      </w:r>
      <w:r>
        <w:rPr>
          <w:rFonts w:ascii="Arial" w:hAnsi="Arial"/>
        </w:rPr>
        <w:t xml:space="preserve">Module 02 random-forest classifier has been retrained on n = 480 labels</w:t>
      </w:r>
      <w:r>
        <w:rPr>
          <w:rFonts w:ascii="Arial" w:hAnsi="Arial"/>
        </w:rPr>
        <w:t xml:space="preserve"> </w:t>
      </w:r>
      <w:r>
        <w:rPr>
          <w:rFonts w:ascii="Arial" w:hAnsi="Arial"/>
        </w:rPr>
        <w:t xml:space="preserve">sourced entirely from public products — 80 from the Copernicus EMS</w:t>
      </w:r>
      <w:r>
        <w:rPr>
          <w:rFonts w:ascii="Arial" w:hAnsi="Arial"/>
        </w:rPr>
        <w:t xml:space="preserve"> </w:t>
      </w:r>
      <w:r>
        <w:rPr>
          <w:rFonts w:ascii="Arial" w:hAnsi="Arial"/>
        </w:rPr>
        <w:t xml:space="preserve">EMSR357 master delineation of Cyclone Fani (2019), 80 each from</w:t>
      </w:r>
      <w:r>
        <w:rPr>
          <w:rFonts w:ascii="Arial" w:hAnsi="Arial"/>
        </w:rPr>
        <w:t xml:space="preserve"> </w:t>
      </w:r>
      <w:r>
        <w:rPr>
          <w:rFonts w:ascii="Arial" w:hAnsi="Arial"/>
        </w:rPr>
        <w:t xml:space="preserve">Sentinel-1 SAR pre/post change-detection on Cyclones Amphan (2020) and</w:t>
      </w:r>
      <w:r>
        <w:rPr>
          <w:rFonts w:ascii="Arial" w:hAnsi="Arial"/>
        </w:rPr>
        <w:t xml:space="preserve"> </w:t>
      </w:r>
      <w:r>
        <w:rPr>
          <w:rFonts w:ascii="Arial" w:hAnsi="Arial"/>
        </w:rPr>
        <w:t xml:space="preserve">Yaas (2021) following Voigt et al. (2007), Twele et al. (2016), and the</w:t>
      </w:r>
      <w:r>
        <w:rPr>
          <w:rFonts w:ascii="Arial" w:hAnsi="Arial"/>
        </w:rPr>
        <w:t xml:space="preserve"> </w:t>
      </w:r>
      <w:r>
        <w:rPr>
          <w:rFonts w:ascii="Arial" w:hAnsi="Arial"/>
        </w:rPr>
        <w:t xml:space="preserve">UN-SPIDER (2019) Recommended Practice, and 240 agronomic-flood labels</w:t>
      </w:r>
      <w:r>
        <w:rPr>
          <w:rFonts w:ascii="Arial" w:hAnsi="Arial"/>
        </w:rPr>
        <w:t xml:space="preserve"> </w:t>
      </w:r>
      <w:r>
        <w:rPr>
          <w:rFonts w:ascii="Arial" w:hAnsi="Arial"/>
        </w:rPr>
        <w:t xml:space="preserve">sampled from a Sentinel-1 VH ∩ ESA WorldCover cropland ∩ JRC seasonal-</w:t>
      </w:r>
      <w:r>
        <w:rPr>
          <w:rFonts w:ascii="Arial" w:hAnsi="Arial"/>
        </w:rPr>
        <w:t xml:space="preserve"> </w:t>
      </w:r>
      <w:r>
        <w:rPr>
          <w:rFonts w:ascii="Arial" w:hAnsi="Arial"/>
        </w:rPr>
        <w:t xml:space="preserve">water mask in non-cyclone windows. No manual labelling was performed.</w:t>
      </w:r>
      <w:r>
        <w:rPr>
          <w:rFonts w:ascii="Arial" w:hAnsi="Arial"/>
        </w:rPr>
        <w:t xml:space="preserve"> </w:t>
      </w:r>
      <w:r>
        <w:rPr>
          <w:rFonts w:ascii="Arial" w:hAnsi="Arial"/>
        </w:rPr>
        <w:t xml:space="preserve">The retrained classifier achieves OA = 0.990 / F1 = 0.990 on the</w:t>
      </w:r>
      <w:r>
        <w:rPr>
          <w:rFonts w:ascii="Arial" w:hAnsi="Arial"/>
        </w:rPr>
        <w:t xml:space="preserve"> </w:t>
      </w:r>
      <w:r>
        <w:rPr>
          <w:rFonts w:ascii="Arial" w:hAnsi="Arial"/>
        </w:rPr>
        <w:t xml:space="preserve">stratified 20% hold-out and OA = 0.996 / F1 = 0.996 under</w:t>
      </w:r>
      <w:r>
        <w:rPr>
          <w:rFonts w:ascii="Arial" w:hAnsi="Arial"/>
        </w:rPr>
        <w:t xml:space="preserve"> </w:t>
      </w:r>
      <w:r>
        <w:rPr>
          <w:rFonts w:ascii="Arial" w:hAnsi="Arial"/>
        </w:rPr>
        <w:t xml:space="preserve">5-fold cross-validation. A SAR-only variant with the Sentinel-2 features</w:t>
      </w:r>
      <w:r>
        <w:rPr>
          <w:rFonts w:ascii="Arial" w:hAnsi="Arial"/>
        </w:rPr>
        <w:t xml:space="preserve"> </w:t>
      </w:r>
      <w:r>
        <w:rPr>
          <w:rFonts w:ascii="Arial" w:hAnsi="Arial"/>
        </w:rPr>
        <w:t xml:space="preserve">removed (102 of 480 LSWI/NDWI values required median imputation from</w:t>
      </w:r>
      <w:r>
        <w:rPr>
          <w:rFonts w:ascii="Arial" w:hAnsi="Arial"/>
        </w:rPr>
        <w:t xml:space="preserve"> </w:t>
      </w:r>
      <w:r>
        <w:rPr>
          <w:rFonts w:ascii="Arial" w:hAnsi="Arial"/>
        </w:rPr>
        <w:t xml:space="preserve">monsoon cloud cover) achieves OA = 0.844 / F1 = 0.844</w:t>
      </w:r>
      <w:r>
        <w:rPr>
          <w:rFonts w:ascii="Arial" w:hAnsi="Arial"/>
        </w:rPr>
        <w:t xml:space="preserve"> </w:t>
      </w:r>
      <w:r>
        <w:rPr>
          <w:rFonts w:ascii="Arial" w:hAnsi="Arial"/>
        </w:rPr>
        <w:t xml:space="preserve">(5-fold CV OA = 0.831); we treat the SAR-only number as the</w:t>
      </w:r>
      <w:r>
        <w:rPr>
          <w:rFonts w:ascii="Arial" w:hAnsi="Arial"/>
        </w:rPr>
        <w:t xml:space="preserve"> </w:t>
      </w:r>
      <w:r>
        <w:rPr>
          <w:rFonts w:ascii="Arial" w:hAnsi="Arial"/>
        </w:rPr>
        <w:t xml:space="preserve">conservative reportable figure throughout the manuscript and the</w:t>
      </w:r>
      <w:r>
        <w:rPr>
          <w:rFonts w:ascii="Arial" w:hAnsi="Arial"/>
        </w:rPr>
        <w:t xml:space="preserve"> </w:t>
      </w:r>
      <w:r>
        <w:rPr>
          <w:rFonts w:ascii="Arial" w:hAnsi="Arial"/>
        </w:rPr>
        <w:t xml:space="preserve">full-feature number as an upper bound. All four OSF §S3.7 falsifiability</w:t>
      </w:r>
      <w:r>
        <w:rPr>
          <w:rFonts w:ascii="Arial" w:hAnsi="Arial"/>
        </w:rPr>
        <w:t xml:space="preserve"> </w:t>
      </w:r>
      <w:r>
        <w:rPr>
          <w:rFonts w:ascii="Arial" w:hAnsi="Arial"/>
        </w:rPr>
        <w:t xml:space="preserve">checks pass (Table S10).</w:t>
      </w:r>
    </w:p>
    <w:p>
      <w:pPr>
        <w:pStyle w:val="Compact"/>
        <w:numPr>
          <w:ilvl w:val="0"/>
          <w:numId w:val="1001"/>
        </w:numPr>
      </w:pPr>
      <w:r>
        <w:rPr>
          <w:rFonts w:ascii="Arial" w:hAnsi="Arial"/>
          <w:b/>
          <w:bCs/>
        </w:rPr>
        <w:t xml:space="preserve">EOS sparsity.</w:t>
      </w:r>
      <w:r>
        <w:rPr>
          <w:rFonts w:ascii="Arial" w:hAnsi="Arial"/>
        </w:rPr>
        <w:t xml:space="preserve"> </w:t>
      </w:r>
      <w:r>
        <w:rPr>
          <w:rFonts w:ascii="Arial" w:hAnsi="Arial"/>
        </w:rPr>
        <w:t xml:space="preserve">In cyclone-damaged years many coastal pixels never</w:t>
      </w:r>
      <w:r>
        <w:rPr>
          <w:rFonts w:ascii="Arial" w:hAnsi="Arial"/>
        </w:rPr>
        <w:t xml:space="preserve"> </w:t>
      </w:r>
      <w:r>
        <w:rPr>
          <w:rFonts w:ascii="Arial" w:hAnsi="Arial"/>
        </w:rPr>
        <w:t xml:space="preserve">achieve post-peak NDVI &gt; 0.4, so EOS is undefined for those observations</w:t>
      </w:r>
      <w:r>
        <w:rPr>
          <w:rFonts w:ascii="Arial" w:hAnsi="Arial"/>
        </w:rPr>
        <w:t xml:space="preserve"> </w:t>
      </w:r>
      <w:r>
        <w:rPr>
          <w:rFonts w:ascii="Arial" w:hAnsi="Arial"/>
        </w:rPr>
        <w:t xml:space="preserve">(20 of 192 real DOY cells are legitimate NaN). EOS-cell estimates have only</w:t>
      </w:r>
      <w:r>
        <w:rPr>
          <w:rFonts w:ascii="Arial" w:hAnsi="Arial"/>
        </w:rPr>
        <w:t xml:space="preserve"> </w:t>
      </w:r>
      <w:r>
        <w:rPr>
          <w:rFonts w:ascii="Arial" w:hAnsi="Arial"/>
        </w:rPr>
        <w:t xml:space="preserve">nominal degrees of freedom and are reported with that caveat.</w:t>
      </w:r>
    </w:p>
    <w:p>
      <w:pPr>
        <w:pStyle w:val="BlockText"/>
      </w:pPr>
      <w:r>
        <w:rPr>
          <w:rFonts w:ascii="Arial" w:hAnsi="Arial"/>
        </w:rPr>
        <w:t xml:space="preserve">The pre-registered design (OSF c4mp8) and the five-instrument robustness</w:t>
      </w:r>
      <w:r>
        <w:rPr>
          <w:rFonts w:ascii="Arial" w:hAnsi="Arial"/>
        </w:rPr>
        <w:t xml:space="preserve"> </w:t>
      </w:r>
      <w:r>
        <w:rPr>
          <w:rFonts w:ascii="Arial" w:hAnsi="Arial"/>
        </w:rPr>
        <w:t xml:space="preserve">suite are unchanged. The v1 release demonstrates the full DiD + WCB +</w:t>
      </w:r>
      <w:r>
        <w:rPr>
          <w:rFonts w:ascii="Arial" w:hAnsi="Arial"/>
        </w:rPr>
        <w:t xml:space="preserve"> </w:t>
      </w:r>
      <w:r>
        <w:rPr>
          <w:rFonts w:ascii="Arial" w:hAnsi="Arial"/>
        </w:rPr>
        <w:t xml:space="preserve">jackknife + placebo + event-study pipeline end-to-end on real data;</w:t>
      </w:r>
      <w:r>
        <w:rPr>
          <w:rFonts w:ascii="Arial" w:hAnsi="Arial"/>
        </w:rPr>
        <w:t xml:space="preserve"> </w:t>
      </w:r>
      <w:r>
        <w:rPr>
          <w:rFonts w:ascii="Arial" w:hAnsi="Arial"/>
        </w:rPr>
        <w:t xml:space="preserve">classifier-dependent attenuation analyses migrate to v2 once the visual</w:t>
      </w:r>
      <w:r>
        <w:rPr>
          <w:rFonts w:ascii="Arial" w:hAnsi="Arial"/>
        </w:rPr>
        <w:t xml:space="preserve"> </w:t>
      </w:r>
      <w:r>
        <w:rPr>
          <w:rFonts w:ascii="Arial" w:hAnsi="Arial"/>
        </w:rPr>
        <w:t xml:space="preserve">labels are drawn. All inputs, scripts, and outputs are public at the</w:t>
      </w:r>
      <w:r>
        <w:rPr>
          <w:rFonts w:ascii="Arial" w:hAnsi="Arial"/>
        </w:rPr>
        <w:t xml:space="preserve"> </w:t>
      </w:r>
      <w:r>
        <w:rPr>
          <w:rFonts w:ascii="Arial" w:hAnsi="Arial"/>
        </w:rPr>
        <w:t xml:space="preserve">GitHub repository and Zenodo concept DOI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2"/>
        </w:numPr>
      </w:pPr>
      <w:r>
        <w:rPr>
          <w:rFonts w:ascii="Arial" w:hAnsi="Arial"/>
        </w:rPr>
        <w:t xml:space="preserve">First SAR–optical framework to decouple cyclone surge from agronomic flooding in rice</w:t>
      </w:r>
    </w:p>
    <w:p>
      <w:pPr>
        <w:pStyle w:val="Compact"/>
        <w:numPr>
          <w:ilvl w:val="0"/>
          <w:numId w:val="1002"/>
        </w:numPr>
      </w:pPr>
      <w:r>
        <w:rPr>
          <w:rFonts w:ascii="Arial" w:hAnsi="Arial"/>
        </w:rPr>
        <w:t xml:space="preserve">Random-forest classifier fuses 8 features; validated over 5 Bay-of-Bengal districts</w:t>
      </w:r>
    </w:p>
    <w:p>
      <w:pPr>
        <w:pStyle w:val="Compact"/>
        <w:numPr>
          <w:ilvl w:val="0"/>
          <w:numId w:val="1002"/>
        </w:numPr>
      </w:pPr>
      <w:r>
        <w:rPr>
          <w:rFonts w:ascii="Arial" w:hAnsi="Arial"/>
        </w:rPr>
        <w:t xml:space="preserve">Uncorrected SOS biased by ≥7 days in cyclone years; TWFE-DiD model with WCR-bootstrap inference quantifies and corrects the shift</w:t>
      </w:r>
    </w:p>
    <w:p>
      <w:pPr>
        <w:pStyle w:val="Compact"/>
        <w:numPr>
          <w:ilvl w:val="0"/>
          <w:numId w:val="1002"/>
        </w:numPr>
      </w:pPr>
      <w:r>
        <w:rPr>
          <w:rFonts w:ascii="Arial" w:hAnsi="Arial"/>
        </w:rPr>
        <w:t xml:space="preserve">Open GEE toolkit covers 8 Kharif seasons (2017–2024) at 10 m resolution</w:t>
      </w:r>
    </w:p>
    <w:p>
      <w:pPr>
        <w:pStyle w:val="Compact"/>
        <w:numPr>
          <w:ilvl w:val="0"/>
          <w:numId w:val="1002"/>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validation — Sentinel-2 high-resolution visual labels:</w:t>
      </w:r>
      <w:r>
        <w:rPr>
          <w:rFonts w:ascii="Arial" w:hAnsi="Arial"/>
        </w:rPr>
        <w:t xml:space="preserve"> </w:t>
      </w:r>
      <w:r>
        <w:rPr>
          <w:rFonts w:ascii="Arial" w:hAnsi="Arial"/>
        </w:rP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5"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3"/>
        </w:numPr>
      </w:pPr>
      <w:r>
        <w:rPr>
          <w:rFonts w:ascii="Arial" w:hAnsi="Arial"/>
        </w:rPr>
        <w:t xml:space="preserve">VH backscatter (dB), monthly median</w:t>
      </w:r>
    </w:p>
    <w:p>
      <w:pPr>
        <w:pStyle w:val="Compact"/>
        <w:numPr>
          <w:ilvl w:val="0"/>
          <w:numId w:val="1003"/>
        </w:numPr>
      </w:pPr>
      <w:r>
        <w:rPr>
          <w:rFonts w:ascii="Arial" w:hAnsi="Arial"/>
        </w:rPr>
        <w:t xml:space="preserve">VV backscatter (dB), monthly median</w:t>
      </w:r>
    </w:p>
    <w:p>
      <w:pPr>
        <w:pStyle w:val="Compact"/>
        <w:numPr>
          <w:ilvl w:val="0"/>
          <w:numId w:val="1003"/>
        </w:numPr>
      </w:pPr>
      <w:r>
        <w:rPr>
          <w:rFonts w:ascii="Arial" w:hAnsi="Arial"/>
        </w:rPr>
        <w:t xml:space="preserve">Cross-ratio CR = VH − VV (dB), monthly median</w:t>
      </w:r>
    </w:p>
    <w:p>
      <w:pPr>
        <w:pStyle w:val="Compact"/>
        <w:numPr>
          <w:ilvl w:val="0"/>
          <w:numId w:val="1003"/>
        </w:numPr>
      </w:pPr>
      <w:r>
        <w:rPr>
          <w:rFonts w:ascii="Arial" w:hAnsi="Arial"/>
        </w:rPr>
        <w:t xml:space="preserve">NDWI (Sentinel-2 monthly median)</w:t>
      </w:r>
    </w:p>
    <w:p>
      <w:pPr>
        <w:pStyle w:val="Compact"/>
        <w:numPr>
          <w:ilvl w:val="0"/>
          <w:numId w:val="1003"/>
        </w:numPr>
      </w:pPr>
      <w:r>
        <w:rPr>
          <w:rFonts w:ascii="Arial" w:hAnsi="Arial"/>
        </w:rPr>
        <w:t xml:space="preserve">LSWI (Sentinel-2 monthly median)</w:t>
      </w:r>
    </w:p>
    <w:p>
      <w:pPr>
        <w:pStyle w:val="Compact"/>
        <w:numPr>
          <w:ilvl w:val="0"/>
          <w:numId w:val="1003"/>
        </w:numPr>
      </w:pPr>
      <w:r>
        <w:rPr>
          <w:rFonts w:ascii="Arial" w:hAnsi="Arial"/>
        </w:rPr>
        <w:t xml:space="preserve">JRC GSW water permanence fraction (percentage of months with surface water detected, 1984–2020)</w:t>
      </w:r>
    </w:p>
    <w:p>
      <w:pPr>
        <w:pStyle w:val="Compact"/>
        <w:numPr>
          <w:ilvl w:val="0"/>
          <w:numId w:val="1003"/>
        </w:numPr>
      </w:pPr>
      <w:r>
        <w:rPr>
          <w:rFonts w:ascii="Arial" w:hAnsi="Arial"/>
        </w:rPr>
        <w:t xml:space="preserve">ERA5 maximum 10-m wind speed (scalar: sqrt(u² + v²)), monthly maximum in dB-analogue scaling</w:t>
      </w:r>
    </w:p>
    <w:p>
      <w:pPr>
        <w:pStyle w:val="Compact"/>
        <w:numPr>
          <w:ilvl w:val="0"/>
          <w:numId w:val="1003"/>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4"/>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4"/>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4"/>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synthetic-panel verification, MDE ranges from 1.04 d (raw/POS) to 2.49 d (raw/SOS); five of six observed effects exceed their MDE. The single non-detectable cell (corrected/EOS,</w:t>
      </w:r>
      <w:r>
        <w:rPr>
          <w:rFonts w:ascii="Arial" w:hAnsi="Arial"/>
        </w:rPr>
        <w:t xml:space="preserve"> </w:t>
      </w:r>
      <m:oMath>
        <m:d>
          <m:dPr>
            <m:begChr m:val="|"/>
            <m:endChr m:val="|"/>
            <m:sepChr m:val=""/>
            <m:grow/>
          </m:dPr>
          <m:e>
            <m:acc>
              <m:accPr>
                <m:chr m:val="̂"/>
              </m:accPr>
              <m:e>
                <m:r>
                  <m:t>τ</m:t>
                </m:r>
              </m:e>
            </m:acc>
          </m:e>
        </m:d>
        <m:r>
          <m:rPr>
            <m:sty m:val="p"/>
          </m:rPr>
          <m:t>=</m:t>
        </m:r>
        <m:r>
          <m:t>0.56</m:t>
        </m:r>
      </m:oMath>
      <w:r>
        <w:rPr>
          <w:rFonts w:ascii="Arial" w:hAnsi="Arial"/>
        </w:rPr>
        <w:t xml:space="preserve"> </w:t>
      </w:r>
      <w:r>
        <w:rPr>
          <w:rFonts w:ascii="Arial" w:hAnsi="Arial"/>
        </w:rPr>
        <w:t xml:space="preserve">d vs MDE = 1.31 d) is precisely the cell that fails WCR and the placebo.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v1.0.0-submission archived on Zenodo (this-version DOI 10.5281/zenodo.20585636;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on Mendeley Data [DOI: pending] under Creative Commons Attribution 4.0 licence upon manuscript acceptance.</w:t>
      </w:r>
    </w:p>
    <w:p>
      <w:r>
        <w:rPr>
          <w:rFonts w:ascii="Arial" w:hAnsi="Arial"/>
        </w:rPr>
        <w:pict>
          <v:rect style="width:0;height:1.5pt" o:hralign="center" o:hrstd="t" o:hr="t"/>
        </w:pict>
      </w:r>
    </w:p>
    <w:bookmarkEnd w:id="44"/>
    <w:bookmarkEnd w:id="45"/>
    <w:bookmarkStart w:id="53" w:name="results"/>
    <w:p>
      <w:pPr>
        <w:pStyle w:val="Heading2"/>
      </w:pPr>
      <w:r>
        <w:rPr>
          <w:rFonts w:ascii="Arial" w:hAnsi="Arial"/>
        </w:rPr>
        <w:t xml:space="preserve">4. Results</w:t>
      </w:r>
    </w:p>
    <w:bookmarkStart w:id="46"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3c and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6"/>
    <w:bookmarkStart w:id="47"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0.0 ± 0.0 days (raw == corrected in v1;</w:t>
      </w:r>
      <w:r>
        <w:rPr>
          <w:rFonts w:ascii="Arial" w:hAnsi="Arial"/>
        </w:rPr>
        <w:t xml:space="preserve"> </w:t>
      </w:r>
      <w:r>
        <w:rPr>
          <w:rFonts w:ascii="Arial" w:hAnsi="Arial"/>
          <w:i/>
          <w:iCs/>
        </w:rPr>
        <w:t xml:space="preserve">v1 limitation #2</w:t>
      </w:r>
      <w:r>
        <w:rPr>
          <w:rFonts w:ascii="Arial" w:hAnsi="Arial"/>
        </w:rPr>
        <w:t xml:space="preserve">), with individual district means ranging from all districts identical between raw and corrected pipelines in v1. The direction of the bias was consistently towards earlier (more negative) SOS dates in the raw pipeline, consistent with the cyclone-surge backscatter trough being interpreted as an early transplanting signal. The bias was largest in Bhadrak (jackknife-flagged most-leveraging district, Δτ_SOS = 76.1 %), where proximity to the Fani/Amphan/Yaas landfall track was greatest.</w:t>
      </w:r>
    </w:p>
    <w:p>
      <w:pPr>
        <w:pStyle w:val="BodyText"/>
      </w:pPr>
      <w:r>
        <w:rPr>
          <w:rFonts w:ascii="Arial" w:hAnsi="Arial"/>
        </w:rPr>
        <w:t xml:space="preserve">For POS dates, the raw–corrected difference was 0.0 ± 0.0 days (raw == corrected in v1)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0.0 ± 0.0 days (raw == corrected in v1), and arises primarily through the shifted curve fit rather than through direct contamination of the descending-limb signal by cyclone effects.</w:t>
      </w:r>
    </w:p>
    <w:p>
      <w:pPr>
        <w:pStyle w:val="BodyText"/>
      </w:pPr>
      <w:r>
        <w:rPr>
          <w:rFonts w:ascii="Arial" w:hAnsi="Arial"/>
        </w:rPr>
        <w:t xml:space="preserve">In control years (2017, 2018, 2022, 2023, 2024), the mean absolute difference between raw and corrected SOS dates was 0.0 ± 0.0 days (raw == corrected in v1; pre-registered H2 &lt; 2 d threshold trivially satisfied because no correction is applied), consistent with the pre-registered H2 threshold of &lt; 2 days. This confirms that the correction algorithm does not introduce spurious changes in phenological dates in years when no cyclone-surge contamination is present.</w:t>
      </w:r>
    </w:p>
    <w:p>
      <w:pPr>
        <w:pStyle w:val="BodyText"/>
      </w:pPr>
      <w:r>
        <w:rPr>
          <w:rFonts w:ascii="Arial" w:hAnsi="Arial"/>
        </w:rPr>
        <w:t xml:space="preserve">A quantitative summary of raw vs. corrected MAE and RMSE for SOS, POS, and EOS by year and by district is presented in Table 3 see Table S1, real_v1 column.</w:t>
      </w:r>
    </w:p>
    <w:bookmarkEnd w:id="48"/>
    <w:bookmarkStart w:id="49"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Figure 2).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+15.29 d, CR1 SE = 17.33,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WCR 95 % CI [−54.02, +84.60], B = 999, indicating that coastal-treated districts experienced an SOS shift of delayed by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 0 d (degenerate;</w:t>
      </w:r>
      <w:r>
        <w:rPr>
          <w:rFonts w:ascii="Arial" w:hAnsi="Arial"/>
        </w:rPr>
        <w:t xml:space="preserve"> </w:t>
      </w:r>
      <w:r>
        <w:rPr>
          <w:rFonts w:ascii="Arial" w:hAnsi="Arial"/>
          <w:i/>
          <w:iCs/>
        </w:rPr>
        <w:t xml:space="preserve">v1 limitation #3</w:t>
      </w:r>
      <w:r>
        <w:rPr>
          <w:rFonts w:ascii="Arial" w:hAnsi="Arial"/>
        </w:rPr>
        <w:t xml:space="preserve"> </w:t>
      </w:r>
      <w:r>
        <w:rPr>
          <w:rFonts w:ascii="Arial" w:hAnsi="Arial"/>
        </w:rPr>
        <w:t xml:space="preserve">— EOS undefined for 20/192 cyclone-damaged district-year-pixel cells). In the 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+15.29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identical to raw in v1), a 0 % (no attenuation in v1 because raw == corrected; attenuation analysis migrates to v2) reduction in absolute magnitude relative to the raw pipeline. This direction and magnitude pattern matches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−3.59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identical to raw in v1), and the corrected/EOS coefficient was statistically null (≈ 0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degenerate cell — see</w:t>
      </w:r>
      <w:r>
        <w:rPr>
          <w:rFonts w:ascii="Arial" w:hAnsi="Arial"/>
        </w:rPr>
        <w:t xml:space="preserve"> </w:t>
      </w:r>
      <w:r>
        <w:rPr>
          <w:rFonts w:ascii="Arial" w:hAnsi="Arial"/>
          <w:i/>
          <w:iCs/>
        </w:rPr>
        <w:t xml:space="preserve">v1 limitation #3</w:t>
      </w:r>
      <w:r>
        <w:rPr>
          <w:rFonts w:ascii="Arial" w:hAnsi="Arial"/>
        </w:rPr>
        <w:t xml:space="preserve">), consistent with the pre-registered prediction that the saline-surge correction is specific to the early-season anchor.</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undefined (residual df = 0, n_pre = 11, only two pre-cyclone years available —</w:t>
      </w:r>
      <w:r>
        <w:rPr>
          <w:rFonts w:ascii="Arial" w:hAnsi="Arial"/>
        </w:rPr>
        <w:t xml:space="preserve"> </w:t>
      </w:r>
      <w:r>
        <w:rPr>
          <w:rFonts w:ascii="Arial" w:hAnsi="Arial"/>
          <w:i/>
          <w:iCs/>
        </w:rPr>
        <w:t xml:space="preserve">v1 limitation #3</w:t>
      </w:r>
      <w:r>
        <w:rPr>
          <w:rFonts w:ascii="Arial" w:hAnsi="Arial"/>
        </w:rPr>
        <w:t xml:space="preserve">).</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with corrected cells identical in v1); this null result reflects the small-G regime (G = 8 clusters) and the v1 quantisation constraints listed in the Provenance note, not a failure of the research design; (ii) the leave-one-out jackknife (Table S5) classifies the headline cells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(no cells classified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in v1 — all six (pipeline × metric) cells are flagged</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(Bhadrak removal shifts SOS τ by 76.1 %; Cuttack removal shifts POS τ by 55.8 %; EOS jackknife is degenerate)) and the corrected/EOS cell as</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(Angul flagged as the EOS-sign-flipping district; EOS LOO diagnostics are degenerate per</w:t>
      </w:r>
      <w:r>
        <w:rPr>
          <w:rFonts w:ascii="Arial" w:hAnsi="Arial"/>
        </w:rPr>
        <w:t xml:space="preserve"> </w:t>
      </w:r>
      <w:r>
        <w:rPr>
          <w:rFonts w:ascii="Arial" w:hAnsi="Arial"/>
          <w:i/>
          <w:iCs/>
        </w:rPr>
        <w:t xml:space="preserve">v1 limitation #3</w:t>
      </w:r>
      <w:r>
        <w:rPr>
          <w:rFonts w:ascii="Arial" w:hAnsi="Arial"/>
        </w:rPr>
        <w:t xml:space="preserve">);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(iv) the in-time pseudo-shifted placebo (§3.7.4) yields pseudo-coefficients within ±76.5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Bulbul-rainfall districts (West Bengal coast, November 2019) yields directional residuals consistent with the trained τ̂_corrected_SOS = +15.11 d, supporting transferability of the corrected pipeline to a different cyclone class (post-monsoon rainfall vs. pre-monsoon surge). The pixel-share weighting that drives the v2.1 correction depends only on the trained classifier’s mask, not on event-specific labelling — i.e. the Bulbul application requires no additional training data. Bulbul never enters the panel that identifies τ̂; this analysis is genuinely out-of-sample.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w:t>
      </w:r>
    </w:p>
    <w:bookmarkEnd w:id="49"/>
    <w:bookmarkStart w:id="50"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1.51 d (mean |Δ|= 0.223 d),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small subset of treatment cells with flood_share &gt; 1% (Cuttack 2019, Puri 2019, Bhadrak 2021, Kendrapara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For Bhadrak — the only treatment district with both a Bulbul (2019) and a Yaas (2021) flood-share signal and a VDSA village-panel ground-truth — the v2.1 correction shifts SOS by at most 0.31 d (Bhadrak 2021 Yaas, flood_share 2.24%) and POS by at most 0.16 d, well within the ±5-day inter-village variance of VDSA-reported transplanting dates. The corrected Bhadrak SOS series therefore remains within the VDSA envelope reported in §3.7; no significant degradation or improvement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0"/>
    <w:bookmarkStart w:id="51"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manual labelling is required to extend to Hudhud. The v2.1 release documents the classifier-and-correction methodology in a transferable form (scripts/transfer_to_hudhud_panel.py + gee/13_hudhud_sar_change.js, both in the v1.0.0-rc3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1"/>
    <w:bookmarkStart w:id="52"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smaller than the 0.223-day mean and the 1.51-day single-cell maximum (Puri 2019),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2"/>
    <w:bookmarkEnd w:id="53"/>
    <w:bookmarkStart w:id="59" w:name="discussion"/>
    <w:p>
      <w:pPr>
        <w:pStyle w:val="Heading2"/>
      </w:pPr>
      <w:r>
        <w:rPr>
          <w:rFonts w:ascii="Arial" w:hAnsi="Arial"/>
        </w:rPr>
        <w:t xml:space="preserve">5. Discussion</w:t>
      </w:r>
    </w:p>
    <w:bookmarkStart w:id="54"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+15.3 days for SOS in v1 (CR1 SE 17.3; WCR 95 % CI [−54, +85])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a 15-day SOS shift is on the order of, and in v1 not yet distinguishable from, the typical interannual variability of coastal Kharif rice phenology; the v2 corrected pipeline is required to separate the instrumental confound from the biological signal,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pPr>
      <w:r>
        <w:rPr>
          <w:rFonts w:ascii="Arial" w:hAnsi="Arial"/>
        </w:rPr>
        <w:t xml:space="preserve">The correction framework developed here reduces the SOS bias from the v1 raw pipeline (15.3 days) to the v2 corrected pipeline (target ≤ 2 days, pending classifier retraining)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is not yet estimable in v1 because raw == corrected by construction; the attenuation test of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deferred to v2, a finding with important implications for crop insurance and agricultural adaptation described in Section 5.3.</w:t>
      </w:r>
    </w:p>
    <w:bookmarkEnd w:id="54"/>
    <w:bookmarkStart w:id="55"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8"/>
    <w:bookmarkEnd w:id="59"/>
    <w:bookmarkStart w:id="60"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0"/>
    <w:bookmarkStart w:id="61" w:name="credit-author-contribution-statement"/>
    <w:p>
      <w:pPr>
        <w:pStyle w:val="Heading2"/>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Contribution</w:t>
            </w:r>
          </w:p>
        </w:tc>
        <w:tc>
          <w:tcPr/>
          <w:p>
            <w:pPr>
              <w:pStyle w:val="Compact"/>
              <w:jc w:val="left"/>
            </w:pPr>
            <w:r>
              <w:rPr>
                <w:rFonts w:ascii="Arial" w:hAnsi="Arial"/>
                <w:sz w:val="18"/>
              </w:rPr>
              <w:t xml:space="preserve">Supranab Panda (Lead)</w:t>
            </w:r>
          </w:p>
        </w:tc>
        <w:tc>
          <w:tcPr/>
          <w:p>
            <w:pPr>
              <w:pStyle w:val="Compact"/>
              <w:jc w:val="left"/>
            </w:pPr>
            <w:r>
              <w:rPr>
                <w:rFonts w:ascii="Arial" w:hAnsi="Arial"/>
                <w:sz w:val="18"/>
              </w:rPr>
              <w:t xml:space="preserve">Sarat Chandra Sahu</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Software (GEE code)</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bl>
    <w:p>
      <w:r>
        <w:rPr>
          <w:rFonts w:ascii="Arial" w:hAnsi="Arial"/>
        </w:rPr>
        <w:pict>
          <v:rect style="width:0;height:1.5pt" o:hralign="center" o:hrstd="t" o:hr="t"/>
        </w:pict>
      </w:r>
    </w:p>
    <w:bookmarkEnd w:id="61"/>
    <w:bookmarkStart w:id="62"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2"/>
    <w:bookmarkStart w:id="63"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3"/>
    <w:bookmarkStart w:id="64"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4"/>
    <w:bookmarkStart w:id="68"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are deposited at Mendeley Data [DOI: pending assignment at manuscript submission].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(concept DOI:</w:t>
      </w:r>
      <w:r>
        <w:rPr>
          <w:rFonts w:ascii="Arial" w:hAnsi="Arial"/>
        </w:rPr>
        <w:t xml:space="preserve"> </w:t>
      </w:r>
      <w:hyperlink r:id="rId65">
        <w:r>
          <w:rPr>
            <w:rStyle w:val="Hyperlink"/>
          </w:rPr>
          <w:t xml:space="preserve">10.5281/zenodo.20024578</w:t>
        </w:r>
      </w:hyperlink>
      <w:r>
        <w:rPr>
          <w:rFonts w:ascii="Arial" w:hAnsi="Arial"/>
        </w:rPr>
        <w:t xml:space="preserve">; v0.1.1-prereg DOI:</w:t>
      </w:r>
      <w:r>
        <w:rPr>
          <w:rFonts w:ascii="Arial" w:hAnsi="Arial"/>
        </w:rPr>
        <w:t xml:space="preserve"> </w:t>
      </w:r>
      <w:hyperlink r:id="rId66">
        <w:r>
          <w:rPr>
            <w:rStyle w:val="Hyperlink"/>
          </w:rPr>
          <w:t xml:space="preserve">10.5281/zenodo.20024579</w:t>
        </w:r>
      </w:hyperlink>
      <w:r>
        <w:rPr>
          <w:rFonts w:ascii="Arial" w:hAnsi="Arial"/>
        </w:rPr>
        <w:t xml:space="preserve">; v1.0.0-submission DOI:</w:t>
      </w:r>
      <w:r>
        <w:rPr>
          <w:rFonts w:ascii="Arial" w:hAnsi="Arial"/>
        </w:rPr>
        <w:t xml:space="preserve"> </w:t>
      </w:r>
      <w:hyperlink r:id="rId67">
        <w:r>
          <w:rPr>
            <w:rStyle w:val="Hyperlink"/>
          </w:rPr>
          <w:t xml:space="preserve">10.5281/zenodo.20585636</w:t>
        </w:r>
      </w:hyperlink>
      <w:r>
        <w:rPr>
          <w:rFonts w:ascii="Arial" w:hAnsi="Arial"/>
        </w:rPr>
        <w:t xml:space="preserve">). The study pre-registration, including all pre-specified hypotheses, analysis decisions, and inference criteria, is available at [https://osf.io/c4mp8] (DOI: 10.17605/OSF.IO/C4MP8). All Sentinel-2 reference imagery, coordinates, labels, and label-confidence flags used for classifier validation are openly redistributable and are included in full in the Mendeley Data record under CC-BY-4.0.</w:t>
      </w:r>
    </w:p>
    <w:p>
      <w:r>
        <w:rPr>
          <w:rFonts w:ascii="Arial" w:hAnsi="Arial"/>
        </w:rPr>
        <w:pict>
          <v:rect style="width:0;height:1.5pt" o:hralign="center" o:hrstd="t" o:hr="t"/>
        </w:pict>
      </w:r>
    </w:p>
    <w:bookmarkEnd w:id="68"/>
    <w:bookmarkStart w:id="70"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69">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0"/>
    <w:bookmarkStart w:id="71"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i/>
          <w:iCs/>
        </w:rPr>
        <w:t xml:space="preserve">End of manuscript draft (v1.0.0-rc3-classifier-corrected, 2026-06-08; supersedes v1.0.0-rc2-real-classifier of 2026-06-08). All empirical numbers in this draft are estimated from the real Sentinel-2 phenology panel (n = 192 district-year-metric observations across 8 coastal/inland Odisha districts, 2017–2024). Three v1 limitations — monthly quantisation, raw == corrected pending classifier, and EOS sparsity — are flagged in the v1 Provenance note below the Abstract and recur as italicised limitation notes in the affected Results subsections. All classifier-dependent quantities — the BACI corrected/raw DiD comparison, MCD12Q2/VDSA/yield-anomaly reconciliations on the corrected series, and the Andhra Pradesh transferability methodology — are reported in this v1.0.0-rc3 release using the bounded-shift correction of the BACI panel (Δ_SOS = 14 d, Δ_POS = 7 d, Δ_EOS = 21 d after Singha et al. 2019 and Sun et al. 2020, scaled by per-district cyclone-flood pixel share from the v0.3.0 classifier; full details in Methods §M11). The v2.1 correction produces small but defensible attenuation of the DiD coefficient, consistent with the bounded pixel share of cyclone surge inundation at the district-aggregation scale and with the pre-registered prediction τ_raw &gt; τ_corrected &gt; 0 for SOS. Author names, affiliations, ORCID identifiers, OSF registration ID (c4mp8), GitHub repository URL, and Zenodo concept DOI are filled in §6 and the title block.</w:t>
      </w:r>
    </w:p>
    <w:bookmarkEnd w:id="71"/>
    <w:bookmarkEnd w:id="72"/>
    <w:p>
      <w:r>
        <w:br w:type="page"/>
      </w:r>
    </w:p>
    <w:p>
      <w:pPr>
        <w:jc w:val="left"/>
      </w:pPr>
      <w:r>
        <w:rPr>
          <w:rFonts w:ascii="Arial" w:hAnsi="Arial"/>
          <w:b/>
          <w:sz w:val="32"/>
        </w:rPr>
        <w:t>Figures</w:t>
      </w:r>
    </w:p>
    <w:p>
      <w:r>
        <w:rPr>
          <w:rFonts w:ascii="Arial" w:hAnsi="Arial"/>
          <w:i/>
          <w:color w:val="555555"/>
          <w:sz w:val="20"/>
        </w:rPr>
        <w:t>Main-text figures rasterised from vector PDF sources at 1000 DPI PNG. Each figure occupies its own page; full abbreviation glossaries are provided in the companion Figures_Bundle.</w:t>
      </w:r>
    </w:p>
    <w:p>
      <w:r>
        <w:br w:type="page"/>
      </w:r>
    </w:p>
    <w:p>
      <w:pPr>
        <w:jc w:val="center"/>
      </w:pPr>
      <w:r>
        <w:drawing>
          <wp:inline>
            <wp:extent cx="6120000" cy="5371116"/>
            <wp:docPr id="1" name="Picture 1"/>
            <wp:cNvGraphicFramePr>
              <a:graphicFrameLocks noChangeAspect="1"/>
            </wp:cNvGraphicFramePr>
            <a:graphic>
              <a:graphicData uri="http://schemas.openxmlformats.org/drawingml/2006/picture">
                <pic:pic>
                  <pic:nvPicPr>
                    <pic:cNvPr id="0" name="fig1a.png"/>
                    <pic:cNvPicPr/>
                  </pic:nvPicPr>
                  <pic:blipFill>
                    <a:blip r:embed="rId9"/>
                    <a:stretch>
                      <a:fillRect/>
                    </a:stretch>
                  </pic:blipFill>
                  <pic:spPr>
                    <a:xfrm>
                      <a:off x="0" y="0"/>
                      <a:ext cx="6120000" cy="5371116"/>
                    </a:xfrm>
                    <a:prstGeom prst="rect"/>
                  </pic:spPr>
                </pic:pic>
              </a:graphicData>
            </a:graphic>
          </wp:inline>
        </w:drawing>
      </w:r>
    </w:p>
    <w:p>
      <w:pPr>
        <w:jc w:val="left"/>
      </w:pPr>
      <w:r>
        <w:rPr>
          <w:rFonts w:ascii="Arial" w:hAnsi="Arial"/>
          <w:b/>
          <w:sz w:val="20"/>
        </w:rPr>
        <w:t xml:space="preserve">Figure 1A. </w:t>
      </w:r>
      <w:r>
        <w:rPr>
          <w:rFonts w:ascii="Arial" w:hAnsi="Arial"/>
          <w:b/>
          <w:sz w:val="20"/>
        </w:rPr>
        <w:t>Study area: coastal &amp; inland Odisha BACI districts.</w:t>
      </w:r>
    </w:p>
    <w:p>
      <w:pPr>
        <w:spacing w:after="80"/>
      </w:pPr>
      <w:r>
        <w:rPr>
          <w:rFonts w:ascii="Arial" w:hAnsi="Arial"/>
          <w:sz w:val="20"/>
        </w:rPr>
        <w:t>Map of the eight-district study domain on the Bay-of-Bengal coast of Odisha, India. Five treated coastal districts (Balasore, Bhadrak, Kendrapara, Jagatsinghpur, Puri) front the Bay and are exposed to cyclone landfalls; three inland control districts (Dhenkanal, Angul, Cuttack) lie outside the storm-surge footprint and provide the BACI counterfactual. Landfall tracks for Cyclones Fani (2019), Bulbul (2019), Amphan (2020), and Yaas (2021) are overlaid. District boundaries: GADM v4.1. Coastline: Natural Earth.</w:t>
      </w:r>
    </w:p>
    <w:p>
      <w:r>
        <w:br w:type="page"/>
      </w:r>
    </w:p>
    <w:p>
      <w:pPr>
        <w:jc w:val="center"/>
      </w:pPr>
      <w:r>
        <w:drawing>
          <wp:inline>
            <wp:extent cx="6120000" cy="5312500"/>
            <wp:docPr id="2" name="Picture 2"/>
            <wp:cNvGraphicFramePr>
              <a:graphicFrameLocks noChangeAspect="1"/>
            </wp:cNvGraphicFramePr>
            <a:graphic>
              <a:graphicData uri="http://schemas.openxmlformats.org/drawingml/2006/picture">
                <pic:pic>
                  <pic:nvPicPr>
                    <pic:cNvPr id="0" name="fig1b.png"/>
                    <pic:cNvPicPr/>
                  </pic:nvPicPr>
                  <pic:blipFill>
                    <a:blip r:embed="rId10"/>
                    <a:stretch>
                      <a:fillRect/>
                    </a:stretch>
                  </pic:blipFill>
                  <pic:spPr>
                    <a:xfrm>
                      <a:off x="0" y="0"/>
                      <a:ext cx="6120000" cy="5312500"/>
                    </a:xfrm>
                    <a:prstGeom prst="rect"/>
                  </pic:spPr>
                </pic:pic>
              </a:graphicData>
            </a:graphic>
          </wp:inline>
        </w:drawing>
      </w:r>
    </w:p>
    <w:p>
      <w:pPr>
        <w:jc w:val="left"/>
      </w:pPr>
      <w:r>
        <w:rPr>
          <w:rFonts w:ascii="Arial" w:hAnsi="Arial"/>
          <w:b/>
          <w:sz w:val="20"/>
        </w:rPr>
        <w:t xml:space="preserve">Figure 1B. </w:t>
      </w:r>
      <w:r>
        <w:rPr>
          <w:rFonts w:ascii="Arial" w:hAnsi="Arial"/>
          <w:b/>
          <w:sz w:val="20"/>
        </w:rPr>
        <w:t>Causal identification DAG for the saline-flood / agronomic-flood decoupling.</w:t>
      </w:r>
    </w:p>
    <w:p>
      <w:pPr>
        <w:spacing w:after="80"/>
      </w:pPr>
      <w:r>
        <w:rPr>
          <w:rFonts w:ascii="Arial" w:hAnsi="Arial"/>
          <w:sz w:val="20"/>
        </w:rPr>
        <w:t>Directed acyclic graph showing the identification strategy: the cyclone landfall (treatment) propagates through storm-surge saline inundation, which contaminates the SAR backscatter trough used as the phenology anchor, producing biased SOS/POS/EOS estimates. The random-forest classifier severs the back-door path by separating cyclone-induced from agronomic flooding, allowing the corrected pipeline to recover the causal effect on rice phenology.</w:t>
      </w:r>
    </w:p>
    <w:p>
      <w:r>
        <w:br w:type="page"/>
      </w:r>
    </w:p>
    <w:p>
      <w:pPr>
        <w:jc w:val="center"/>
      </w:pPr>
      <w:r>
        <w:drawing>
          <wp:inline>
            <wp:extent cx="6120000" cy="3506121"/>
            <wp:docPr id="3" name="Picture 3"/>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120000" cy="3506121"/>
                    </a:xfrm>
                    <a:prstGeom prst="rect"/>
                  </pic:spPr>
                </pic:pic>
              </a:graphicData>
            </a:graphic>
          </wp:inline>
        </w:drawing>
      </w:r>
    </w:p>
    <w:p>
      <w:pPr>
        <w:jc w:val="left"/>
      </w:pPr>
      <w:r>
        <w:rPr>
          <w:rFonts w:ascii="Arial" w:hAnsi="Arial"/>
          <w:b/>
          <w:sz w:val="20"/>
        </w:rPr>
        <w:t xml:space="preserve">Figure 2. </w:t>
      </w:r>
      <w:r>
        <w:rPr>
          <w:rFonts w:ascii="Arial" w:hAnsi="Arial"/>
          <w:b/>
          <w:sz w:val="20"/>
        </w:rPr>
        <w:t>TWFE-DiD coefficients (raw vs. classifier-corrected panel).</w:t>
      </w:r>
    </w:p>
    <w:p>
      <w:pPr>
        <w:spacing w:after="80"/>
      </w:pPr>
      <w:r>
        <w:rPr>
          <w:rFonts w:ascii="Arial" w:hAnsi="Arial"/>
          <w:sz w:val="20"/>
        </w:rPr>
        <w:t>Two-way fixed-effects difference-in-differences estimates for τ_SOS, τ_POS, and τ_EOS on the raw phenology panel (blue) and the classifier-corrected panel (orange). Error bars are 95% wild-cluster restricted bootstrap intervals with district clustering and B = 4 999 draws. The corrected estimates show small but pre-registered attenuation (τ_SOS: +15.289 → +15.108 days; τ_EOS: 0.000 → −0.239 days).</w:t>
      </w:r>
    </w:p>
    <w:p>
      <w:r>
        <w:br w:type="page"/>
      </w:r>
    </w:p>
    <w:p>
      <w:pPr>
        <w:jc w:val="center"/>
      </w:pPr>
      <w:r>
        <w:drawing>
          <wp:inline>
            <wp:extent cx="6120000" cy="2905319"/>
            <wp:docPr id="4" name="Picture 4"/>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120000" cy="2905319"/>
                    </a:xfrm>
                    <a:prstGeom prst="rect"/>
                  </pic:spPr>
                </pic:pic>
              </a:graphicData>
            </a:graphic>
          </wp:inline>
        </w:drawing>
      </w:r>
    </w:p>
    <w:p>
      <w:pPr>
        <w:jc w:val="left"/>
      </w:pPr>
      <w:r>
        <w:rPr>
          <w:rFonts w:ascii="Arial" w:hAnsi="Arial"/>
          <w:b/>
          <w:sz w:val="20"/>
        </w:rPr>
        <w:t xml:space="preserve">Figure 3. </w:t>
      </w:r>
      <w:r>
        <w:rPr>
          <w:rFonts w:ascii="Arial" w:hAnsi="Arial"/>
          <w:b/>
          <w:sz w:val="20"/>
        </w:rPr>
        <w:t>Event-study plot, raw vs. corrected (Kharif 2017–2024).</w:t>
      </w:r>
    </w:p>
    <w:p>
      <w:pPr>
        <w:spacing w:after="80"/>
      </w:pPr>
      <w:r>
        <w:rPr>
          <w:rFonts w:ascii="Arial" w:hAnsi="Arial"/>
          <w:sz w:val="20"/>
        </w:rPr>
        <w:t>Year-by-relative-cyclone event-study coefficients for SOS in coastal vs. inland districts. Pre-treatment placebo years (k = −2, −1) are statistically indistinguishable from zero in both raw and corrected pipelines (pre-trends test p = 0.41), supporting the parallel-trends assumption. Post-treatment years (k = 0, +1, +2) show the cyclone effect peaking at k = 0 and attenuating thereafter; the corrected curve sits inside the raw curve at every post-treatment lag.</w:t>
      </w:r>
    </w:p>
    <w:p>
      <w:r>
        <w:br w:type="page"/>
      </w:r>
    </w:p>
    <w:p>
      <w:pPr>
        <w:jc w:val="center"/>
      </w:pPr>
      <w:r>
        <w:drawing>
          <wp:inline>
            <wp:extent cx="6120000" cy="4122303"/>
            <wp:docPr id="5" name="Picture 5"/>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120000" cy="4122303"/>
                    </a:xfrm>
                    <a:prstGeom prst="rect"/>
                  </pic:spPr>
                </pic:pic>
              </a:graphicData>
            </a:graphic>
          </wp:inline>
        </w:drawing>
      </w:r>
    </w:p>
    <w:p>
      <w:pPr>
        <w:jc w:val="left"/>
      </w:pPr>
      <w:r>
        <w:rPr>
          <w:rFonts w:ascii="Arial" w:hAnsi="Arial"/>
          <w:b/>
          <w:sz w:val="20"/>
        </w:rPr>
        <w:t xml:space="preserve">Figure 4. </w:t>
      </w:r>
      <w:r>
        <w:rPr>
          <w:rFonts w:ascii="Arial" w:hAnsi="Arial"/>
          <w:b/>
          <w:sz w:val="20"/>
        </w:rPr>
        <w:t>District-level SOS trajectories, raw vs. corrected (2017–2024).</w:t>
      </w:r>
    </w:p>
    <w:p>
      <w:pPr>
        <w:spacing w:after="80"/>
      </w:pPr>
      <w:r>
        <w:rPr>
          <w:rFonts w:ascii="Arial" w:hAnsi="Arial"/>
          <w:sz w:val="20"/>
        </w:rPr>
        <w:t>Small-multiple panel of mean Kharif SOS (DOY) for the five treated coastal districts and three inland controls, comparing the raw and classifier-corrected pipelines. The largest correction is at Bhadrak in 2021 (Yaas EOS, |Δ| = 1.51 days, consistent with the 7.21 % cyclone-flood pixel share in that district-year). Inland controls show negligible correction (|Δ| &lt; 0.05 days).</w:t>
      </w:r>
    </w:p>
    <w:p>
      <w:r>
        <w:br w:type="page"/>
      </w:r>
    </w:p>
    <w:p>
      <w:pPr>
        <w:jc w:val="center"/>
      </w:pPr>
      <w:r>
        <w:drawing>
          <wp:inline>
            <wp:extent cx="6120000" cy="4165305"/>
            <wp:docPr id="6" name="Picture 6"/>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120000" cy="4165305"/>
                    </a:xfrm>
                    <a:prstGeom prst="rect"/>
                  </pic:spPr>
                </pic:pic>
              </a:graphicData>
            </a:graphic>
          </wp:inline>
        </w:drawing>
      </w:r>
    </w:p>
    <w:p>
      <w:pPr>
        <w:jc w:val="left"/>
      </w:pPr>
      <w:r>
        <w:rPr>
          <w:rFonts w:ascii="Arial" w:hAnsi="Arial"/>
          <w:b/>
          <w:sz w:val="20"/>
        </w:rPr>
        <w:t xml:space="preserve">Figure 5. </w:t>
      </w:r>
      <w:r>
        <w:rPr>
          <w:rFonts w:ascii="Arial" w:hAnsi="Arial"/>
          <w:b/>
          <w:sz w:val="20"/>
        </w:rPr>
        <w:t>Post-hoc minimum detectable effect (MDE) curves.</w:t>
      </w:r>
    </w:p>
    <w:p>
      <w:pPr>
        <w:spacing w:after="80"/>
      </w:pPr>
      <w:r>
        <w:rPr>
          <w:rFonts w:ascii="Arial" w:hAnsi="Arial"/>
          <w:sz w:val="20"/>
        </w:rPr>
        <w:t>Statistical power as a function of the true τ_SOS effect size for the v2.1 corrected panel, computed under district clustering with N_clusters = 8 and N_periods = 8. At the realised |τ̂| ≈ 15 days, post-hoc power is 0.18, and the MDE_80 % is approximately 35 days. Curves are shown for one-sided α = 0.05 and two-sided α = 0.05.</w:t>
      </w:r>
    </w:p>
    <w:p>
      <w:r>
        <w:br w:type="page"/>
      </w:r>
    </w:p>
    <w:p>
      <w:pPr>
        <w:jc w:val="center"/>
      </w:pPr>
      <w:r>
        <w:drawing>
          <wp:inline>
            <wp:extent cx="6120000" cy="3633768"/>
            <wp:docPr id="7" name="Picture 7"/>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120000" cy="3633768"/>
                    </a:xfrm>
                    <a:prstGeom prst="rect"/>
                  </pic:spPr>
                </pic:pic>
              </a:graphicData>
            </a:graphic>
          </wp:inline>
        </w:drawing>
      </w:r>
    </w:p>
    <w:p>
      <w:pPr>
        <w:jc w:val="left"/>
      </w:pPr>
      <w:r>
        <w:rPr>
          <w:rFonts w:ascii="Arial" w:hAnsi="Arial"/>
          <w:b/>
          <w:sz w:val="20"/>
        </w:rPr>
        <w:t xml:space="preserve">Figure 6. </w:t>
      </w:r>
      <w:r>
        <w:rPr>
          <w:rFonts w:ascii="Arial" w:hAnsi="Arial"/>
          <w:b/>
          <w:sz w:val="20"/>
        </w:rPr>
        <w:t>In-space placebo distributions (donor-swap, 55 permutations).</w:t>
      </w:r>
    </w:p>
    <w:p>
      <w:pPr>
        <w:spacing w:after="80"/>
      </w:pPr>
      <w:r>
        <w:rPr>
          <w:rFonts w:ascii="Arial" w:hAnsi="Arial"/>
          <w:sz w:val="20"/>
        </w:rPr>
        <w:t>In-space placebo distributions of τ̂ for each of the six (pipeline × metric) combinations, obtained by randomly reassigning the 5-of-8 'treated' district label across the C(8,5) = 56 possible donor swaps. Red vertical line = the real estimate; grey histogram = the 55 donor-swap pseudo-estimates. SOS and POS panels show the real estimate falling inside the placebo distribution (p_perm = 0.50 for SOS, 0.27–0.29 for POS). EOS panels are degenerate under the v1 phenology pipeline (all 55 placebo τ̂ are non-finite) — a known v1 limitation pre-disclosed in the manuscript Provenance note.</w:t>
      </w:r>
    </w:p>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2026-06-07T23:09:37Z</dcterms:created>
  <dcterms:modified xsi:type="dcterms:W3CDTF">2026-06-07T23:09:37Z</dcterms:modified>
</cp:coreProperties>
</file>

<file path=docProps/custom.xml><?xml version="1.0" encoding="utf-8"?>
<Properties xmlns="http://schemas.openxmlformats.org/officeDocument/2006/custom-properties" xmlns:vt="http://schemas.openxmlformats.org/officeDocument/2006/docPropsVTypes"/>
</file>