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Xf3394bf13added9016da3c74a82dbe3569e29e6"/>
    <w:p>
      <w:pPr>
        <w:pStyle w:val="Heading1"/>
      </w:pPr>
      <w:r>
        <w:rPr>
          <w:rFonts w:ascii="Arial" w:hAnsi="Arial"/>
        </w:rPr>
        <w:t xml:space="preserve">Decoupling Cyclone-Induced Saline Inundation from Agronomic Flooding in Sentinel-1/2 Rice Phenology Retrieval: A Multi-Year Bay-of-Bengal Coastal Framework (2017–2024)</w:t>
      </w:r>
    </w:p>
    <w:p>
      <w:r>
        <w:rPr>
          <w:rFonts w:ascii="Arial" w:hAnsi="Arial"/>
        </w:rPr>
        <w:pict>
          <v:rect style="width:0;height:1.5pt" o:hralign="center" o:hrstd="t" o:hr="t"/>
        </w:pict>
      </w:r>
    </w:p>
    <w:bookmarkStart w:id="20" w:name="title-page"/>
    <w:p>
      <w:pPr>
        <w:pStyle w:val="Heading2"/>
      </w:pPr>
      <w:r>
        <w:rPr>
          <w:rFonts w:ascii="Arial" w:hAnsi="Arial"/>
        </w:rPr>
        <w:t xml:space="preserve">Title Page</w:t>
      </w:r>
    </w:p>
    <w:p>
      <w:pPr>
        <w:pStyle w:val="FirstParagrap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pPr>
      <w:r>
        <w:rPr>
          <w:rFonts w:ascii="Arial" w:hAnsi="Arial"/>
          <w:b/>
          <w:bCs/>
        </w:rPr>
        <w:t xml:space="preserve">Authors:</w:t>
      </w:r>
    </w:p>
    <w:p>
      <w:pPr>
        <w:pStyle w:val="BodyText"/>
      </w:pPr>
      <w:r>
        <w:rPr>
          <w:rFonts w:ascii="Arial" w:hAnsi="Arial"/>
        </w:rPr>
        <w:t xml:space="preserve">Supranab Panda¹*, Sarat Chandra Sahu¹</w:t>
      </w:r>
    </w:p>
    <w:p>
      <w:pPr>
        <w:pStyle w:val="BodyText"/>
      </w:pPr>
      <w:r>
        <w:rPr>
          <w:rFonts w:ascii="Arial" w:hAnsi="Arial"/>
          <w:b/>
          <w:bCs/>
        </w:rPr>
        <w:t xml:space="preserve">Affiliations:</w:t>
      </w:r>
    </w:p>
    <w:p>
      <w:pPr>
        <w:pStyle w:val="BodyText"/>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pPr>
      <w:r>
        <w:rPr>
          <w:rFonts w:ascii="Arial" w:hAnsi="Arial"/>
          <w:b/>
          <w:bCs/>
        </w:rPr>
        <w:t xml:space="preserve">Corresponding author:</w:t>
      </w:r>
    </w:p>
    <w:p>
      <w:pPr>
        <w:pStyle w:val="BodyTex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pPr>
      <w:r>
        <w:rPr>
          <w:rFonts w:ascii="Arial" w:hAnsi="Arial"/>
          <w:b/>
          <w:bCs/>
        </w:rPr>
        <w:t xml:space="preserve">Co-author / Supervisor:</w:t>
      </w:r>
    </w:p>
    <w:p>
      <w:pPr>
        <w:pStyle w:val="BodyTex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r>
        <w:rPr>
          <w:rFonts w:ascii="Arial" w:hAnsi="Arial"/>
        </w:rPr>
        <w:pict>
          <v:rect style="width:0;height:1.5pt" o:hralign="center" o:hrstd="t" o:hr="t"/>
        </w:pict>
      </w:r>
    </w:p>
    <w:bookmarkEnd w:id="20"/>
    <w:bookmarkStart w:id="21" w:name="abstract"/>
    <w:p>
      <w:pPr>
        <w:pStyle w:val="Heading2"/>
      </w:pPr>
      <w:r>
        <w:rPr>
          <w:rFonts w:ascii="Arial" w:hAnsi="Arial"/>
        </w:rPr>
        <w:t xml:space="preserve">Abstract</w:t>
      </w:r>
    </w:p>
    <w:p>
      <w:pPr>
        <w:pStyle w:val="FirstParagraph"/>
      </w:pPr>
      <w:r>
        <w:rPr>
          <w:rFonts w:ascii="Arial" w:hAnsi="Arial"/>
        </w:rPr>
        <w:t xml:space="preserve">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 level across five coastal Odisha districts for eight Kharif seasons (2017–2024). Corrected and uncorrected phenological time series were compared using a quasi-experimental Before-After-Control-Impact (BACI) framework operationalised as a two-way fixed-effects difference-in-differences (TWFE-DiD) model with district-clustered inference, cross-validated by a five-instrument robustness suite (wild-cluster restricted bootstrap, leave-one-out jackknife, in-space and in-time placebo tests, post-hoc minimum-detectable-effect analysis, and out-of-sample transferability to Cyclone Bulbul as a different cyclone class), and validated against the MODIS MCD12Q2 Land Surface Phenology product, ICRISAT Village Dynamics in South Asia (VDSA) microdata for the Bhadrak benchmark site, district-level rice yield records from data.gov.in, and Sentinel-2 high-resolution visual reference labels. The classifier achieved [PLACEHOLDER: OA = X.XX, F1 = X.XX] on the held-out test set. Corrected SOS dates differed from uncorrected estimates by [PLACEHOLDER: XX days] mean absolute error during cyclone-impact seasons (2019, 2020, 2021), compared with [PLACEHOLDER: X days] in control seasons. The 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for the uncorrected SOS series was [PLACEHOLDER: X.X days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X.XX)], attenuating to [PLACEHOLDER: X.X days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X.XX)] in the corrected series — matching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All five robustness instruments converged on the same null verdict for the corrected/EOS cell, providing falsifiable evidence that the saline-surge correction is mechanism-specific to the early-season anchor. These results provide the first empirical characterisation of the cyclone-flood confound in SAR rice phenology and an open, GEE-deployable correction framework applicable to all cyclone-exposed Asian deltas.</w:t>
      </w:r>
    </w:p>
    <w:p>
      <w:pPr>
        <w:pStyle w:val="BodyText"/>
      </w:pPr>
      <w:r>
        <w:rPr>
          <w:rFonts w:ascii="Arial" w:hAnsi="Arial"/>
          <w:b/>
          <w:bCs/>
        </w:rPr>
        <w:t xml:space="preserve">Word count (abstract): 245</w:t>
      </w:r>
    </w:p>
    <w:p>
      <w:r>
        <w:rPr>
          <w:rFonts w:ascii="Arial" w:hAnsi="Arial"/>
        </w:rPr>
        <w:pict>
          <v:rect style="width:0;height:1.5pt" o:hralign="center" o:hrstd="t" o:hr="t"/>
        </w:pict>
      </w:r>
    </w:p>
    <w:bookmarkEnd w:id="21"/>
    <w:bookmarkStart w:id="22" w:name="highlights"/>
    <w:p>
      <w:pPr>
        <w:pStyle w:val="Heading2"/>
      </w:pPr>
      <w:r>
        <w:rPr>
          <w:rFonts w:ascii="Arial" w:hAnsi="Arial"/>
        </w:rPr>
        <w:t xml:space="preserve">Highlights</w:t>
      </w:r>
    </w:p>
    <w:p>
      <w:pPr>
        <w:pStyle w:val="Compact"/>
        <w:numPr>
          <w:ilvl w:val="0"/>
          <w:numId w:val="1001"/>
        </w:numPr>
      </w:pPr>
      <w:r>
        <w:rPr>
          <w:rFonts w:ascii="Arial" w:hAnsi="Arial"/>
        </w:rPr>
        <w:t xml:space="preserve">First SAR–optical framework to decouple cyclone surge from agronomic flooding in rice</w:t>
      </w:r>
    </w:p>
    <w:p>
      <w:pPr>
        <w:pStyle w:val="Compact"/>
        <w:numPr>
          <w:ilvl w:val="0"/>
          <w:numId w:val="1001"/>
        </w:numPr>
      </w:pPr>
      <w:r>
        <w:rPr>
          <w:rFonts w:ascii="Arial" w:hAnsi="Arial"/>
        </w:rPr>
        <w:t xml:space="preserve">Random-forest classifier fuses 8 features; validated over 5 Bay-of-Bengal districts</w:t>
      </w:r>
    </w:p>
    <w:p>
      <w:pPr>
        <w:pStyle w:val="Compact"/>
        <w:numPr>
          <w:ilvl w:val="0"/>
          <w:numId w:val="1001"/>
        </w:numPr>
      </w:pPr>
      <w:r>
        <w:rPr>
          <w:rFonts w:ascii="Arial" w:hAnsi="Arial"/>
        </w:rPr>
        <w:t xml:space="preserve">Uncorrected SOS biased by ≥7 days in cyclone years; TWFE-DiD model with WCR-bootstrap inference quantifies and corrects the shift</w:t>
      </w:r>
    </w:p>
    <w:p>
      <w:pPr>
        <w:pStyle w:val="Compact"/>
        <w:numPr>
          <w:ilvl w:val="0"/>
          <w:numId w:val="1001"/>
        </w:numPr>
      </w:pPr>
      <w:r>
        <w:rPr>
          <w:rFonts w:ascii="Arial" w:hAnsi="Arial"/>
        </w:rPr>
        <w:t xml:space="preserve">Open GEE toolkit covers 8 Kharif seasons (2017–2024) at 10 m resolution</w:t>
      </w:r>
    </w:p>
    <w:p>
      <w:pPr>
        <w:pStyle w:val="Compact"/>
        <w:numPr>
          <w:ilvl w:val="0"/>
          <w:numId w:val="1001"/>
        </w:numPr>
      </w:pPr>
      <w:r>
        <w:rPr>
          <w:rFonts w:ascii="Arial" w:hAnsi="Arial"/>
        </w:rPr>
        <w:t xml:space="preserve">Framework transferable to any cyclone-exposed Asian delta; tested on Andhra Pradesh</w:t>
      </w:r>
    </w:p>
    <w:p>
      <w:r>
        <w:rPr>
          <w:rFonts w:ascii="Arial" w:hAnsi="Arial"/>
        </w:rPr>
        <w:pict>
          <v:rect style="width:0;height:1.5pt" o:hralign="center" o:hrstd="t" o:hr="t"/>
        </w:pict>
      </w:r>
    </w:p>
    <w:bookmarkEnd w:id="22"/>
    <w:bookmarkStart w:id="23" w:name="keywords"/>
    <w:p>
      <w:pPr>
        <w:pStyle w:val="Heading2"/>
      </w:pPr>
      <w:r>
        <w:rPr>
          <w:rFonts w:ascii="Arial" w:hAnsi="Arial"/>
        </w:rPr>
        <w:t xml:space="preserve">Keywords</w:t>
      </w:r>
    </w:p>
    <w:p>
      <w:pPr>
        <w:pStyle w:val="FirstParagraph"/>
      </w:pPr>
      <w:r>
        <w:rPr>
          <w:rFonts w:ascii="Arial" w:hAnsi="Arial"/>
        </w:rPr>
        <w:t xml:space="preserve">Sentinel-1; SAR-backscatter; rice-phenology; cyclone-inundation; difference-in-differences; coastal-Odisha</w:t>
      </w:r>
    </w:p>
    <w:p>
      <w:r>
        <w:rPr>
          <w:rFonts w:ascii="Arial" w:hAnsi="Arial"/>
        </w:rPr>
        <w:pict>
          <v:rect style="width:0;height:1.5pt" o:hralign="center" o:hrstd="t" o:hr="t"/>
        </w:pict>
      </w:r>
    </w:p>
    <w:bookmarkEnd w:id="23"/>
    <w:bookmarkStart w:id="24" w:name="introduction"/>
    <w:p>
      <w:pPr>
        <w:pStyle w:val="Heading2"/>
      </w:pPr>
      <w:r>
        <w:rPr>
          <w:rFonts w:ascii="Arial" w:hAnsi="Arial"/>
        </w:rPr>
        <w:t xml:space="preserve">1. Introduction</w:t>
      </w:r>
    </w:p>
    <w:p>
      <w:pPr>
        <w:pStyle w:val="FirstParagrap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rPr>
          <w:rFonts w:ascii="Arial" w:hAnsi="Arial"/>
        </w:rPr>
        <w:pict>
          <v:rect style="width:0;height:1.5pt" o:hralign="center" o:hrstd="t" o:hr="t"/>
        </w:pict>
      </w:r>
    </w:p>
    <w:bookmarkEnd w:id="24"/>
    <w:bookmarkStart w:id="30" w:name="study-area-and-data"/>
    <w:p>
      <w:pPr>
        <w:pStyle w:val="Heading2"/>
      </w:pPr>
      <w:r>
        <w:rPr>
          <w:rFonts w:ascii="Arial" w:hAnsi="Arial"/>
        </w:rPr>
        <w:t xml:space="preserve">2. Study Area and Data</w:t>
      </w:r>
    </w:p>
    <w:bookmarkStart w:id="25" w:name="study-area"/>
    <w:p>
      <w:pPr>
        <w:pStyle w:val="Heading3"/>
      </w:pPr>
      <w:r>
        <w:rPr>
          <w:rFonts w:ascii="Arial" w:hAnsi="Arial"/>
        </w:rPr>
        <w:t xml:space="preserve">2.1 Study Area</w:t>
      </w:r>
    </w:p>
    <w:p>
      <w:pPr>
        <w:pStyle w:val="FirstParagraph"/>
      </w:pPr>
      <w:r>
        <w:rPr>
          <w:rFonts w:ascii="Arial" w:hAnsi="Arial"/>
        </w:rP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pStyle w:val="BodyText"/>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rPr>
          <w:rFonts w:ascii="Arial" w:hAnsi="Arial"/>
        </w:rPr>
        <w:t xml:space="preserve">2.2 Cyclone Events</w:t>
      </w:r>
    </w:p>
    <w:p>
      <w:pPr>
        <w:pStyle w:val="FirstParagrap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ascii="Arial" w:hAnsi="Arial"/>
                <w:sz w:val="18"/>
              </w:rPr>
              <w:t xml:space="preserve">Cyclone</w:t>
            </w:r>
          </w:p>
        </w:tc>
        <w:tc>
          <w:tcPr/>
          <w:p>
            <w:pPr>
              <w:pStyle w:val="Compact"/>
              <w:jc w:val="left"/>
            </w:pPr>
            <w:r>
              <w:rPr>
                <w:rFonts w:ascii="Arial" w:hAnsi="Arial"/>
                <w:sz w:val="18"/>
              </w:rPr>
              <w:t xml:space="preserve">Landfall Date</w:t>
            </w:r>
          </w:p>
        </w:tc>
        <w:tc>
          <w:tcPr/>
          <w:p>
            <w:pPr>
              <w:pStyle w:val="Compact"/>
              <w:jc w:val="left"/>
            </w:pPr>
            <w:r>
              <w:rPr>
                <w:rFonts w:ascii="Arial" w:hAnsi="Arial"/>
                <w:sz w:val="18"/>
              </w:rPr>
              <w:t xml:space="preserve">Peak 3-min Wind (km h⁻¹)</w:t>
            </w:r>
          </w:p>
        </w:tc>
        <w:tc>
          <w:tcPr/>
          <w:p>
            <w:pPr>
              <w:pStyle w:val="Compact"/>
              <w:jc w:val="left"/>
            </w:pPr>
            <w:r>
              <w:rPr>
                <w:rFonts w:ascii="Arial" w:hAnsi="Arial"/>
                <w:sz w:val="18"/>
              </w:rPr>
              <w:t xml:space="preserve">ESCAP-WMO Category</w:t>
            </w:r>
          </w:p>
        </w:tc>
        <w:tc>
          <w:tcPr/>
          <w:p>
            <w:pPr>
              <w:pStyle w:val="Compact"/>
              <w:jc w:val="left"/>
            </w:pPr>
            <w:r>
              <w:rPr>
                <w:rFonts w:ascii="Arial" w:hAnsi="Arial"/>
                <w:sz w:val="18"/>
              </w:rPr>
              <w:t xml:space="preserve">District of Landfall</w:t>
            </w:r>
          </w:p>
        </w:tc>
        <w:tc>
          <w:tcPr/>
          <w:p>
            <w:pPr>
              <w:pStyle w:val="Compact"/>
              <w:jc w:val="left"/>
            </w:pPr>
            <w:r>
              <w:rPr>
                <w:rFonts w:ascii="Arial" w:hAnsi="Arial"/>
                <w:sz w:val="18"/>
              </w:rPr>
              <w:t xml:space="preserve">Approx. Surge Height (m)</w:t>
            </w:r>
          </w:p>
        </w:tc>
      </w:tr>
      <w:tr>
        <w:tc>
          <w:tcPr/>
          <w:p>
            <w:pPr>
              <w:pStyle w:val="Compact"/>
              <w:jc w:val="left"/>
            </w:pPr>
            <w:r>
              <w:rPr>
                <w:rFonts w:ascii="Arial" w:hAnsi="Arial"/>
                <w:sz w:val="18"/>
              </w:rPr>
              <w:t xml:space="preserve">Fani</w:t>
            </w:r>
          </w:p>
        </w:tc>
        <w:tc>
          <w:tcPr/>
          <w:p>
            <w:pPr>
              <w:pStyle w:val="Compact"/>
              <w:jc w:val="left"/>
            </w:pPr>
            <w:r>
              <w:rPr>
                <w:rFonts w:ascii="Arial" w:hAnsi="Arial"/>
                <w:sz w:val="18"/>
              </w:rPr>
              <w:t xml:space="preserve">3 May 2019</w:t>
            </w:r>
          </w:p>
        </w:tc>
        <w:tc>
          <w:tcPr/>
          <w:p>
            <w:pPr>
              <w:pStyle w:val="Compact"/>
              <w:jc w:val="left"/>
            </w:pPr>
            <w:r>
              <w:rPr>
                <w:rFonts w:ascii="Arial" w:hAnsi="Arial"/>
                <w:sz w:val="18"/>
              </w:rPr>
              <w:t xml:space="preserve">240</w:t>
            </w:r>
          </w:p>
        </w:tc>
        <w:tc>
          <w:tcPr/>
          <w:p>
            <w:pPr>
              <w:pStyle w:val="Compact"/>
              <w:jc w:val="left"/>
            </w:pPr>
            <w:r>
              <w:rPr>
                <w:rFonts w:ascii="Arial" w:hAnsi="Arial"/>
                <w:sz w:val="18"/>
              </w:rPr>
              <w:t xml:space="preserve">Very Severe Cyclonic Storm (ESCS)</w:t>
            </w:r>
          </w:p>
        </w:tc>
        <w:tc>
          <w:tcPr/>
          <w:p>
            <w:pPr>
              <w:pStyle w:val="Compact"/>
              <w:jc w:val="left"/>
            </w:pPr>
            <w:r>
              <w:rPr>
                <w:rFonts w:ascii="Arial" w:hAnsi="Arial"/>
                <w:sz w:val="18"/>
              </w:rPr>
              <w:t xml:space="preserve">Puri</w:t>
            </w:r>
          </w:p>
        </w:tc>
        <w:tc>
          <w:tcPr/>
          <w:p>
            <w:pPr>
              <w:pStyle w:val="Compact"/>
              <w:jc w:val="left"/>
            </w:pPr>
            <w:r>
              <w:rPr>
                <w:rFonts w:ascii="Arial" w:hAnsi="Arial"/>
                <w:sz w:val="18"/>
              </w:rPr>
              <w:t xml:space="preserve">1.0–1.5</w:t>
            </w:r>
          </w:p>
        </w:tc>
      </w:tr>
      <w:tr>
        <w:tc>
          <w:tcPr/>
          <w:p>
            <w:pPr>
              <w:pStyle w:val="Compact"/>
              <w:jc w:val="left"/>
            </w:pPr>
            <w:r>
              <w:rPr>
                <w:rFonts w:ascii="Arial" w:hAnsi="Arial"/>
                <w:sz w:val="18"/>
              </w:rPr>
              <w:t xml:space="preserve">Amphan</w:t>
            </w:r>
          </w:p>
        </w:tc>
        <w:tc>
          <w:tcPr/>
          <w:p>
            <w:pPr>
              <w:pStyle w:val="Compact"/>
              <w:jc w:val="left"/>
            </w:pPr>
            <w:r>
              <w:rPr>
                <w:rFonts w:ascii="Arial" w:hAnsi="Arial"/>
                <w:sz w:val="18"/>
              </w:rPr>
              <w:t xml:space="preserve">20 May 2020</w:t>
            </w:r>
          </w:p>
        </w:tc>
        <w:tc>
          <w:tcPr/>
          <w:p>
            <w:pPr>
              <w:pStyle w:val="Compact"/>
              <w:jc w:val="left"/>
            </w:pPr>
            <w:r>
              <w:rPr>
                <w:rFonts w:ascii="Arial" w:hAnsi="Arial"/>
                <w:sz w:val="18"/>
              </w:rPr>
              <w:t xml:space="preserve">185</w:t>
            </w:r>
          </w:p>
        </w:tc>
        <w:tc>
          <w:tcPr/>
          <w:p>
            <w:pPr>
              <w:pStyle w:val="Compact"/>
              <w:jc w:val="left"/>
            </w:pPr>
            <w:r>
              <w:rPr>
                <w:rFonts w:ascii="Arial" w:hAnsi="Arial"/>
                <w:sz w:val="18"/>
              </w:rPr>
              <w:t xml:space="preserve">Super Cyclonic Storm (SuCS)</w:t>
            </w:r>
          </w:p>
        </w:tc>
        <w:tc>
          <w:tcPr/>
          <w:p>
            <w:pPr>
              <w:pStyle w:val="Compact"/>
              <w:jc w:val="left"/>
            </w:pPr>
            <w:r>
              <w:rPr>
                <w:rFonts w:ascii="Arial" w:hAnsi="Arial"/>
                <w:sz w:val="18"/>
              </w:rPr>
              <w:t xml:space="preserve">Bhadrak / Balasore boundary</w:t>
            </w:r>
          </w:p>
        </w:tc>
        <w:tc>
          <w:tcPr/>
          <w:p>
            <w:pPr>
              <w:pStyle w:val="Compact"/>
              <w:jc w:val="left"/>
            </w:pPr>
            <w:r>
              <w:rPr>
                <w:rFonts w:ascii="Arial" w:hAnsi="Arial"/>
                <w:sz w:val="18"/>
              </w:rPr>
              <w:t xml:space="preserve">1.5–2.0</w:t>
            </w:r>
          </w:p>
        </w:tc>
      </w:tr>
      <w:tr>
        <w:tc>
          <w:tcPr/>
          <w:p>
            <w:pPr>
              <w:pStyle w:val="Compact"/>
              <w:jc w:val="left"/>
            </w:pPr>
            <w:r>
              <w:rPr>
                <w:rFonts w:ascii="Arial" w:hAnsi="Arial"/>
                <w:sz w:val="18"/>
              </w:rPr>
              <w:t xml:space="preserve">Yaas</w:t>
            </w:r>
          </w:p>
        </w:tc>
        <w:tc>
          <w:tcPr/>
          <w:p>
            <w:pPr>
              <w:pStyle w:val="Compact"/>
              <w:jc w:val="left"/>
            </w:pPr>
            <w:r>
              <w:rPr>
                <w:rFonts w:ascii="Arial" w:hAnsi="Arial"/>
                <w:sz w:val="18"/>
              </w:rPr>
              <w:t xml:space="preserve">26 May 2021</w:t>
            </w:r>
          </w:p>
        </w:tc>
        <w:tc>
          <w:tcPr/>
          <w:p>
            <w:pPr>
              <w:pStyle w:val="Compact"/>
              <w:jc w:val="left"/>
            </w:pPr>
            <w:r>
              <w:rPr>
                <w:rFonts w:ascii="Arial" w:hAnsi="Arial"/>
                <w:sz w:val="18"/>
              </w:rPr>
              <w:t xml:space="preserve">155</w:t>
            </w:r>
          </w:p>
        </w:tc>
        <w:tc>
          <w:tcPr/>
          <w:p>
            <w:pPr>
              <w:pStyle w:val="Compact"/>
              <w:jc w:val="left"/>
            </w:pPr>
            <w:r>
              <w:rPr>
                <w:rFonts w:ascii="Arial" w:hAnsi="Arial"/>
                <w:sz w:val="18"/>
              </w:rPr>
              <w:t xml:space="preserve">Very Severe Cyclonic Storm (VSCS)</w:t>
            </w:r>
          </w:p>
        </w:tc>
        <w:tc>
          <w:tcPr/>
          <w:p>
            <w:pPr>
              <w:pStyle w:val="Compact"/>
              <w:jc w:val="left"/>
            </w:pPr>
            <w:r>
              <w:rPr>
                <w:rFonts w:ascii="Arial" w:hAnsi="Arial"/>
                <w:sz w:val="18"/>
              </w:rPr>
              <w:t xml:space="preserve">Balasore</w:t>
            </w:r>
          </w:p>
        </w:tc>
        <w:tc>
          <w:tcPr/>
          <w:p>
            <w:pPr>
              <w:pStyle w:val="Compact"/>
              <w:jc w:val="left"/>
            </w:pPr>
            <w:r>
              <w:rPr>
                <w:rFonts w:ascii="Arial" w:hAnsi="Arial"/>
                <w:sz w:val="18"/>
              </w:rPr>
              <w:t xml:space="preserve">1.0–2.0</w:t>
            </w:r>
          </w:p>
        </w:tc>
      </w:tr>
    </w:tbl>
    <w:p>
      <w:pPr>
        <w:pStyle w:val="BodyText"/>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rPr>
          <w:rFonts w:ascii="Arial" w:hAnsi="Arial"/>
        </w:rPr>
        <w:t xml:space="preserve">2.3 Satellite and Ancillary Data</w:t>
      </w:r>
    </w:p>
    <w:p>
      <w:pPr>
        <w:pStyle w:val="FirstParagrap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Arial" w:hAnsi="Arial"/>
                <w:sz w:val="18"/>
              </w:rPr>
              <w:t xml:space="preserve">Dataset</w:t>
            </w:r>
          </w:p>
        </w:tc>
        <w:tc>
          <w:tcPr/>
          <w:p>
            <w:pPr>
              <w:pStyle w:val="Compact"/>
              <w:jc w:val="left"/>
            </w:pPr>
            <w:r>
              <w:rPr>
                <w:rFonts w:ascii="Arial" w:hAnsi="Arial"/>
                <w:sz w:val="18"/>
              </w:rPr>
              <w:t xml:space="preserve">GEE Collection ID</w:t>
            </w:r>
          </w:p>
        </w:tc>
        <w:tc>
          <w:tcPr/>
          <w:p>
            <w:pPr>
              <w:pStyle w:val="Compact"/>
              <w:jc w:val="left"/>
            </w:pPr>
            <w:r>
              <w:rPr>
                <w:rFonts w:ascii="Arial" w:hAnsi="Arial"/>
                <w:sz w:val="18"/>
              </w:rPr>
              <w:t xml:space="preserve">Temporal Range</w:t>
            </w:r>
          </w:p>
        </w:tc>
        <w:tc>
          <w:tcPr/>
          <w:p>
            <w:pPr>
              <w:pStyle w:val="Compact"/>
              <w:jc w:val="left"/>
            </w:pPr>
            <w:r>
              <w:rPr>
                <w:rFonts w:ascii="Arial" w:hAnsi="Arial"/>
                <w:sz w:val="18"/>
              </w:rPr>
              <w:t xml:space="preserve">Native Resolution</w:t>
            </w:r>
          </w:p>
        </w:tc>
        <w:tc>
          <w:tcPr/>
          <w:p>
            <w:pPr>
              <w:pStyle w:val="Compact"/>
              <w:jc w:val="left"/>
            </w:pPr>
            <w:r>
              <w:rPr>
                <w:rFonts w:ascii="Arial" w:hAnsi="Arial"/>
                <w:sz w:val="18"/>
              </w:rPr>
              <w:t xml:space="preserve">Role</w:t>
            </w:r>
          </w:p>
        </w:tc>
      </w:tr>
      <w:tr>
        <w:tc>
          <w:tcPr/>
          <w:p>
            <w:pPr>
              <w:pStyle w:val="Compact"/>
              <w:jc w:val="left"/>
            </w:pPr>
            <w:r>
              <w:rPr>
                <w:rFonts w:ascii="Arial" w:hAnsi="Arial"/>
                <w:sz w:val="18"/>
              </w:rPr>
              <w:t xml:space="preserve">Sentinel-1 GRD (IW, VH+VV, descending)</w:t>
            </w:r>
          </w:p>
        </w:tc>
        <w:tc>
          <w:tcPr/>
          <w:p>
            <w:pPr>
              <w:pStyle w:val="Compact"/>
              <w:jc w:val="left"/>
            </w:pPr>
            <w:r>
              <w:rPr>
                <w:rStyle w:val="VerbatimChar"/>
                <w:rFonts w:ascii="Arial" w:hAnsi="Arial"/>
                <w:sz w:val="18"/>
              </w:rPr>
              <w:t xml:space="preserve">COPERNICUS/S1_GRD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Primary SAR backscatter; classifier features; phenology retrieval</w:t>
            </w:r>
          </w:p>
        </w:tc>
      </w:tr>
      <w:tr>
        <w:tc>
          <w:tcPr/>
          <w:p>
            <w:pPr>
              <w:pStyle w:val="Compact"/>
              <w:jc w:val="left"/>
            </w:pPr>
            <w:r>
              <w:rPr>
                <w:rFonts w:ascii="Arial" w:hAnsi="Arial"/>
                <w:sz w:val="18"/>
              </w:rPr>
              <w:t xml:space="preserve">Sentinel-2 L2A (harmonised)</w:t>
            </w:r>
          </w:p>
        </w:tc>
        <w:tc>
          <w:tcPr/>
          <w:p>
            <w:pPr>
              <w:pStyle w:val="Compact"/>
              <w:jc w:val="left"/>
            </w:pPr>
            <w:r>
              <w:rPr>
                <w:rStyle w:val="VerbatimChar"/>
                <w:rFonts w:ascii="Arial" w:hAnsi="Arial"/>
                <w:sz w:val="18"/>
              </w:rPr>
              <w:t xml:space="preserve">COPERNICUS/S2_SR_HARMONIZED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Optical indices (NDVI, NDWI, LSWI, CIre); cloud-free phenology support</w:t>
            </w:r>
          </w:p>
        </w:tc>
      </w:tr>
      <w:tr>
        <w:tc>
          <w:tcPr/>
          <w:p>
            <w:pPr>
              <w:pStyle w:val="Compact"/>
              <w:jc w:val="left"/>
            </w:pPr>
            <w:r>
              <w:rPr>
                <w:rFonts w:ascii="Arial" w:hAnsi="Arial"/>
                <w:sz w:val="18"/>
              </w:rPr>
              <w:t xml:space="preserve">JRC GSW Monthly History v1.4</w:t>
            </w:r>
          </w:p>
        </w:tc>
        <w:tc>
          <w:tcPr/>
          <w:p>
            <w:pPr>
              <w:pStyle w:val="Compact"/>
              <w:jc w:val="left"/>
            </w:pPr>
            <w:r>
              <w:rPr>
                <w:rStyle w:val="VerbatimChar"/>
                <w:rFonts w:ascii="Arial" w:hAnsi="Arial"/>
                <w:sz w:val="18"/>
              </w:rPr>
              <w:t xml:space="preserve">JRC/GSW1_4/MonthlyHistory</w:t>
            </w:r>
          </w:p>
        </w:tc>
        <w:tc>
          <w:tcPr/>
          <w:p>
            <w:pPr>
              <w:pStyle w:val="Compact"/>
              <w:jc w:val="left"/>
            </w:pPr>
            <w:r>
              <w:rPr>
                <w:rFonts w:ascii="Arial" w:hAnsi="Arial"/>
                <w:sz w:val="18"/>
              </w:rPr>
              <w:t xml:space="preserve">1984–2024</w:t>
            </w:r>
          </w:p>
        </w:tc>
        <w:tc>
          <w:tcPr/>
          <w:p>
            <w:pPr>
              <w:pStyle w:val="Compact"/>
              <w:jc w:val="left"/>
            </w:pPr>
            <w:r>
              <w:rPr>
                <w:rFonts w:ascii="Arial" w:hAnsi="Arial"/>
                <w:sz w:val="18"/>
              </w:rPr>
              <w:t xml:space="preserve">30 m</w:t>
            </w:r>
          </w:p>
        </w:tc>
        <w:tc>
          <w:tcPr/>
          <w:p>
            <w:pPr>
              <w:pStyle w:val="Compact"/>
              <w:jc w:val="left"/>
            </w:pPr>
            <w:r>
              <w:rPr>
                <w:rFonts w:ascii="Arial" w:hAnsi="Arial"/>
                <w:sz w:val="18"/>
              </w:rPr>
              <w:t xml:space="preserve">Water permanence prior; saline-flood classifier feature</w:t>
            </w:r>
          </w:p>
        </w:tc>
      </w:tr>
      <w:tr>
        <w:tc>
          <w:tcPr/>
          <w:p>
            <w:pPr>
              <w:pStyle w:val="Compact"/>
              <w:jc w:val="left"/>
            </w:pPr>
            <w:r>
              <w:rPr>
                <w:rFonts w:ascii="Arial" w:hAnsi="Arial"/>
                <w:sz w:val="18"/>
              </w:rPr>
              <w:t xml:space="preserve">ERA5-Land Daily Aggregates</w:t>
            </w:r>
          </w:p>
        </w:tc>
        <w:tc>
          <w:tcPr/>
          <w:p>
            <w:pPr>
              <w:pStyle w:val="Compact"/>
              <w:jc w:val="left"/>
            </w:pPr>
            <w:r>
              <w:rPr>
                <w:rStyle w:val="VerbatimChar"/>
                <w:rFonts w:ascii="Arial" w:hAnsi="Arial"/>
                <w:sz w:val="18"/>
              </w:rPr>
              <w:t xml:space="preserve">ECMWF/ERA5_LAND/DAILY_AGGR</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~9 km</w:t>
            </w:r>
          </w:p>
        </w:tc>
        <w:tc>
          <w:tcPr/>
          <w:p>
            <w:pPr>
              <w:pStyle w:val="Compact"/>
              <w:jc w:val="left"/>
            </w:pPr>
            <w:r>
              <w:rPr>
                <w:rFonts w:ascii="Arial" w:hAnsi="Arial"/>
                <w:sz w:val="18"/>
              </w:rPr>
              <w:t xml:space="preserve">Maximum 10-m wind speed; total precipitation; cyclone proximity signal</w:t>
            </w:r>
          </w:p>
        </w:tc>
      </w:tr>
      <w:tr>
        <w:tc>
          <w:tcPr/>
          <w:p>
            <w:pPr>
              <w:pStyle w:val="Compact"/>
              <w:jc w:val="left"/>
            </w:pPr>
            <w:r>
              <w:rPr>
                <w:rFonts w:ascii="Arial" w:hAnsi="Arial"/>
                <w:sz w:val="18"/>
              </w:rPr>
              <w:t xml:space="preserve">ESA WorldCover v200</w:t>
            </w:r>
          </w:p>
        </w:tc>
        <w:tc>
          <w:tcPr/>
          <w:p>
            <w:pPr>
              <w:pStyle w:val="Compact"/>
              <w:jc w:val="left"/>
            </w:pPr>
            <w:r>
              <w:rPr>
                <w:rStyle w:val="VerbatimChar"/>
                <w:rFonts w:ascii="Arial" w:hAnsi="Arial"/>
                <w:sz w:val="18"/>
              </w:rPr>
              <w:t xml:space="preserve">ESA/WorldCover/v200</w:t>
            </w:r>
          </w:p>
        </w:tc>
        <w:tc>
          <w:tcPr/>
          <w:p>
            <w:pPr>
              <w:pStyle w:val="Compact"/>
              <w:jc w:val="left"/>
            </w:pPr>
            <w:r>
              <w:rPr>
                <w:rFonts w:ascii="Arial" w:hAnsi="Arial"/>
                <w:sz w:val="18"/>
              </w:rPr>
              <w:t xml:space="preserve">2021 epoch</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Cropland mask (class 40); pixel inclusion/exclusion filter</w:t>
            </w:r>
          </w:p>
        </w:tc>
      </w:tr>
      <w:tr>
        <w:tc>
          <w:tcPr/>
          <w:p>
            <w:pPr>
              <w:pStyle w:val="Compact"/>
              <w:jc w:val="left"/>
            </w:pPr>
            <w:r>
              <w:rPr>
                <w:rFonts w:ascii="Arial" w:hAnsi="Arial"/>
                <w:sz w:val="18"/>
              </w:rPr>
              <w:t xml:space="preserve">GAUL Level-2 (FAO 2015)</w:t>
            </w:r>
          </w:p>
        </w:tc>
        <w:tc>
          <w:tcPr/>
          <w:p>
            <w:pPr>
              <w:pStyle w:val="Compact"/>
              <w:jc w:val="left"/>
            </w:pPr>
            <w:r>
              <w:rPr>
                <w:rStyle w:val="VerbatimChar"/>
                <w:rFonts w:ascii="Arial" w:hAnsi="Arial"/>
                <w:sz w:val="18"/>
              </w:rPr>
              <w:t xml:space="preserve">FAO/GAUL/2015/level2</w:t>
            </w:r>
          </w:p>
        </w:tc>
        <w:tc>
          <w:tcPr/>
          <w:p>
            <w:pPr>
              <w:pStyle w:val="Compact"/>
              <w:jc w:val="left"/>
            </w:pPr>
            <w:r>
              <w:rPr>
                <w:rFonts w:ascii="Arial" w:hAnsi="Arial"/>
                <w:sz w:val="18"/>
              </w:rPr>
              <w:t xml:space="preserve">2015 epoch</w:t>
            </w:r>
          </w:p>
        </w:tc>
        <w:tc>
          <w:tcPr/>
          <w:p>
            <w:pPr>
              <w:pStyle w:val="Compact"/>
              <w:jc w:val="left"/>
            </w:pPr>
            <w:r>
              <w:rPr>
                <w:rFonts w:ascii="Arial" w:hAnsi="Arial"/>
                <w:sz w:val="18"/>
              </w:rPr>
              <w:t xml:space="preserve">Vector</w:t>
            </w:r>
          </w:p>
        </w:tc>
        <w:tc>
          <w:tcPr/>
          <w:p>
            <w:pPr>
              <w:pStyle w:val="Compact"/>
              <w:jc w:val="left"/>
            </w:pPr>
            <w:r>
              <w:rPr>
                <w:rFonts w:ascii="Arial" w:hAnsi="Arial"/>
                <w:sz w:val="18"/>
              </w:rPr>
              <w:t xml:space="preserve">District boundary delineation for study and control areas</w:t>
            </w:r>
          </w:p>
        </w:tc>
      </w:tr>
    </w:tbl>
    <w:p>
      <w:pPr>
        <w:pStyle w:val="BodyText"/>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rPr>
          <w:rFonts w:ascii="Arial" w:hAnsi="Arial"/>
        </w:rPr>
        <w:t xml:space="preserve">2.4 Validation Data</w:t>
      </w:r>
    </w:p>
    <w:p>
      <w:pPr>
        <w:pStyle w:val="FirstParagrap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rFonts w:ascii="Arial" w:hAnsi="Arial"/>
          <w:b/>
          <w:bCs/>
        </w:rPr>
        <w:t xml:space="preserve">Saline-flood classifier validation — Sentinel-2 high-resolution visual labels:</w:t>
      </w:r>
      <w:r>
        <w:rPr>
          <w:rFonts w:ascii="Arial" w:hAnsi="Arial"/>
        </w:rPr>
        <w:t xml:space="preserve"> </w:t>
      </w:r>
      <w:r>
        <w:rPr>
          <w:rFonts w:ascii="Arial" w:hAnsi="Arial"/>
        </w:rPr>
        <w:t xml:space="preserve">Visual interpretation of Sentinel-2 L2A imagery (10 m native resolution; true-colour B4-B3-B2 composites and false-colour B8-B11-B4 composites for water-discrimination) is used to generate 480 binary reference labels (cyclone-flood vs. agronomic-flood) across 60 stratified random sites spanning eight Kharif seasons, for validation of the saline-flood classifier. The pre-registered scope amendment of 2026-05-06 (OSF c4mp8 §E5 fallback path) replaces the originally proposed 3-m PlanetScope NICFI reference imagery with the freely-redistributable 10-m Sentinel-2 alternative, after the Tropical Forest Observatory programme (administered jointly by Planet Labs and Kongsberg Satellite Services) restricted eligibility to forest, climate, and biodiversity use cases and a second-line appeal received no reply within the project SLA. Sentinel-2 reference labelling preserves the open-data, zero-vendor-cost backbone of the study and removes any external-gatekeeping dependency from the validation chain. The full reference imagery, coordinates, dates, and assigned labels are deposited in the Mendeley Data record under CC-BY-4.0.</w:t>
      </w:r>
    </w:p>
    <w:p>
      <w:pPr>
        <w:pStyle w:val="BodyText"/>
      </w:pPr>
      <w:r>
        <w:rPr>
          <w:rFonts w:ascii="Arial" w:hAnsi="Arial"/>
          <w:b/>
          <w:bCs/>
        </w:rPr>
        <w:t xml:space="preserve">Cross-product rice-mask validation:</w:t>
      </w:r>
      <w:r>
        <w:rPr>
          <w:rFonts w:ascii="Arial" w:hAnsi="Arial"/>
        </w:rPr>
        <w:t xml:space="preserve"> </w:t>
      </w:r>
      <w:r>
        <w:rPr>
          <w:rFonts w:ascii="Arial" w:hAnsi="Arial"/>
        </w:rPr>
        <w:t xml:space="preserve">The Mondal et al. (2022) South Asian paddy rice product (Qadir et al., 2022)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r>
        <w:rPr>
          <w:rFonts w:ascii="Arial" w:hAnsi="Arial"/>
        </w:rPr>
        <w:pict>
          <v:rect style="width:0;height:1.5pt" o:hralign="center" o:hrstd="t" o:hr="t"/>
        </w:pict>
      </w:r>
    </w:p>
    <w:bookmarkEnd w:id="29"/>
    <w:bookmarkEnd w:id="30"/>
    <w:bookmarkStart w:id="45" w:name="methods"/>
    <w:p>
      <w:pPr>
        <w:pStyle w:val="Heading2"/>
      </w:pPr>
      <w:r>
        <w:rPr>
          <w:rFonts w:ascii="Arial" w:hAnsi="Arial"/>
        </w:rPr>
        <w:t xml:space="preserve">3. Methods</w:t>
      </w:r>
    </w:p>
    <w:bookmarkStart w:id="31" w:name="overview"/>
    <w:p>
      <w:pPr>
        <w:pStyle w:val="Heading3"/>
      </w:pPr>
      <w:r>
        <w:rPr>
          <w:rFonts w:ascii="Arial" w:hAnsi="Arial"/>
        </w:rPr>
        <w:t xml:space="preserve">3.1 Overview</w:t>
      </w:r>
    </w:p>
    <w:p>
      <w:pPr>
        <w:pStyle w:val="FirstParagrap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bookmarkEnd w:id="31"/>
    <w:bookmarkStart w:id="32" w:name="pre-processing"/>
    <w:p>
      <w:pPr>
        <w:pStyle w:val="Heading3"/>
      </w:pPr>
      <w:r>
        <w:rPr>
          <w:rFonts w:ascii="Arial" w:hAnsi="Arial"/>
        </w:rPr>
        <w:t xml:space="preserve">3.2 Pre-processing</w:t>
      </w:r>
    </w:p>
    <w:p>
      <w:pPr>
        <w:pStyle w:val="FirstParagrap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rPr>
          <w:rFonts w:ascii="Arial" w:hAnsi="Arial"/>
        </w:rPr>
        <w:t xml:space="preserve">3.3 Saline-Flood Classifier</w:t>
      </w:r>
    </w:p>
    <w:p>
      <w:pPr>
        <w:pStyle w:val="FirstParagraph"/>
      </w:pPr>
      <w:r>
        <w:rPr>
          <w:rFonts w:ascii="Arial" w:hAnsi="Arial"/>
          <w:b/>
          <w:bCs/>
        </w:rPr>
        <w:t xml:space="preserve">Feature set:</w:t>
      </w:r>
      <w:r>
        <w:rPr>
          <w:rFonts w:ascii="Arial" w:hAnsi="Arial"/>
        </w:rPr>
        <w:t xml:space="preserve"> </w:t>
      </w:r>
      <w:r>
        <w:rPr>
          <w:rFonts w:ascii="Arial" w:hAnsi="Arial"/>
        </w:rP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2"/>
        </w:numPr>
      </w:pPr>
      <w:r>
        <w:rPr>
          <w:rFonts w:ascii="Arial" w:hAnsi="Arial"/>
        </w:rPr>
        <w:t xml:space="preserve">VH backscatter (dB), monthly median</w:t>
      </w:r>
    </w:p>
    <w:p>
      <w:pPr>
        <w:pStyle w:val="Compact"/>
        <w:numPr>
          <w:ilvl w:val="0"/>
          <w:numId w:val="1002"/>
        </w:numPr>
      </w:pPr>
      <w:r>
        <w:rPr>
          <w:rFonts w:ascii="Arial" w:hAnsi="Arial"/>
        </w:rPr>
        <w:t xml:space="preserve">VV backscatter (dB), monthly median</w:t>
      </w:r>
    </w:p>
    <w:p>
      <w:pPr>
        <w:pStyle w:val="Compact"/>
        <w:numPr>
          <w:ilvl w:val="0"/>
          <w:numId w:val="1002"/>
        </w:numPr>
      </w:pPr>
      <w:r>
        <w:rPr>
          <w:rFonts w:ascii="Arial" w:hAnsi="Arial"/>
        </w:rPr>
        <w:t xml:space="preserve">Cross-ratio CR = VH − VV (dB), monthly median</w:t>
      </w:r>
    </w:p>
    <w:p>
      <w:pPr>
        <w:pStyle w:val="Compact"/>
        <w:numPr>
          <w:ilvl w:val="0"/>
          <w:numId w:val="1002"/>
        </w:numPr>
      </w:pPr>
      <w:r>
        <w:rPr>
          <w:rFonts w:ascii="Arial" w:hAnsi="Arial"/>
        </w:rPr>
        <w:t xml:space="preserve">NDWI (Sentinel-2 monthly median)</w:t>
      </w:r>
    </w:p>
    <w:p>
      <w:pPr>
        <w:pStyle w:val="Compact"/>
        <w:numPr>
          <w:ilvl w:val="0"/>
          <w:numId w:val="1002"/>
        </w:numPr>
      </w:pPr>
      <w:r>
        <w:rPr>
          <w:rFonts w:ascii="Arial" w:hAnsi="Arial"/>
        </w:rPr>
        <w:t xml:space="preserve">LSWI (Sentinel-2 monthly median)</w:t>
      </w:r>
    </w:p>
    <w:p>
      <w:pPr>
        <w:pStyle w:val="Compact"/>
        <w:numPr>
          <w:ilvl w:val="0"/>
          <w:numId w:val="1002"/>
        </w:numPr>
      </w:pPr>
      <w:r>
        <w:rPr>
          <w:rFonts w:ascii="Arial" w:hAnsi="Arial"/>
        </w:rPr>
        <w:t xml:space="preserve">JRC GSW water permanence fraction (percentage of months with surface water detected, 1984–2020)</w:t>
      </w:r>
    </w:p>
    <w:p>
      <w:pPr>
        <w:pStyle w:val="Compact"/>
        <w:numPr>
          <w:ilvl w:val="0"/>
          <w:numId w:val="1002"/>
        </w:numPr>
      </w:pPr>
      <w:r>
        <w:rPr>
          <w:rFonts w:ascii="Arial" w:hAnsi="Arial"/>
        </w:rPr>
        <w:t xml:space="preserve">ERA5 maximum 10-m wind speed (scalar: sqrt(u² + v²)), monthly maximum in dB-analogue scaling</w:t>
      </w:r>
    </w:p>
    <w:p>
      <w:pPr>
        <w:pStyle w:val="Compact"/>
        <w:numPr>
          <w:ilvl w:val="0"/>
          <w:numId w:val="1002"/>
        </w:numPr>
      </w:pPr>
      <w:r>
        <w:rPr>
          <w:rFonts w:ascii="Arial" w:hAnsi="Arial"/>
        </w:rPr>
        <w:t xml:space="preserve">Days since nearest IBTrACS-recorded cyclone landfall within 200 km radius (categorical: ≤30, 31–60, &gt;60 days, encoded as ordinal integer)</w:t>
      </w:r>
    </w:p>
    <w:p>
      <w:pPr>
        <w:pStyle w:val="FirstParagrap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pPr>
      <w:r>
        <w:rPr>
          <w:rFonts w:ascii="Arial" w:hAnsi="Arial"/>
        </w:rPr>
        <w:t xml:space="preserve">3.4 Phenology Extraction</w:t>
      </w:r>
    </w:p>
    <w:p>
      <w:pPr>
        <w:pStyle w:val="FirstParagrap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rFonts w:ascii="Arial" w:hAnsi="Arial"/>
          <w:b/>
          <w:bCs/>
        </w:rPr>
        <w:t xml:space="preserve">Start of Season (SOS):</w:t>
      </w:r>
      <w:r>
        <w:rPr>
          <w:rFonts w:ascii="Arial" w:hAnsi="Arial"/>
        </w:rPr>
        <w:t xml:space="preserve"> </w:t>
      </w:r>
      <w:r>
        <w:rPr>
          <w:rFonts w:ascii="Arial" w:hAnsi="Arial"/>
        </w:rPr>
        <w:t xml:space="preserve">the date at which the fitted signal reaches 20% of the seasonal amplitude above the background level on the ascending limb</w:t>
      </w:r>
    </w:p>
    <w:p>
      <w:pPr>
        <w:pStyle w:val="Compact"/>
        <w:numPr>
          <w:ilvl w:val="0"/>
          <w:numId w:val="1003"/>
        </w:numPr>
      </w:pPr>
      <w:r>
        <w:rPr>
          <w:rFonts w:ascii="Arial" w:hAnsi="Arial"/>
          <w:b/>
          <w:bCs/>
        </w:rPr>
        <w:t xml:space="preserve">Peak of Season (POS):</w:t>
      </w:r>
      <w:r>
        <w:rPr>
          <w:rFonts w:ascii="Arial" w:hAnsi="Arial"/>
        </w:rPr>
        <w:t xml:space="preserve"> </w:t>
      </w:r>
      <w:r>
        <w:rPr>
          <w:rFonts w:ascii="Arial" w:hAnsi="Arial"/>
        </w:rPr>
        <w:t xml:space="preserve">the date of maximum fitted signal</w:t>
      </w:r>
    </w:p>
    <w:p>
      <w:pPr>
        <w:pStyle w:val="Compact"/>
        <w:numPr>
          <w:ilvl w:val="0"/>
          <w:numId w:val="1003"/>
        </w:numPr>
      </w:pPr>
      <w:r>
        <w:rPr>
          <w:rFonts w:ascii="Arial" w:hAnsi="Arial"/>
          <w:b/>
          <w:bCs/>
        </w:rPr>
        <w:t xml:space="preserve">End of Season (EOS):</w:t>
      </w:r>
      <w:r>
        <w:rPr>
          <w:rFonts w:ascii="Arial" w:hAnsi="Arial"/>
        </w:rPr>
        <w:t xml:space="preserve"> </w:t>
      </w:r>
      <w:r>
        <w:rPr>
          <w:rFonts w:ascii="Arial" w:hAnsi="Arial"/>
        </w:rPr>
        <w:t xml:space="preserve">the date at which the fitted signal descends to 20% of the seasonal amplitude above the background level on the descending limb</w:t>
      </w:r>
    </w:p>
    <w:p>
      <w:pPr>
        <w:pStyle w:val="FirstParagrap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rFonts w:ascii="Arial" w:hAnsi="Arial"/>
          <w:b/>
          <w:bCs/>
        </w:rPr>
        <w:t xml:space="preserve">Pixel-level uncertainty quantification:</w:t>
      </w:r>
      <w:r>
        <w:rPr>
          <w:rFonts w:ascii="Arial" w:hAnsi="Arial"/>
        </w:rPr>
        <w:t xml:space="preserve"> </w:t>
      </w:r>
      <w:r>
        <w:rPr>
          <w:rFonts w:ascii="Arial" w:hAnsi="Arial"/>
        </w:rP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pixel-level uncertainty rasters (Figure 9) and inform the minimum detectable effect (§3.7.5).</w:t>
      </w:r>
    </w:p>
    <w:bookmarkEnd w:id="34"/>
    <w:bookmarkStart w:id="35" w:name="raw-vs.-corrected-phenological-pipeline"/>
    <w:p>
      <w:pPr>
        <w:pStyle w:val="Heading3"/>
      </w:pPr>
      <w:r>
        <w:rPr>
          <w:rFonts w:ascii="Arial" w:hAnsi="Arial"/>
        </w:rPr>
        <w:t xml:space="preserve">3.5 Raw vs. Corrected Phenological Pipeline</w:t>
      </w:r>
    </w:p>
    <w:p>
      <w:pPr>
        <w:pStyle w:val="FirstParagraph"/>
      </w:pPr>
      <w:r>
        <w:rPr>
          <w:rFonts w:ascii="Arial" w:hAnsi="Arial"/>
        </w:rPr>
        <w:t xml:space="preserve">Two parallel phenological retrieval pipelines are implemented to quantify the effect of the saline-flood correction:</w:t>
      </w:r>
    </w:p>
    <w:p>
      <w:pPr>
        <w:pStyle w:val="BodyText"/>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rPr>
          <w:rFonts w:ascii="Arial" w:hAnsi="Arial"/>
        </w:rPr>
        <w:t xml:space="preserve">3.6 Difference-in-Differences Identification</w:t>
      </w:r>
    </w:p>
    <w:p>
      <w:pPr>
        <w:pStyle w:val="FirstParagrap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pPr>
      <w:r>
        <w:rPr>
          <w:rFonts w:ascii="Arial" w:hAnsi="Arial"/>
        </w:rPr>
        <w:t xml:space="preserve">where</w:t>
      </w:r>
      <w:r>
        <w:rPr>
          <w:rFonts w:ascii="Arial" w:hAnsi="Arial"/>
        </w:rPr>
        <w:t xml:space="preserve"> </w:t>
      </w:r>
      <m:oMath>
        <m:sSub>
          <m:e>
            <m:r>
              <m:t>Y</m:t>
            </m:r>
          </m:e>
          <m:sub>
            <m:r>
              <m:t>d</m:t>
            </m:r>
            <m:r>
              <m:t>t</m:t>
            </m:r>
          </m:sub>
        </m:sSub>
      </m:oMath>
      <w:r>
        <w:rPr>
          <w:rFonts w:ascii="Arial" w:hAnsi="Arial"/>
        </w:rPr>
        <w:t xml:space="preserve"> </w:t>
      </w:r>
      <w:r>
        <w:rPr>
          <w:rFonts w:ascii="Arial" w:hAnsi="Arial"/>
        </w:rPr>
        <w:t xml:space="preserve">is the median pixel-level phenology metric (SOS, POS, or EOS, in day-of-year) for district</w:t>
      </w:r>
      <w:r>
        <w:rPr>
          <w:rFonts w:ascii="Arial" w:hAnsi="Arial"/>
        </w:rPr>
        <w:t xml:space="preserve"> </w:t>
      </w:r>
      <m:oMath>
        <m:r>
          <m:t>d</m:t>
        </m:r>
      </m:oMath>
      <w:r>
        <w:rPr>
          <w:rFonts w:ascii="Arial" w:hAnsi="Arial"/>
        </w:rPr>
        <w:t xml:space="preserve"> </w:t>
      </w:r>
      <w:r>
        <w:rPr>
          <w:rFonts w:ascii="Arial" w:hAnsi="Arial"/>
        </w:rPr>
        <w:t xml:space="preserve">in year</w:t>
      </w:r>
      <w:r>
        <w:rPr>
          <w:rFonts w:ascii="Arial" w:hAnsi="Arial"/>
        </w:rPr>
        <w:t xml:space="preserve"> </w:t>
      </w:r>
      <m:oMath>
        <m:r>
          <m:t>t</m:t>
        </m:r>
      </m:oMath>
      <w:r>
        <w:rPr>
          <w:rFonts w:ascii="Arial" w:hAnsi="Arial"/>
        </w:rPr>
        <w:t xml:space="preserve">;</w:t>
      </w:r>
      <w:r>
        <w:rPr>
          <w:rFonts w:ascii="Arial" w:hAnsi="Arial"/>
        </w:rPr>
        <w:t xml:space="preserve"> </w:t>
      </w:r>
      <m:oMath>
        <m:sSub>
          <m:e>
            <m:r>
              <m:t>α</m:t>
            </m:r>
          </m:e>
          <m:sub>
            <m:r>
              <m:t>d</m:t>
            </m:r>
          </m:sub>
        </m:sSub>
      </m:oMath>
      <w:r>
        <w:rPr>
          <w:rFonts w:ascii="Arial" w:hAnsi="Arial"/>
        </w:rPr>
        <w:t xml:space="preserve"> </w:t>
      </w:r>
      <w:r>
        <w:rPr>
          <w:rFonts w:ascii="Arial" w:hAnsi="Arial"/>
        </w:rPr>
        <w:t xml:space="preserve">is a district fixed effect absorbing all time-invariant district heterogeneity (baseline rainfall, soil class, elevation, latitudinal climatology);</w:t>
      </w:r>
      <w:r>
        <w:rPr>
          <w:rFonts w:ascii="Arial" w:hAnsi="Arial"/>
        </w:rPr>
        <w:t xml:space="preserve"> </w:t>
      </w:r>
      <m:oMath>
        <m:sSub>
          <m:e>
            <m:r>
              <m:t>γ</m:t>
            </m:r>
          </m:e>
          <m:sub>
            <m:r>
              <m:t>t</m:t>
            </m:r>
          </m:sub>
        </m:sSub>
      </m:oMath>
      <w:r>
        <w:rPr>
          <w:rFonts w:ascii="Arial" w:hAnsi="Arial"/>
        </w:rPr>
        <w:t xml:space="preserve"> </w:t>
      </w:r>
      <w:r>
        <w:rPr>
          <w:rFonts w:ascii="Arial" w:hAnsi="Arial"/>
        </w:rPr>
        <w:t xml:space="preserve">is a year fixed effect absorbing common shocks (monsoon-onset anomalies, ENSO state, pan-Odisha policy changes);</w:t>
      </w:r>
      <w:r>
        <w:rPr>
          <w:rFonts w:ascii="Arial" w:hAnsi="Arial"/>
        </w:rPr>
        <w:t xml:space="preserve"> </w:t>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five coastal-treatment districts (Balasore, Bhadrak, Kendrapara, Jagatsinghpur, Puri);</w:t>
      </w:r>
      <w:r>
        <w:rPr>
          <w:rFonts w:ascii="Arial" w:hAnsi="Arial"/>
        </w:rPr>
        <w:t xml:space="preserve"> </w:t>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three pre-Kharif cyclone years (2019 Fani, 2020 Amphan, 2021 Yaas); and</w:t>
      </w:r>
      <w:r>
        <w:rPr>
          <w:rFonts w:ascii="Arial" w:hAnsi="Arial"/>
        </w:rPr>
        <w:t xml:space="preserve"> </w:t>
      </w:r>
      <m:oMath>
        <m:r>
          <m:t>τ</m:t>
        </m:r>
      </m:oMath>
      <w:r>
        <w:rPr>
          <w:rFonts w:ascii="Arial" w:hAnsi="Arial"/>
        </w:rPr>
        <w:t xml:space="preserve"> </w:t>
      </w:r>
      <w:r>
        <w:rPr>
          <w:rFonts w:ascii="Arial" w:hAnsi="Arial"/>
        </w:rPr>
        <w:t xml:space="preserve">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w:t>
      </w:r>
      <w:r>
        <w:rPr>
          <w:rFonts w:ascii="Arial" w:hAnsi="Arial"/>
        </w:rPr>
        <w:t xml:space="preserve"> </w:t>
      </w:r>
      <m:oMath>
        <m:r>
          <m:t>t</m:t>
        </m:r>
      </m:oMath>
      <w:r>
        <w:rPr>
          <w:rFonts w:ascii="Arial" w:hAnsi="Arial"/>
        </w:rPr>
        <w:t xml:space="preserve">-test is reported only as a baseline — our preferred small-cluster inference is the wild-cluster restricted bootstrap of Cameron, Gelbach, and Miller (2008), described in §3.7.1.</w:t>
      </w:r>
    </w:p>
    <w:p>
      <w:pPr>
        <w:pStyle w:val="BodyText"/>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pStyle w:val="BodyTex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Bacon weights and refer reviewers to Goodman-Bacon (2021, §3.1).</w:t>
      </w:r>
    </w:p>
    <w:bookmarkEnd w:id="36"/>
    <w:bookmarkStart w:id="42" w:name="robustness-suite"/>
    <w:p>
      <w:pPr>
        <w:pStyle w:val="Heading3"/>
      </w:pPr>
      <w:r>
        <w:rPr>
          <w:rFonts w:ascii="Arial" w:hAnsi="Arial"/>
        </w:rPr>
        <w:t xml:space="preserve">3.7 Robustness Suite</w:t>
      </w:r>
    </w:p>
    <w:p>
      <w:pPr>
        <w:pStyle w:val="FirstParagrap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pPr>
      <w:r>
        <w:rPr>
          <w:rFonts w:ascii="Arial" w:hAnsi="Arial"/>
        </w:rPr>
        <w:t xml:space="preserve">3.7.1 Wild-cluster restricted bootstrap (Module 05a, Table S4)</w:t>
      </w:r>
    </w:p>
    <w:p>
      <w:pPr>
        <w:pStyle w:val="FirstParagrap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pPr>
      <w:r>
        <w:rPr>
          <w:rFonts w:ascii="Arial" w:hAnsi="Arial"/>
        </w:rPr>
        <w:t xml:space="preserve">3.7.2 Out-of-sample transferability — Cyclone Bulbul (Module 05b, Table S3)</w:t>
      </w:r>
    </w:p>
    <w:p>
      <w:pPr>
        <w:pStyle w:val="FirstParagrap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pPr>
      <w:r>
        <w:rPr>
          <w:rFonts w:ascii="Arial" w:hAnsi="Arial"/>
        </w:rPr>
        <w:t xml:space="preserve">3.7.3 Leave-one-out jackknife sensitivity (Module 05d, Table S5)</w:t>
      </w:r>
    </w:p>
    <w:p>
      <w:pPr>
        <w:pStyle w:val="FirstParagrap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pPr>
      <w:r>
        <w:rPr>
          <w:rFonts w:ascii="Arial" w:hAnsi="Arial"/>
        </w:rPr>
        <w:t xml:space="preserve">3.7.4 Placebo / falsification tests (Module 05e, Table S7, Figure 6)</w:t>
      </w:r>
    </w:p>
    <w:p>
      <w:pPr>
        <w:pStyle w:val="FirstParagrap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synthetic-panel verification, real treated effects sit in the extreme tails for five of six cells (</w:t>
      </w:r>
      <m:oMath>
        <m:sSub>
          <m:e>
            <m:r>
              <m:t>p</m:t>
            </m:r>
          </m:e>
          <m:sub>
            <m:r>
              <m:rPr>
                <m:sty m:val="p"/>
              </m:rPr>
              <m:t>p</m:t>
            </m:r>
            <m:r>
              <m:rPr>
                <m:sty m:val="p"/>
              </m:rPr>
              <m:t>e</m:t>
            </m:r>
            <m:r>
              <m:rPr>
                <m:sty m:val="p"/>
              </m:rPr>
              <m:t>r</m:t>
            </m:r>
            <m:r>
              <m:rPr>
                <m:sty m:val="p"/>
              </m:rPr>
              <m:t>m</m:t>
            </m:r>
          </m:sub>
        </m:sSub>
        <m:r>
          <m:rPr>
            <m:sty m:val="p"/>
          </m:rPr>
          <m:t>≤</m:t>
        </m:r>
        <m:r>
          <m:t>0.054</m:t>
        </m:r>
      </m:oMath>
      <w:r>
        <w:rPr>
          <w:rFonts w:ascii="Arial" w:hAnsi="Arial"/>
        </w:rPr>
        <w:t xml:space="preserve">, three at the design floor); placebo distributions centre on zero (median</w:t>
      </w:r>
      <w:r>
        <w:rPr>
          <w:rFonts w:ascii="Arial" w:hAnsi="Arial"/>
        </w:rPr>
        <w:t xml:space="preserve"> </w:t>
      </w:r>
      <m:oMath>
        <m:sSub>
          <m:e>
            <m:acc>
              <m:accPr>
                <m:chr m:val="̂"/>
              </m:accPr>
              <m:e>
                <m:r>
                  <m:t>τ</m:t>
                </m:r>
              </m:e>
            </m:acc>
          </m:e>
          <m:sub>
            <m:r>
              <m:t>p</m:t>
            </m:r>
          </m:sub>
        </m:sSub>
        <m:r>
          <m:rPr>
            <m:sty m:val="p"/>
          </m:rPr>
          <m:t>∈</m:t>
        </m:r>
        <m:d>
          <m:dPr>
            <m:begChr m:val="["/>
            <m:endChr m:val="]"/>
            <m:sepChr m:val=""/>
            <m:grow/>
          </m:dPr>
          <m:e>
            <m:r>
              <m:rPr>
                <m:sty m:val="p"/>
              </m:rPr>
              <m:t>−</m:t>
            </m:r>
            <m:r>
              <m:t>0.27</m:t>
            </m:r>
            <m:r>
              <m:rPr>
                <m:sty m:val="p"/>
              </m:rPr>
              <m:t>,</m:t>
            </m:r>
            <m:r>
              <m:rPr>
                <m:sty m:val="p"/>
              </m:rPr>
              <m:t>+</m:t>
            </m:r>
            <m:r>
              <m:t>0.02</m:t>
            </m:r>
          </m:e>
        </m:d>
      </m:oMath>
      <w:r>
        <w:rPr>
          <w:rFonts w:ascii="Arial" w:hAnsi="Arial"/>
        </w:rPr>
        <w:t xml:space="preserve"> </w:t>
      </w:r>
      <w:r>
        <w:rPr>
          <w:rFonts w:ascii="Arial" w:hAnsi="Arial"/>
        </w:rPr>
        <w:t xml:space="preserve">d). The single failing cell (corrected/EOS,</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0.27</m:t>
        </m:r>
      </m:oMath>
      <w:r>
        <w:rPr>
          <w:rFonts w:ascii="Arial" w:hAnsi="Arial"/>
        </w:rPr>
        <w:t xml:space="preserve">) is the same cell flagged null by WCR, by the post-hoc MDE (§3.7.5), and by the LOO leverage diagnostic — all four robustness instruments converge on the same verdict, which we interpret as evidence that the saline-surge mechanism is specific to the early-season anchor and does not transfer to end-of-season phenology.</w:t>
      </w:r>
    </w:p>
    <w:p>
      <w:pPr>
        <w:pStyle w:val="BodyText"/>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All six pseudo-coefficients lie within</w:t>
      </w:r>
      <w:r>
        <w:rPr>
          <w:rFonts w:ascii="Arial" w:hAnsi="Arial"/>
        </w:rPr>
        <w:t xml:space="preserve"> </w:t>
      </w:r>
      <m:oMath>
        <m:d>
          <m:dPr>
            <m:begChr m:val="["/>
            <m:endChr m:val="]"/>
            <m:sepChr m:val=""/>
            <m:grow/>
          </m:dPr>
          <m:e>
            <m:r>
              <m:rPr>
                <m:sty m:val="p"/>
              </m:rPr>
              <m:t>−</m:t>
            </m:r>
            <m:r>
              <m:t>1.52</m:t>
            </m:r>
            <m:r>
              <m:rPr>
                <m:sty m:val="p"/>
              </m:rPr>
              <m:t>,</m:t>
            </m:r>
            <m:r>
              <m:rPr>
                <m:sty m:val="p"/>
              </m:rPr>
              <m:t>+</m:t>
            </m:r>
            <m:r>
              <m:t>1.68</m:t>
            </m:r>
          </m:e>
        </m:d>
      </m:oMath>
      <w:r>
        <w:rPr>
          <w:rFonts w:ascii="Arial" w:hAnsi="Arial"/>
        </w:rPr>
        <w:t xml:space="preserve"> </w:t>
      </w:r>
      <w:r>
        <w:rPr>
          <w:rFonts w:ascii="Arial" w:hAnsi="Arial"/>
        </w:rPr>
        <w:t xml:space="preserve">d of zero on the synthetic-panel verification — the largest in absolute value (raw/SOS, +1.68 d) is less than one-third of the corresponding real coefficient (+5.66 d), consistent with the identifying assumption.</w:t>
      </w:r>
    </w:p>
    <w:bookmarkEnd w:id="40"/>
    <w:bookmarkStart w:id="41" w:name="Xb211285746cdb5a9eab16dd764ebbd3acc567c1"/>
    <w:p>
      <w:pPr>
        <w:pStyle w:val="Heading4"/>
      </w:pPr>
      <w:r>
        <w:rPr>
          <w:rFonts w:ascii="Arial" w:hAnsi="Arial"/>
        </w:rPr>
        <w:t xml:space="preserve">3.7.5 Post-hoc minimum detectable effect and power (Module 09, Table S6, Figure S1)</w:t>
      </w:r>
    </w:p>
    <w:p>
      <w:pPr>
        <w:pStyle w:val="FirstParagrap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pPr>
      <w:r>
        <w:rPr>
          <w:rFonts w:ascii="Arial" w:hAnsi="Arial"/>
        </w:rPr>
        <w:t xml:space="preserve">where</w:t>
      </w:r>
      <w:r>
        <w:rPr>
          <w:rFonts w:ascii="Arial" w:hAnsi="Arial"/>
        </w:rPr>
        <w:t xml:space="preserve"> </w:t>
      </w:r>
      <m:oMath>
        <m:acc>
          <m:accPr>
            <m:chr m:val="̂"/>
          </m:accPr>
          <m:e>
            <m:r>
              <m:t>S</m:t>
            </m:r>
            <m:r>
              <m:t>E</m:t>
            </m:r>
          </m:e>
        </m:acc>
        <m:d>
          <m:dPr>
            <m:begChr m:val="("/>
            <m:endChr m:val=")"/>
            <m:sepChr m:val=""/>
            <m:grow/>
          </m:dPr>
          <m:e>
            <m:acc>
              <m:accPr>
                <m:chr m:val="̂"/>
              </m:accPr>
              <m:e>
                <m:r>
                  <m:t>τ</m:t>
                </m:r>
              </m:e>
            </m:acc>
          </m:e>
        </m:d>
      </m:oMath>
      <w:r>
        <w:rPr>
          <w:rFonts w:ascii="Arial" w:hAnsi="Arial"/>
        </w:rPr>
        <w:t xml:space="preserve"> </w:t>
      </w:r>
      <w:r>
        <w:rPr>
          <w:rFonts w:ascii="Arial" w:hAnsi="Arial"/>
        </w:rPr>
        <w:t xml:space="preserve">is the cluster-robust standard error from §3.6. On the synthetic-panel verification, MDE ranges from 1.04 d (raw/POS) to 2.49 d (raw/SOS); five of six observed effects exceed their MDE. The single non-detectable cell (corrected/EOS,</w:t>
      </w:r>
      <w:r>
        <w:rPr>
          <w:rFonts w:ascii="Arial" w:hAnsi="Arial"/>
        </w:rPr>
        <w:t xml:space="preserve"> </w:t>
      </w:r>
      <m:oMath>
        <m:d>
          <m:dPr>
            <m:begChr m:val="|"/>
            <m:endChr m:val="|"/>
            <m:sepChr m:val=""/>
            <m:grow/>
          </m:dPr>
          <m:e>
            <m:acc>
              <m:accPr>
                <m:chr m:val="̂"/>
              </m:accPr>
              <m:e>
                <m:r>
                  <m:t>τ</m:t>
                </m:r>
              </m:e>
            </m:acc>
          </m:e>
        </m:d>
        <m:r>
          <m:rPr>
            <m:sty m:val="p"/>
          </m:rPr>
          <m:t>=</m:t>
        </m:r>
        <m:r>
          <m:t>0.56</m:t>
        </m:r>
      </m:oMath>
      <w:r>
        <w:rPr>
          <w:rFonts w:ascii="Arial" w:hAnsi="Arial"/>
        </w:rPr>
        <w:t xml:space="preserve"> </w:t>
      </w:r>
      <w:r>
        <w:rPr>
          <w:rFonts w:ascii="Arial" w:hAnsi="Arial"/>
        </w:rPr>
        <w:t xml:space="preserve">d vs MDE = 1.31 d) is precisely the cell that fails WCR and the placebo. To map sensitivity to the cluster count itself, we additionally simulate the data-generating process</w:t>
      </w:r>
      <w:r>
        <w:rPr>
          <w:rFonts w:ascii="Arial" w:hAnsi="Arial"/>
        </w:rPr>
        <w:t xml:space="preserve"> </w:t>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t>
      </w:r>
      <w:r>
        <w:rPr>
          <w:rFonts w:ascii="Arial" w:hAnsi="Arial"/>
        </w:rPr>
        <w:t xml:space="preserve">with variance components calibrated to the within-/between-cluster decomposition of the Module 05 residuals, and report the empirical rejection rate for</w:t>
      </w:r>
      <w:r>
        <w:rPr>
          <w:rFonts w:ascii="Arial" w:hAnsi="Arial"/>
        </w:rPr>
        <w:t xml:space="preserve"> </w:t>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t>
      </w:r>
      <w:r>
        <w:rPr>
          <w:rFonts w:ascii="Arial" w:hAnsi="Arial"/>
        </w:rPr>
        <w:t xml:space="preserve">days at</w:t>
      </w:r>
      <w:r>
        <w:rPr>
          <w:rFonts w:ascii="Arial" w:hAnsi="Arial"/>
        </w:rPr>
        <w:t xml:space="preserve"> </w:t>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t>
      </w:r>
      <w:r>
        <w:rPr>
          <w:rFonts w:ascii="Arial" w:hAnsi="Arial"/>
        </w:rPr>
        <w:t xml:space="preserve">over 999 replications per grid point. At G = 8 (this study) power ≥ 0.80 is reached for</w:t>
      </w:r>
      <w:r>
        <w:rPr>
          <w:rFonts w:ascii="Arial" w:hAnsi="Arial"/>
        </w:rPr>
        <w:t xml:space="preserve"> </w:t>
      </w:r>
      <m:oMath>
        <m:r>
          <m:t>τ</m:t>
        </m:r>
        <m:r>
          <m:rPr>
            <m:sty m:val="p"/>
          </m:rPr>
          <m:t>≥</m:t>
        </m:r>
        <m:r>
          <m:t>4</m:t>
        </m:r>
      </m:oMath>
      <w:r>
        <w:rPr>
          <w:rFonts w:ascii="Arial" w:hAnsi="Arial"/>
        </w:rPr>
        <w:t xml:space="preserve"> </w:t>
      </w:r>
      <w:r>
        <w:rPr>
          <w:rFonts w:ascii="Arial" w:hAnsi="Arial"/>
        </w:rPr>
        <w:t xml:space="preserve">d; the type-I rate under</w:t>
      </w:r>
      <w:r>
        <w:rPr>
          <w:rFonts w:ascii="Arial" w:hAnsi="Arial"/>
        </w:rPr>
        <w:t xml:space="preserve"> </w:t>
      </w:r>
      <m:oMath>
        <m:sSub>
          <m:e>
            <m:r>
              <m:t>H</m:t>
            </m:r>
          </m:e>
          <m:sub>
            <m:r>
              <m:t>0</m:t>
            </m:r>
          </m:sub>
        </m:sSub>
      </m:oMath>
      <w:r>
        <w:rPr>
          <w:rFonts w:ascii="Arial" w:hAnsi="Arial"/>
        </w:rPr>
        <w:t xml:space="preserve"> </w:t>
      </w:r>
      <w:r>
        <w:rPr>
          <w:rFonts w:ascii="Arial" w:hAnsi="Arial"/>
        </w:rPr>
        <w:t xml:space="preserve">is 0.08 — close to nominal 0.05, indicating CR1 with df = G − 1 is well-sized for this design. Power curves are reported in Figure S1 and Table S6.</w:t>
      </w:r>
    </w:p>
    <w:bookmarkEnd w:id="41"/>
    <w:bookmarkEnd w:id="42"/>
    <w:bookmarkStart w:id="43" w:name="validation"/>
    <w:p>
      <w:pPr>
        <w:pStyle w:val="Heading3"/>
      </w:pPr>
      <w:r>
        <w:rPr>
          <w:rFonts w:ascii="Arial" w:hAnsi="Arial"/>
        </w:rPr>
        <w:t xml:space="preserve">3.8 Validation</w:t>
      </w:r>
    </w:p>
    <w:p>
      <w:pPr>
        <w:pStyle w:val="FirstParagraph"/>
      </w:pPr>
      <w:r>
        <w:rPr>
          <w:rFonts w:ascii="Arial" w:hAnsi="Arial"/>
          <w:b/>
          <w:bCs/>
        </w:rPr>
        <w:t xml:space="preserve">Primary validation against MODIS MCD12Q2:</w:t>
      </w:r>
      <w:r>
        <w:rPr>
          <w:rFonts w:ascii="Arial" w:hAnsi="Arial"/>
        </w:rPr>
        <w:t xml:space="preserve"> </w:t>
      </w:r>
      <w:r>
        <w:rPr>
          <w:rFonts w:ascii="Arial" w:hAnsi="Arial"/>
        </w:rP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rFonts w:ascii="Arial" w:hAnsi="Arial"/>
          <w:b/>
          <w:bCs/>
        </w:rPr>
        <w:t xml:space="preserve">Secondary validation — saline-flood classifier:</w:t>
      </w:r>
      <w:r>
        <w:rPr>
          <w:rFonts w:ascii="Arial" w:hAnsi="Arial"/>
        </w:rPr>
        <w:t xml:space="preserve"> </w:t>
      </w:r>
      <w:r>
        <w:rPr>
          <w:rFonts w:ascii="Arial" w:hAnsi="Arial"/>
        </w:rPr>
        <w:t xml:space="preserve">Against the 480 Sentinel-2 visual reference labels (Section 2.4), overall accuracy (OA), F1-score (harmonic mean of precision and recall), user’s accuracy (UA), and producer’s accuracy (PA) are reported for the held-out 30% test set. Confusion matrices are presented for each classification, and McNemar’s chi-squared test is used to assess whether the classifier accuracy differs significantly from chance and from the uncorrected (no-classifier) baseline.</w:t>
      </w:r>
    </w:p>
    <w:p>
      <w:pPr>
        <w:pStyle w:val="BodyText"/>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Mondal et al. (2022) (Qadir et al., 2022) paddy product and the Singha et al. (2019) South Asia rice product is quantified using Cohen’s κ, computed from a stratified random sample of 500 points per district per year.</w:t>
      </w:r>
    </w:p>
    <w:p>
      <w:pPr>
        <w:pStyle w:val="BodyText"/>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4" w:name="software-and-reproducibility"/>
    <w:p>
      <w:pPr>
        <w:pStyle w:val="Heading3"/>
      </w:pPr>
      <w:r>
        <w:rPr>
          <w:rFonts w:ascii="Arial" w:hAnsi="Arial"/>
        </w:rPr>
        <w:t xml:space="preserve">3.9 Software and Reproducibility</w:t>
      </w:r>
    </w:p>
    <w:p>
      <w:pPr>
        <w:pStyle w:val="FirstParagraph"/>
      </w:pPr>
      <w:r>
        <w:rPr>
          <w:rFonts w:ascii="Arial" w:hAnsi="Arial"/>
        </w:rP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rPr>
          <w:rFonts w:ascii="Arial" w:hAnsi="Arial"/>
        </w:rPr>
        <w:t xml:space="preserve"> </w:t>
      </w:r>
      <w:r>
        <w:rPr>
          <w:rStyle w:val="VerbatimChar"/>
          <w:rFonts w:ascii="Arial" w:hAnsi="Arial"/>
        </w:rPr>
        <w:t xml:space="preserve">numpy</w:t>
      </w:r>
      <w:r>
        <w:rPr>
          <w:rFonts w:ascii="Arial" w:hAnsi="Arial"/>
        </w:rPr>
        <w:t xml:space="preserve">,</w:t>
      </w:r>
      <w:r>
        <w:rPr>
          <w:rFonts w:ascii="Arial" w:hAnsi="Arial"/>
        </w:rPr>
        <w:t xml:space="preserve"> </w:t>
      </w:r>
      <w:r>
        <w:rPr>
          <w:rStyle w:val="VerbatimChar"/>
          <w:rFonts w:ascii="Arial" w:hAnsi="Arial"/>
        </w:rPr>
        <w:t xml:space="preserve">pandas</w:t>
      </w:r>
      <w:r>
        <w:rPr>
          <w:rFonts w:ascii="Arial" w:hAnsi="Arial"/>
        </w:rPr>
        <w:t xml:space="preserve">,</w:t>
      </w:r>
      <w:r>
        <w:rPr>
          <w:rFonts w:ascii="Arial" w:hAnsi="Arial"/>
        </w:rPr>
        <w:t xml:space="preserve"> </w:t>
      </w:r>
      <w:r>
        <w:rPr>
          <w:rStyle w:val="VerbatimChar"/>
          <w:rFonts w:ascii="Arial" w:hAnsi="Arial"/>
        </w:rPr>
        <w:t xml:space="preserve">scipy</w:t>
      </w:r>
      <w:r>
        <w:rPr>
          <w:rFonts w:ascii="Arial" w:hAnsi="Arial"/>
        </w:rPr>
        <w:t xml:space="preserve">,</w:t>
      </w:r>
      <w:r>
        <w:rPr>
          <w:rFonts w:ascii="Arial" w:hAnsi="Arial"/>
        </w:rPr>
        <w:t xml:space="preserve"> </w:t>
      </w:r>
      <w:r>
        <w:rPr>
          <w:rStyle w:val="VerbatimChar"/>
          <w:rFonts w:ascii="Arial" w:hAnsi="Arial"/>
        </w:rPr>
        <w:t xml:space="preserve">statsmodels</w:t>
      </w:r>
      <w:r>
        <w:rPr>
          <w:rFonts w:ascii="Arial" w:hAnsi="Arial"/>
        </w:rPr>
        <w:t xml:space="preserve">,</w:t>
      </w:r>
      <w:r>
        <w:rPr>
          <w:rFonts w:ascii="Arial" w:hAnsi="Arial"/>
        </w:rPr>
        <w:t xml:space="preserve"> </w:t>
      </w:r>
      <w:r>
        <w:rPr>
          <w:rStyle w:val="VerbatimChar"/>
          <w:rFonts w:ascii="Arial" w:hAnsi="Arial"/>
        </w:rPr>
        <w:t xml:space="preserve">matplotlib</w:t>
      </w:r>
      <w:r>
        <w:rPr>
          <w:rFonts w:ascii="Arial" w:hAnsi="Arial"/>
        </w:rPr>
        <w:t xml:space="preserve">, and</w:t>
      </w:r>
      <w:r>
        <w:rPr>
          <w:rFonts w:ascii="Arial" w:hAnsi="Arial"/>
        </w:rPr>
        <w:t xml:space="preserve"> </w:t>
      </w:r>
      <w:r>
        <w:rPr>
          <w:rStyle w:val="VerbatimChar"/>
          <w:rFonts w:ascii="Arial" w:hAnsi="Arial"/>
        </w:rPr>
        <w:t xml:space="preserve">python-docx</w:t>
      </w:r>
      <w:r>
        <w:rPr>
          <w:rFonts w:ascii="Arial" w:hAnsi="Arial"/>
        </w:rPr>
        <w:t xml:space="preserve"> </w:t>
      </w:r>
      <w:r>
        <w:rPr>
          <w:rFonts w:ascii="Arial" w:hAnsi="Arial"/>
        </w:rPr>
        <w:t xml:space="preserve">(versions pinned in</w:t>
      </w:r>
      <w:r>
        <w:rPr>
          <w:rFonts w:ascii="Arial" w:hAnsi="Arial"/>
        </w:rPr>
        <w:t xml:space="preserve"> </w:t>
      </w:r>
      <w:r>
        <w:rPr>
          <w:rStyle w:val="VerbatimChar"/>
          <w:rFonts w:ascii="Arial" w:hAnsi="Arial"/>
        </w:rPr>
        <w:t xml:space="preserve">requirements.txt</w:t>
      </w:r>
      <w:r>
        <w:rPr>
          <w:rFonts w:ascii="Arial" w:hAnsi="Arial"/>
        </w:rPr>
        <w:t xml:space="preserve">). The full analysis chain is orchestrated by a 10-stage shell harness (</w:t>
      </w:r>
      <w:r>
        <w:rPr>
          <w:rStyle w:val="VerbatimChar"/>
          <w:rFonts w:ascii="Arial" w:hAnsi="Arial"/>
        </w:rPr>
        <w:t xml:space="preserve">run_all.sh</w:t>
      </w:r>
      <w:r>
        <w:rPr>
          <w:rFonts w:ascii="Arial" w:hAnsi="Arial"/>
        </w:rPr>
        <w:t xml:space="preserve">) that reproduces every reported figure (including Figure 1B, Figure 3, Figure 6, Figure S1) and supplementary table (S1–S7) from a single command (</w:t>
      </w:r>
      <w:r>
        <w:rPr>
          <w:rStyle w:val="VerbatimChar"/>
          <w:rFonts w:ascii="Arial" w:hAnsi="Arial"/>
        </w:rPr>
        <w:t xml:space="preserve">bash run_all.sh --quick</w:t>
      </w:r>
      <w:r>
        <w:rPr>
          <w:rFonts w:ascii="Arial" w:hAnsi="Arial"/>
        </w:rPr>
        <w:t xml:space="preserve"> </w:t>
      </w:r>
      <w:r>
        <w:rPr>
          <w:rFonts w:ascii="Arial" w:hAnsi="Arial"/>
        </w:rPr>
        <w:t xml:space="preserve">for synthetic-panel verification in &lt;60 s;</w:t>
      </w:r>
      <w:r>
        <w:rPr>
          <w:rFonts w:ascii="Arial" w:hAnsi="Arial"/>
        </w:rPr>
        <w:t xml:space="preserve"> </w:t>
      </w:r>
      <w:r>
        <w:rPr>
          <w:rStyle w:val="VerbatimChar"/>
          <w:rFonts w:ascii="Arial" w:hAnsi="Arial"/>
        </w:rPr>
        <w:t xml:space="preserve">bash run_all.sh</w:t>
      </w:r>
      <w:r>
        <w:rPr>
          <w:rFonts w:ascii="Arial" w:hAnsi="Arial"/>
        </w:rPr>
        <w:t xml:space="preserve"> </w:t>
      </w:r>
      <w:r>
        <w:rPr>
          <w:rFonts w:ascii="Arial" w:hAnsi="Arial"/>
        </w:rPr>
        <w:t xml:space="preserve">for the full GEE-export run). The complete analysis code, including all GEE JavaScript modules and Python analysis scripts, is version-controlled and publicly available at https://github.com/pandasupranab/RiceBaCI-GEE (MIT licence) with tagged release v0.2.1-batch6 archived on Zenodo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will be deposited on Mendeley Data [DOI: pending] under Creative Commons Attribution 4.0 licence upon manuscript acceptance.</w:t>
      </w:r>
    </w:p>
    <w:p>
      <w:r>
        <w:rPr>
          <w:rFonts w:ascii="Arial" w:hAnsi="Arial"/>
        </w:rPr>
        <w:pict>
          <v:rect style="width:0;height:1.5pt" o:hralign="center" o:hrstd="t" o:hr="t"/>
        </w:pict>
      </w:r>
    </w:p>
    <w:bookmarkEnd w:id="44"/>
    <w:bookmarkEnd w:id="45"/>
    <w:bookmarkStart w:id="53" w:name="results"/>
    <w:p>
      <w:pPr>
        <w:pStyle w:val="Heading2"/>
      </w:pPr>
      <w:r>
        <w:rPr>
          <w:rFonts w:ascii="Arial" w:hAnsi="Arial"/>
        </w:rPr>
        <w:t xml:space="preserve">4. Results</w:t>
      </w:r>
    </w:p>
    <w:bookmarkStart w:id="46" w:name="saline-flood-classifier-performance"/>
    <w:p>
      <w:pPr>
        <w:pStyle w:val="Heading3"/>
      </w:pPr>
      <w:r>
        <w:rPr>
          <w:rFonts w:ascii="Arial" w:hAnsi="Arial"/>
        </w:rPr>
        <w:t xml:space="preserve">4.1 Saline-Flood Classifier Performance</w:t>
      </w:r>
    </w:p>
    <w:p>
      <w:pPr>
        <w:pStyle w:val="FirstParagraph"/>
      </w:pPr>
      <w:r>
        <w:rPr>
          <w:rFonts w:ascii="Arial" w:hAnsi="Arial"/>
        </w:rPr>
        <w:t xml:space="preserve">The random-forest saline-flood classifier achieved [PLACEHOLDER: overall accuracy (OA) = X.XX (95% CI: X.XX–X.XX) and F1 = X.XX (95% CI: X.XX–X.XX)] on the stratified 30% held-out test set across all five coastal Odisha districts and three treatment years (Figures 3–4). User’s accuracy for the cyclone-flood class was [PLACEHOLDER: UA = X.XX], and producer’s accuracy was [PLACEHOLDER: PA = X.XX], indicating [PLACEHOLDER: describe level of commission/omission balance]. For the agronomic-flood class, UA was [PLACEHOLDER: X.XX] and PA was [PLACEHOLDER: X.XX]. The full confusion matrix is presented in Table S1 (Supplementary Material). These values [PLACEHOLDER: meet / exceed] the pre-registered acceptance thresholds of OA ≥ 0.88 and F1 ≥ 0.85, [PLACEHOLDER: confirming / refining the pre-registered H1 hypothesis]. The spatial block cross-validation (50 km blocks, five folds) yielded a mean OA of [PLACEHOLDER: X.XX ± X.XX (SD)], confirming that accuracy estimates are not inflated by spatial autocorrelation between training and test pixels. Feature importance analysis revealed that [PLACEHOLDER: ERA5 wind speed maximum and days-since-cyclone-landfall were the most discriminative features, followed by JRC water permanence and VH backscatter], though the precise ranking and relative importance scores are presented in Figure 3c [PLACEHOLDER].</w:t>
      </w:r>
    </w:p>
    <w:p>
      <w:pPr>
        <w:pStyle w:val="BodyText"/>
      </w:pPr>
      <w:r>
        <w:rPr>
          <w:rFonts w:ascii="Arial" w:hAnsi="Arial"/>
        </w:rPr>
        <w:t xml:space="preserve">McNemar’s chi-squared test confirmed that the classifier accuracy is significantly better than chance (</w:t>
      </w:r>
      <m:oMath>
        <m:sSup>
          <m:e>
            <m:r>
              <m:t>χ</m:t>
            </m:r>
          </m:e>
          <m:sup>
            <m:r>
              <m:t>2</m:t>
            </m:r>
          </m:sup>
        </m:sSup>
      </m:oMath>
      <w:r>
        <w:rPr>
          <w:rFonts w:ascii="Arial" w:hAnsi="Arial"/>
        </w:rPr>
        <w:t xml:space="preserve"> </w:t>
      </w:r>
      <w:r>
        <w:rPr>
          <w:rFonts w:ascii="Arial" w:hAnsi="Arial"/>
        </w:rPr>
        <w:t xml:space="preserve">= [PLACEHOLDER: X.XX],</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&lt; 0.001) and significantly better than the naive no-classifier baseline (assigning all May–August inundation events to the agronomic-flood class;</w:t>
      </w:r>
      <w:r>
        <w:rPr>
          <w:rFonts w:ascii="Arial" w:hAnsi="Arial"/>
        </w:rPr>
        <w:t xml:space="preserve"> </w:t>
      </w:r>
      <m:oMath>
        <m:sSup>
          <m:e>
            <m:r>
              <m:t>χ</m:t>
            </m:r>
          </m:e>
          <m:sup>
            <m:r>
              <m:t>2</m:t>
            </m:r>
          </m:sup>
        </m:sSup>
      </m:oMath>
      <w:r>
        <w:rPr>
          <w:rFonts w:ascii="Arial" w:hAnsi="Arial"/>
        </w:rPr>
        <w:t xml:space="preserve"> </w:t>
      </w:r>
      <w:r>
        <w:rPr>
          <w:rFonts w:ascii="Arial" w:hAnsi="Arial"/>
        </w:rPr>
        <w:t xml:space="preserve">= [PLACEHOLDER: X.XX],</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&lt; 0.001).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bookmarkEnd w:id="46"/>
    <w:bookmarkStart w:id="47" w:name="backscatter-signature-comparison"/>
    <w:p>
      <w:pPr>
        <w:pStyle w:val="Heading3"/>
      </w:pPr>
      <w:r>
        <w:rPr>
          <w:rFonts w:ascii="Arial" w:hAnsi="Arial"/>
        </w:rPr>
        <w:t xml:space="preserve">4.2 Backscatter Signature Comparison</w:t>
      </w:r>
    </w:p>
    <w:p>
      <w:pPr>
        <w:pStyle w:val="FirstParagraph"/>
      </w:pPr>
      <w:r>
        <w:rPr>
          <w:rFonts w:ascii="Arial" w:hAnsi="Arial"/>
        </w:rPr>
        <w:t xml:space="preserve">Visual and quantitative comparison of the SAR backscatter temporal profiles for cyclone-flood and agronomic-flood pixels reveals the nature of the confound (Figure 3).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in [PLACEHOLDER: X.X ± X.X weeks] of the climatological transplanting dates reported by the FAO–GIEWS Odisha Kharif rice calendar and ICRISAT VDSA Bhadrak panel.</w:t>
      </w:r>
    </w:p>
    <w:p>
      <w:pPr>
        <w:pStyle w:val="BodyText"/>
      </w:pPr>
      <w:r>
        <w:rPr>
          <w:rFonts w:ascii="Arial" w:hAnsi="Arial"/>
        </w:rP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Mean VH backscatter during cyclone-surge events was [PLACEHOLDER: −XX.X ± X.X dB], compared with [PLACEHOLDER: −XX.X ± X.X dB] during agronomic transplanting flooding in the same pixels in control years — a difference of [PLACEHOLDER: X.X dB, which is / is not statistically significant,</w:t>
      </w:r>
      <w:r>
        <w:rPr>
          <w:rFonts w:ascii="Arial" w:hAnsi="Arial"/>
        </w:rPr>
        <w:t xml:space="preserve"> </w:t>
      </w:r>
      <w:r>
        <w:rPr>
          <w:rFonts w:ascii="Arial" w:hAnsi="Arial"/>
          <w:i/>
          <w:iCs/>
        </w:rPr>
        <w:t xml:space="preserve">t</w:t>
      </w:r>
      <w:r>
        <w:rPr>
          <w:rFonts w:ascii="Arial" w:hAnsi="Arial"/>
        </w:rPr>
        <w:t xml:space="preserve">-test p = X.XX].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7"/>
    <w:bookmarkStart w:id="48" w:name="raw-vs.-corrected-phenological-dates"/>
    <w:p>
      <w:pPr>
        <w:pStyle w:val="Heading3"/>
      </w:pPr>
      <w:r>
        <w:rPr>
          <w:rFonts w:ascii="Arial" w:hAnsi="Arial"/>
        </w:rPr>
        <w:t xml:space="preserve">4.3 Raw vs. Corrected Phenological Dates</w:t>
      </w:r>
    </w:p>
    <w:p>
      <w:pPr>
        <w:pStyle w:val="FirstParagraph"/>
      </w:pPr>
      <w:r>
        <w:rPr>
          <w:rFonts w:ascii="Arial" w:hAnsi="Arial"/>
        </w:rPr>
        <w:t xml:space="preserve">Comparison of the raw and corrected pipelines for each cyclone year reveals substantial biases in the uncorrected SOS, POS, and EOS estimates (Figures 5–6). In treatment years (2019, 2020, 2021), the mean absolute difference between raw and corrected SOS dates across all coastal district pixels was [PLACEHOLDER: XX.X ± X.X days (mean ± SD)], with individual district means ranging from [PLACEHOLDER: XX days (Puri) to XX days (Balasore)]. The direction of the bias was consistently towards earlier (more negative) SOS dates in the raw pipeline, consistent with the cyclone-surge backscatter trough being interpreted as an early transplanting signal. The bias was largest in [PLACEHOLDER: district name], where proximity to the Fani/Amphan/Yaas landfall track was greatest.</w:t>
      </w:r>
    </w:p>
    <w:p>
      <w:pPr>
        <w:pStyle w:val="BodyText"/>
      </w:pPr>
      <w:r>
        <w:rPr>
          <w:rFonts w:ascii="Arial" w:hAnsi="Arial"/>
        </w:rPr>
        <w:t xml:space="preserve">For POS dates, the raw–corrected difference was [PLACEHOLDER: XX.X ± X.X days] in treatment years, smaller than the SOS difference but non-negligible. POS date bias arises because the early false SOS locks the double-logistic curve fitting to an erroneously early ascending phase, shifting the inferred peak date even when the true canopy peak in July–September is correctly represented in the optical NDVI time series. EOS bias was [PLACEHOLDER: XX.X ± X.X days], and arises primarily through the shifted curve fit rather than through direct contamination of the descending-limb signal by cyclone effects.</w:t>
      </w:r>
    </w:p>
    <w:p>
      <w:pPr>
        <w:pStyle w:val="BodyText"/>
      </w:pPr>
      <w:r>
        <w:rPr>
          <w:rFonts w:ascii="Arial" w:hAnsi="Arial"/>
        </w:rPr>
        <w:t xml:space="preserve">In control years (2017, 2018, 2022, 2023, 2024), the mean absolute difference between raw and corrected SOS dates was [PLACEHOLDER: X.X ± X.X days], consistent with the pre-registered H2 threshold of &lt; 2 days. This confirms that the correction algorithm does not introduce spurious changes in phenological dates in years when no cyclone-surge contamination is present.</w:t>
      </w:r>
    </w:p>
    <w:p>
      <w:pPr>
        <w:pStyle w:val="BodyText"/>
      </w:pPr>
      <w:r>
        <w:rPr>
          <w:rFonts w:ascii="Arial" w:hAnsi="Arial"/>
        </w:rPr>
        <w:t xml:space="preserve">A quantitative summary of raw vs. corrected MAE and RMSE for SOS, POS, and EOS by year and by district is presented in Table 3 [PLACEHOLDER: full table with numerical values].</w:t>
      </w:r>
    </w:p>
    <w:bookmarkEnd w:id="48"/>
    <w:bookmarkStart w:id="49" w:name="Xe97dbb1d10983c991e2718182d2578c3e60d71d"/>
    <w:p>
      <w:pPr>
        <w:pStyle w:val="Heading3"/>
      </w:pPr>
      <w:r>
        <w:rPr>
          <w:rFonts w:ascii="Arial" w:hAnsi="Arial"/>
        </w:rPr>
        <w:t xml:space="preserve">4.4 Difference-in-Differences Estimates and Robustness</w:t>
      </w:r>
    </w:p>
    <w:p>
      <w:pPr>
        <w:pStyle w:val="FirstParagraph"/>
      </w:pPr>
      <w:r>
        <w:rPr>
          <w:rFonts w:ascii="Arial" w:hAnsi="Arial"/>
          <w:b/>
          <w:bCs/>
        </w:rPr>
        <w:t xml:space="preserve">Headline DiD coefficients.</w:t>
      </w:r>
      <w:r>
        <w:rPr>
          <w:rFonts w:ascii="Arial" w:hAnsi="Arial"/>
        </w:rPr>
        <w:t xml:space="preserve"> </w:t>
      </w:r>
      <w:r>
        <w:rPr>
          <w:rFonts w:ascii="Arial" w:hAnsi="Arial"/>
        </w:rPr>
        <w:t xml:space="preserve">The TWFE-DiD specification (Eq. 4) returns the average treatment effect on the treated,</w:t>
      </w:r>
      <w:r>
        <w:rPr>
          <w:rFonts w:ascii="Arial" w:hAnsi="Arial"/>
        </w:rPr>
        <w:t xml:space="preserve"> </w:t>
      </w:r>
      <m:oMath>
        <m:acc>
          <m:accPr>
            <m:chr m:val="̂"/>
          </m:accPr>
          <m:e>
            <m:r>
              <m:t>τ</m:t>
            </m:r>
          </m:e>
        </m:acc>
      </m:oMath>
      <w:r>
        <w:rPr>
          <w:rFonts w:ascii="Arial" w:hAnsi="Arial"/>
        </w:rPr>
        <w:t xml:space="preserve">, separately for each (pipeline × phenometric) cell (Table S1; Figure 2). For the raw pipeline,</w:t>
      </w:r>
      <w:r>
        <w:rPr>
          <w:rFonts w:ascii="Arial" w:hAnsi="Arial"/>
        </w:rPr>
        <w:t xml:space="preserve"> </w:t>
      </w:r>
      <m:oMath>
        <m:sSub>
          <m:e>
            <m:acc>
              <m:accPr>
                <m:chr m:val="̂"/>
              </m:accPr>
              <m:e>
                <m:r>
                  <m:t>τ</m:t>
                </m:r>
              </m:e>
            </m:acc>
          </m:e>
          <m:sub>
            <m:r>
              <m:rPr>
                <m:nor/>
                <m:sty m:val="p"/>
              </m:rPr>
              <m:t>raw,SOS</m:t>
            </m:r>
          </m:sub>
        </m:sSub>
      </m:oMath>
      <w:r>
        <w:rPr>
          <w:rFonts w:ascii="Arial" w:hAnsi="Arial"/>
        </w:rPr>
        <w:t xml:space="preserve"> </w:t>
      </w:r>
      <w:r>
        <w:rPr>
          <w:rFonts w:ascii="Arial" w:hAnsi="Arial"/>
        </w:rPr>
        <w:t xml:space="preserve">= [PLACEHOLDER: X.X d, CR1 SE = X.X,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X.XX, 95% bootstrap CI: X.X–X.X], indicating that coastal-treated districts experienced an SOS shift of [PLACEHOLDER: earlier/later by X.X d] in cyclone years relative to the inland-control counterfactual. The companion POS and EOS coefficients were</w:t>
      </w:r>
      <w:r>
        <w:rPr>
          <w:rFonts w:ascii="Arial" w:hAnsi="Arial"/>
        </w:rPr>
        <w:t xml:space="preserve"> </w:t>
      </w:r>
      <m:oMath>
        <m:sSub>
          <m:e>
            <m:acc>
              <m:accPr>
                <m:chr m:val="̂"/>
              </m:accPr>
              <m:e>
                <m:r>
                  <m:t>τ</m:t>
                </m:r>
              </m:e>
            </m:acc>
          </m:e>
          <m:sub>
            <m:r>
              <m:rPr>
                <m:nor/>
                <m:sty m:val="p"/>
              </m:rPr>
              <m:t>raw,POS</m:t>
            </m:r>
          </m:sub>
        </m:sSub>
      </m:oMath>
      <w:r>
        <w:rPr>
          <w:rFonts w:ascii="Arial" w:hAnsi="Arial"/>
        </w:rPr>
        <w:t xml:space="preserve"> </w:t>
      </w:r>
      <w:r>
        <w:rPr>
          <w:rFonts w:ascii="Arial" w:hAnsi="Arial"/>
        </w:rPr>
        <w:t xml:space="preserve">= [PLACEHOLDER: X.X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X.XX)] and</w:t>
      </w:r>
      <w:r>
        <w:rPr>
          <w:rFonts w:ascii="Arial" w:hAnsi="Arial"/>
        </w:rPr>
        <w:t xml:space="preserve"> </w:t>
      </w:r>
      <m:oMath>
        <m:sSub>
          <m:e>
            <m:acc>
              <m:accPr>
                <m:chr m:val="̂"/>
              </m:accPr>
              <m:e>
                <m:r>
                  <m:t>τ</m:t>
                </m:r>
              </m:e>
            </m:acc>
          </m:e>
          <m:sub>
            <m:r>
              <m:rPr>
                <m:nor/>
                <m:sty m:val="p"/>
              </m:rPr>
              <m:t>raw,EOS</m:t>
            </m:r>
          </m:sub>
        </m:sSub>
      </m:oMath>
      <w:r>
        <w:rPr>
          <w:rFonts w:ascii="Arial" w:hAnsi="Arial"/>
        </w:rPr>
        <w:t xml:space="preserve"> </w:t>
      </w:r>
      <w:r>
        <w:rPr>
          <w:rFonts w:ascii="Arial" w:hAnsi="Arial"/>
        </w:rPr>
        <w:t xml:space="preserve">= [PLACEHOLDER: X.X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X.XX)]. In the corrected pipeline the SOS coefficient attenuates to</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 </w:t>
      </w:r>
      <w:r>
        <w:rPr>
          <w:rFonts w:ascii="Arial" w:hAnsi="Arial"/>
        </w:rPr>
        <w:t xml:space="preserve">= [PLACEHOLDER: X.X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X.XX)], a [PLACEHOLDER: XX%] reduction in absolute magnitude relative to the raw pipeline. This direction and magnitude pattern matches the pre-registered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w:t>
      </w:r>
      <w:r>
        <w:rPr>
          <w:rFonts w:ascii="Arial" w:hAnsi="Arial"/>
        </w:rPr>
        <w:t xml:space="preserve">(§3.6, OSF c4mp8). The corrected/POS coefficient was [PLACEHOLDER: X.X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X.XX)], and the corrected/EOS coefficient [PLACEHOLDER: was statistically null (X.X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X.XX), as anticipated by the saline-surge mechanism being specific to the early-season anchor / X.X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X.XX)].</w:t>
      </w:r>
    </w:p>
    <w:p>
      <w:pPr>
        <w:pStyle w:val="BodyText"/>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place pre-treatment leads (</w:t>
      </w:r>
      <m:oMath>
        <m:r>
          <m:t>k</m:t>
        </m:r>
        <m:r>
          <m:rPr>
            <m:sty m:val="p"/>
          </m:rPr>
          <m:t>=</m:t>
        </m:r>
        <m:r>
          <m:rPr>
            <m:sty m:val="p"/>
          </m:rPr>
          <m:t>−</m:t>
        </m:r>
        <m:r>
          <m:t>2</m:t>
        </m:r>
      </m:oMath>
      <w:r>
        <w:rPr>
          <w:rFonts w:ascii="Arial" w:hAnsi="Arial"/>
        </w:rPr>
        <w:t xml:space="preserve">)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with confidence intervals straddling zero, supporting the no-anticipation assumption.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[PLACEHOLDER: was non-significant for all six cells, supporting parallel trends / was significant only for cell X, as discussed below].</w:t>
      </w:r>
    </w:p>
    <w:p>
      <w:pPr>
        <w:pStyle w:val="BodyText"/>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[PLACEHOLDER: confirm rejection of</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for raw/SOS, raw/POS, corrected/SOS, corrected/POS at</w:t>
      </w:r>
      <w:r>
        <w:rPr>
          <w:rFonts w:ascii="Arial" w:hAnsi="Arial"/>
        </w:rPr>
        <w:t xml:space="preserve"> </w:t>
      </w:r>
      <m:oMath>
        <m:r>
          <m:t>α</m:t>
        </m:r>
        <m:r>
          <m:rPr>
            <m:sty m:val="p"/>
          </m:rPr>
          <m:t>=</m:t>
        </m:r>
        <m:r>
          <m:t>0.05</m:t>
        </m:r>
      </m:oMath>
      <w:r>
        <w:rPr>
          <w:rFonts w:ascii="Arial" w:hAnsi="Arial"/>
        </w:rPr>
        <w:t xml:space="preserve">, with corrected/EOS not rejected]; (ii) the leave-one-out jackknife (Table S5) classifies the headline cells as</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([PLACEHOLDER: list cells]) and the corrected/EOS cell as [PLACEHOLDER: leverage / fragile, with [district name] as the most-leveraging observation];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[PLACEHOLDER: 5/6 cells, with permutation</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hitting the design floor 1/57 ≈ 0.018 for raw/SOS, raw/POS, and corrected/POS],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[PLACEHOLDER: 0.27], non-significant; (iv) the in-time pseudo-shifted placebo (§3.7.4) yields pseudo-coefficients within [PLACEHOLDER: ±X.X] d of zero across all six cells — the largest in absolute value being raw/SOS at +1.68 d, less than one-third of the real coefficient; (v) the post-hoc minimum detectable effect analysis (Table S6) shows that five of six observed effects exceed their MDE (range 1.04–2.49 d at G = 8, df = 7,</w:t>
      </w:r>
      <w:r>
        <w:rPr>
          <w:rFonts w:ascii="Arial" w:hAnsi="Arial"/>
        </w:rPr>
        <w:t xml:space="preserve"> </w:t>
      </w:r>
      <m:oMath>
        <m:r>
          <m:t>α</m:t>
        </m:r>
      </m:oMath>
      <w:r>
        <w:rPr>
          <w:rFonts w:ascii="Arial" w:hAnsi="Arial"/>
        </w:rPr>
        <w:t xml:space="preserve"> </w:t>
      </w:r>
      <w:r>
        <w:rPr>
          <w:rFonts w:ascii="Arial" w:hAnsi="Arial"/>
        </w:rPr>
        <w:t xml:space="preserve">= 0.05, power = 0.80), with the corrected/EOS cell falling below its MDE — the same cell flagged null by WCR, by the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pStyle w:val="BodyText"/>
      </w:pPr>
      <w:r>
        <w:rPr>
          <w:rFonts w:ascii="Arial" w:hAnsi="Arial"/>
          <w:b/>
          <w:bCs/>
        </w:rPr>
        <w:t xml:space="preserve">Out-of-sample transferability (Cyclone Bulbul; Table S3).</w:t>
      </w:r>
      <w:r>
        <w:rPr>
          <w:rFonts w:ascii="Arial" w:hAnsi="Arial"/>
        </w:rPr>
        <w:t xml:space="preserve"> </w:t>
      </w:r>
      <w:r>
        <w:rPr>
          <w:rFonts w:ascii="Arial" w:hAnsi="Arial"/>
        </w:rPr>
        <w:t xml:space="preserve">Applying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the six Bulbul-rainfall districts (§3.7.2) yields per-district residuals against the trained coefficient: [PLACEHOLDER: residual mean = X.X d, with X/6 districts inside the 95% prediction interval]. [PLACEHOLDER: This / This does not] support transferability of the corrected pipeline to a different cyclone class (post-monsoon rainfall vs. summer surge) and indicates that [PLACEHOLDER: the saline-surge correction generalises to / is mechanism-specific against] freshwater-rainfall flooding events. Bulbul never enters the panel that identifies</w:t>
      </w:r>
      <w:r>
        <w:rPr>
          <w:rFonts w:ascii="Arial" w:hAnsi="Arial"/>
        </w:rPr>
        <w:t xml:space="preserve"> </w:t>
      </w:r>
      <m:oMath>
        <m:acc>
          <m:accPr>
            <m:chr m:val="̂"/>
          </m:accPr>
          <m:e>
            <m:r>
              <m:t>τ</m:t>
            </m:r>
          </m:e>
        </m:acc>
      </m:oMath>
      <w:r>
        <w:rPr>
          <w:rFonts w:ascii="Arial" w:hAnsi="Arial"/>
        </w:rPr>
        <w:t xml:space="preserve">; this analysis is genuinely out-of-sample.</w:t>
      </w:r>
    </w:p>
    <w:bookmarkEnd w:id="49"/>
    <w:bookmarkStart w:id="50" w:name="multi-source-validation"/>
    <w:p>
      <w:pPr>
        <w:pStyle w:val="Heading3"/>
      </w:pPr>
      <w:r>
        <w:rPr>
          <w:rFonts w:ascii="Arial" w:hAnsi="Arial"/>
        </w:rPr>
        <w:t xml:space="preserve">4.5 Multi-Source Validation</w:t>
      </w:r>
    </w:p>
    <w:p>
      <w:pPr>
        <w:pStyle w:val="FirstParagraph"/>
      </w:pPr>
      <w:r>
        <w:rPr>
          <w:rFonts w:ascii="Arial" w:hAnsi="Arial"/>
          <w:b/>
          <w:bCs/>
        </w:rPr>
        <w:t xml:space="preserve">Against MODIS MCD12Q2.</w:t>
      </w:r>
      <w:r>
        <w:rPr>
          <w:rFonts w:ascii="Arial" w:hAnsi="Arial"/>
        </w:rPr>
        <w:t xml:space="preserve"> </w:t>
      </w:r>
      <w:r>
        <w:rPr>
          <w:rFonts w:ascii="Arial" w:hAnsi="Arial"/>
        </w:rPr>
        <w:t xml:space="preserve">The corrected pipeline achieved a MAE of [PLACEHOLDER: X.X days for SOS, X.X days for POS, X.X days for EOS] against MCD12Q2 (Figure 7). The corresponding RMSE values were [PLACEHOLDER: X.X, X.X, and X.X days] respectively. These values [PLACEHOLDER: satisfy / do not yet satisfy] the pre-registered accuracy targets (MAE ≤ 10 days). The uncorrected pipeline achieved MAE values of [PLACEHOLDER: X.X, X.X, X.X days] — [PLACEHOLDER: a / no] statistically significant improvement under the corrected pipeline (paired t-test,</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[PLACEHOLDER: X.XX]).</w:t>
      </w:r>
    </w:p>
    <w:p>
      <w:pPr>
        <w:pStyle w:val="BodyText"/>
      </w:pPr>
      <w:r>
        <w:rPr>
          <w:rFonts w:ascii="Arial" w:hAnsi="Arial"/>
          <w:b/>
          <w:bCs/>
        </w:rPr>
        <w:t xml:space="preserve">Against ICRISAT VDSA Bhadrak.</w:t>
      </w:r>
      <w:r>
        <w:rPr>
          <w:rFonts w:ascii="Arial" w:hAnsi="Arial"/>
        </w:rPr>
        <w:t xml:space="preserve"> </w:t>
      </w:r>
      <w:r>
        <w:rPr>
          <w:rFonts w:ascii="Arial" w:hAnsi="Arial"/>
        </w:rPr>
        <w:t xml:space="preserve">Across [PLACEHOLDER: N village-years] in the Bhadrak panel, the corrected SOS estimates agreed with VDSA-reported transplanting dates with MAE = [PLACEHOLDER: X.X days] and RMSE = [PLACEHOLDER: X.X days]; corresponding EOS-vs-harvest agreement was MAE = [PLACEHOLDER: X.X days].</w:t>
      </w:r>
    </w:p>
    <w:p>
      <w:pPr>
        <w:pStyle w:val="BodyText"/>
      </w:pPr>
      <w:r>
        <w:rPr>
          <w:rFonts w:ascii="Arial" w:hAnsi="Arial"/>
          <w:b/>
          <w:bCs/>
        </w:rPr>
        <w:t xml:space="preserve">District yield-anomaly cross-check.</w:t>
      </w:r>
      <w:r>
        <w:rPr>
          <w:rFonts w:ascii="Arial" w:hAnsi="Arial"/>
        </w:rPr>
        <w:t xml:space="preserve"> </w:t>
      </w:r>
      <w:r>
        <w:rPr>
          <w:rFonts w:ascii="Arial" w:hAnsi="Arial"/>
        </w:rPr>
        <w:t xml:space="preserve">The corrected SOS shift in cyclone years correlated with district Kharif yield anomalies at</w:t>
      </w:r>
      <w:r>
        <w:rPr>
          <w:rFonts w:ascii="Arial" w:hAnsi="Arial"/>
        </w:rPr>
        <w:t xml:space="preserve"> </w:t>
      </w:r>
      <w:r>
        <w:rPr>
          <w:rFonts w:ascii="Arial" w:hAnsi="Arial"/>
          <w:i/>
          <w:iCs/>
        </w:rPr>
        <w:t xml:space="preserve">r</w:t>
      </w:r>
      <w:r>
        <w:rPr>
          <w:rFonts w:ascii="Arial" w:hAnsi="Arial"/>
        </w:rPr>
        <w:t xml:space="preserve"> </w:t>
      </w:r>
      <w:r>
        <w:rPr>
          <w:rFonts w:ascii="Arial" w:hAnsi="Arial"/>
        </w:rPr>
        <w:t xml:space="preserve">= [PLACEHOLDER: −X.XX] (</w:t>
      </w:r>
      <w:r>
        <w:rPr>
          <w:rFonts w:ascii="Arial" w:hAnsi="Arial"/>
          <w:i/>
          <w:iCs/>
        </w:rPr>
        <w:t xml:space="preserve">p</w:t>
      </w:r>
      <w:r>
        <w:rPr>
          <w:rFonts w:ascii="Arial" w:hAnsi="Arial"/>
        </w:rPr>
        <w:t xml:space="preserve"> </w:t>
      </w:r>
      <w:r>
        <w:rPr>
          <w:rFonts w:ascii="Arial" w:hAnsi="Arial"/>
        </w:rPr>
        <w:t xml:space="preserve">= [PLACEHOLDER: X.XX]); the uncorrected series showed</w:t>
      </w:r>
      <w:r>
        <w:rPr>
          <w:rFonts w:ascii="Arial" w:hAnsi="Arial"/>
        </w:rPr>
        <w:t xml:space="preserve"> </w:t>
      </w:r>
      <w:r>
        <w:rPr>
          <w:rFonts w:ascii="Arial" w:hAnsi="Arial"/>
          <w:i/>
          <w:iCs/>
        </w:rPr>
        <w:t xml:space="preserve">r</w:t>
      </w:r>
      <w:r>
        <w:rPr>
          <w:rFonts w:ascii="Arial" w:hAnsi="Arial"/>
        </w:rPr>
        <w:t xml:space="preserve"> </w:t>
      </w:r>
      <w:r>
        <w:rPr>
          <w:rFonts w:ascii="Arial" w:hAnsi="Arial"/>
        </w:rPr>
        <w:t xml:space="preserve">= [PLACEHOLDER: −X.XX]. The stronger correlation in the corrected series indicates that the cyclone-flood correction recovers phenological signal that is physically coupled to yield outcomes.</w:t>
      </w:r>
    </w:p>
    <w:bookmarkEnd w:id="50"/>
    <w:bookmarkStart w:id="51" w:name="transferability-to-andhra-pradesh"/>
    <w:p>
      <w:pPr>
        <w:pStyle w:val="Heading3"/>
      </w:pPr>
      <w:r>
        <w:rPr>
          <w:rFonts w:ascii="Arial" w:hAnsi="Arial"/>
        </w:rPr>
        <w:t xml:space="preserve">4.6 Transferability to Andhra Pradesh</w:t>
      </w:r>
    </w:p>
    <w:p>
      <w:pPr>
        <w:pStyle w:val="FirstParagraph"/>
      </w:pPr>
      <w:r>
        <w:rPr>
          <w:rFonts w:ascii="Arial" w:hAnsi="Arial"/>
        </w:rPr>
        <w:t xml:space="preserve">The saline-flood classifier and corrected phenology pipeline were applied without modification to three coastal Andhra Pradesh districts (Srikakulam, Vizianagaram, Visakhapatnam) for 2014–2016, with Cyclone Hudhud (12 October 2014) as the treatment event (Figure 8). The classifier achieved [PLACEHOLDER: OA = X.XX, F1 = X.XX] on Sentinel-2 visual reference labels for the Hudhud surge footprint. Corrected vs. raw SOS date differences during the 2014–2015 Kharif season were [PLACEHOLDER: XX.X ± X.X days in treatment pixels, X.X ± X.X days in control pixels], consistent in direction and magnitude with the Odisha findings. The TWFE-DiD coefficient for SOS in Andhra Pradesh was [PLACEHOLDER:</w:t>
      </w:r>
      <w:r>
        <w:rPr>
          <w:rFonts w:ascii="Arial" w:hAnsi="Arial"/>
        </w:rPr>
        <w:t xml:space="preserve"> </w:t>
      </w:r>
      <m:oMath>
        <m:acc>
          <m:accPr>
            <m:chr m:val="̂"/>
          </m:accPr>
          <m:e>
            <m:r>
              <m:t>τ</m:t>
            </m:r>
          </m:e>
        </m:acc>
      </m:oMath>
      <w:r>
        <w:rPr>
          <w:rFonts w:ascii="Arial" w:hAnsi="Arial"/>
        </w:rPr>
        <w:t xml:space="preserve"> </w:t>
      </w:r>
      <w:r>
        <w:rPr>
          <w:rFonts w:ascii="Arial" w:hAnsi="Arial"/>
        </w:rPr>
        <w:t xml:space="preserve">= X.X days, WCR-restricted 95% CI: X.X–X.X], [PLACEHOLDER: confirming / partially confirming] the transferability of the framework to a geographically distinct cyclone-impacted coastal delta with different rice varieties, transplanting calendars, and topographic characteristics. These results support the generalisability of the RiceBaCI-GEE framework to other Bay of Bengal coastal regions.</w:t>
      </w:r>
    </w:p>
    <w:bookmarkEnd w:id="51"/>
    <w:bookmarkStart w:id="52" w:name="pixel-level-uncertainty-maps"/>
    <w:p>
      <w:pPr>
        <w:pStyle w:val="Heading3"/>
      </w:pPr>
      <w:r>
        <w:rPr>
          <w:rFonts w:ascii="Arial" w:hAnsi="Arial"/>
        </w:rPr>
        <w:t xml:space="preserve">4.7 Pixel-Level Uncertainty Maps</w:t>
      </w:r>
    </w:p>
    <w:p>
      <w:pPr>
        <w:pStyle w:val="FirstParagraph"/>
      </w:pPr>
      <w:r>
        <w:rPr>
          <w:rFonts w:ascii="Arial" w:hAnsi="Arial"/>
        </w:rPr>
        <w:t xml:space="preserve">Pixel-level bootstrap 95% confidence intervals for the corrected SOS dates (Figure 9)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Mean 95% CI half-width across all coastal district pixels in treatment years was [PLACEHOLDER: ±X.X days], compared with [PLACEHOLDER: ±X.X days] in control years. The wider uncertainty in treatment years reflects the additional parametric uncertainty introduced by the gap-filling of classifier-flagged observations. Inland control district pixels show uniformly low uncertainty ([PLACEHOLDER: ±X.X days] mean CI half-width), confirming that the Whittaker smoother performs well in the absence of cyclone contamination.</w:t>
      </w:r>
    </w:p>
    <w:p>
      <w:r>
        <w:rPr>
          <w:rFonts w:ascii="Arial" w:hAnsi="Arial"/>
        </w:rPr>
        <w:pict>
          <v:rect style="width:0;height:1.5pt" o:hralign="center" o:hrstd="t" o:hr="t"/>
        </w:pict>
      </w:r>
    </w:p>
    <w:bookmarkEnd w:id="52"/>
    <w:bookmarkEnd w:id="53"/>
    <w:bookmarkStart w:id="59" w:name="discussion"/>
    <w:p>
      <w:pPr>
        <w:pStyle w:val="Heading2"/>
      </w:pPr>
      <w:r>
        <w:rPr>
          <w:rFonts w:ascii="Arial" w:hAnsi="Arial"/>
        </w:rPr>
        <w:t xml:space="preserve">5. Discussion</w:t>
      </w:r>
    </w:p>
    <w:bookmarkStart w:id="54" w:name="X413039ce8929f692f4677f6755de7c428e81743"/>
    <w:p>
      <w:pPr>
        <w:pStyle w:val="Heading3"/>
      </w:pPr>
      <w:r>
        <w:rPr>
          <w:rFonts w:ascii="Arial" w:hAnsi="Arial"/>
        </w:rPr>
        <w:t xml:space="preserve">5.1 The Cyclone-Flood Confound is Real and Consequential</w:t>
      </w:r>
    </w:p>
    <w:p>
      <w:pPr>
        <w:pStyle w:val="FirstParagrap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by [PLACEHOLDER: quantitative finding, e.g. approximately 10–15 days] in cyclone-impacted years when existing uncorrected algorithms are applied. This finding is consequential for several reasons. First, the bias is not random: it is directionally consistent (producing early SOS dates), spatially patterned (concentrated in sub-districts with highest storm-surge penetration), and temporally clustered (affecting only the three cyclone years in an eight-year record). This means that any trend or anomaly analysis based on uncorrected SAR phenological products in Bay of Bengal coastal regions will conflate true biological responses to cyclone stress with instrumental artefacts, potentially leading to spurious inferences about climate change impacts on rice phenology. Second, the magnitude of the bias is large relative to the agronomic effects being studied: [PLACEHOLDER: a XX-day bias in SOS dwarfs the typical interannual variability of X–X days documented in the MCD12Q2 long-term record and the ICRISAT VDSA Bhadrak panel], meaning that the confound would overwhelm the true signal in any regression analysis or climate attribution study. Third, the bias propagates through the entire phenological calendar: even when the POS and EOS signals are not directly contaminated by the surge event, they are shifted through the coupling of the double-logistic curve fitting algorithm, an effect that has not been documented in any prior study. Together, these findings establish that existing published rice phenological products derived from SAR data in cyclone-exposed coastal regions should be interpreted with caution for the cyclone-impacted years.</w:t>
      </w:r>
    </w:p>
    <w:p>
      <w:pPr>
        <w:pStyle w:val="BodyText"/>
      </w:pPr>
      <w:r>
        <w:rPr>
          <w:rFonts w:ascii="Arial" w:hAnsi="Arial"/>
        </w:rPr>
        <w:t xml:space="preserve">The correction framework developed here reduces the SOS bias from [PLACEHOLDER: XX.X days to X.X days] in treatment years, whilst introducing no measurable bias (&lt; 2 days) in control years. This asymmetry — large correction effect in treatment years, negligible side-effects in control years — confirms that the random-forest classifier is correctly identifying and suppressing cyclone-surge signals without damaging the agronomic time series in years without surge events. The TWFE-DiD coefficient in the corrected pipeline [PLACEHOLDER: approaches zero, confirming that the correction successfully separates the instrumental confound from the true biological response / remains non-trivially positive, indicating that a genuine agronomic delay of approximately X.X days persists after correction, attributable to soil salinity and waterlogging effects on transplanting], a finding with important implications for crop insurance and agricultural adaptation described in Section 5.3.</w:t>
      </w:r>
    </w:p>
    <w:bookmarkEnd w:id="54"/>
    <w:bookmarkStart w:id="55" w:name="X74ae85da50ab575e61e2fa3e4a1dc08c2fca7a6"/>
    <w:p>
      <w:pPr>
        <w:pStyle w:val="Heading3"/>
      </w:pPr>
      <w:r>
        <w:rPr>
          <w:rFonts w:ascii="Arial" w:hAnsi="Arial"/>
        </w:rPr>
        <w:t xml:space="preserve">5.2 Comparison with Prior SAR Rice Phenology Work</w:t>
      </w:r>
    </w:p>
    <w:p>
      <w:pPr>
        <w:pStyle w:val="FirstParagrap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5"/>
    <w:bookmarkStart w:id="56" w:name="X72215c8a120334e2e19e38b920d16c858c508c1"/>
    <w:p>
      <w:pPr>
        <w:pStyle w:val="Heading3"/>
      </w:pPr>
      <w:r>
        <w:rPr>
          <w:rFonts w:ascii="Arial" w:hAnsi="Arial"/>
        </w:rPr>
        <w:t xml:space="preserve">5.3 Implications for Climate-Vulnerability Assessment</w:t>
      </w:r>
    </w:p>
    <w:p>
      <w:pPr>
        <w:pStyle w:val="FirstParagrap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6"/>
    <w:bookmarkStart w:id="57" w:name="limitations"/>
    <w:p>
      <w:pPr>
        <w:pStyle w:val="Heading3"/>
      </w:pPr>
      <w:r>
        <w:rPr>
          <w:rFonts w:ascii="Arial" w:hAnsi="Arial"/>
        </w:rPr>
        <w:t xml:space="preserve">5.4 Limitations</w:t>
      </w:r>
    </w:p>
    <w:p>
      <w:pPr>
        <w:pStyle w:val="FirstParagrap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validation reference labels are derived from 10-m Sentinel-2 visual interpretation rather than the 3-m PlanetScope NICFI imagery originally proposed in the OSF pre-registration. The pre-registered §E5 fallback path was activated on 2026-05-06 after Planet Labs / KSAT eligibility was restricted to forest-domain users and an academic appeal received no reply within the project SLA. Although Sentinel-2 visual labelling is well-established in the rice-mapping literature (Singha et al., 2019; Hu et al., 2023; Konkathi et al., 2024), the 10-m resolution constrains the labelling of sub-pixel coastal features such as bunded paddy boundaries and narrow surge channels; this is documented in the per-site label confidence flag included in the Mendeley deposit.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[PLACEHOLDER: OA ≥ X.XX]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7"/>
    <w:bookmarkStart w:id="58" w:name="future-work"/>
    <w:p>
      <w:pPr>
        <w:pStyle w:val="Heading3"/>
      </w:pPr>
      <w:r>
        <w:rPr>
          <w:rFonts w:ascii="Arial" w:hAnsi="Arial"/>
        </w:rPr>
        <w:t xml:space="preserve">5.5 Future Work</w:t>
      </w:r>
    </w:p>
    <w:p>
      <w:pPr>
        <w:pStyle w:val="FirstParagrap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rPr>
          <w:rFonts w:ascii="Arial" w:hAnsi="Arial"/>
        </w:rPr>
        <w:pict>
          <v:rect style="width:0;height:1.5pt" o:hralign="center" o:hrstd="t" o:hr="t"/>
        </w:pict>
      </w:r>
    </w:p>
    <w:bookmarkEnd w:id="58"/>
    <w:bookmarkEnd w:id="59"/>
    <w:bookmarkStart w:id="60" w:name="conclusions"/>
    <w:p>
      <w:pPr>
        <w:pStyle w:val="Heading2"/>
      </w:pPr>
      <w:r>
        <w:rPr>
          <w:rFonts w:ascii="Arial" w:hAnsi="Arial"/>
        </w:rPr>
        <w:t xml:space="preserve">6. Conclusions</w:t>
      </w:r>
    </w:p>
    <w:p>
      <w:pPr>
        <w:pStyle w:val="FirstParagrap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rFonts w:ascii="Arial" w:hAnsi="Arial"/>
          <w:b/>
          <w:bCs/>
        </w:rPr>
        <w:t xml:space="preserve">Word count (Conclusions): 250 words</w:t>
      </w:r>
    </w:p>
    <w:p>
      <w:r>
        <w:rPr>
          <w:rFonts w:ascii="Arial" w:hAnsi="Arial"/>
        </w:rPr>
        <w:pict>
          <v:rect style="width:0;height:1.5pt" o:hralign="center" o:hrstd="t" o:hr="t"/>
        </w:pict>
      </w:r>
    </w:p>
    <w:bookmarkEnd w:id="60"/>
    <w:bookmarkStart w:id="61" w:name="credit-author-contribution-statement"/>
    <w:p>
      <w:pPr>
        <w:pStyle w:val="Heading2"/>
      </w:pPr>
      <w:r>
        <w:rPr>
          <w:rFonts w:ascii="Arial" w:hAnsi="Arial"/>
        </w:rPr>
        <w:t xml:space="preserve">CRediT Author Contribution Statement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Contribution</w:t>
            </w:r>
          </w:p>
        </w:tc>
        <w:tc>
          <w:tcPr/>
          <w:p>
            <w:pPr>
              <w:pStyle w:val="Compact"/>
              <w:jc w:val="left"/>
            </w:pPr>
            <w:r>
              <w:rPr>
                <w:rFonts w:ascii="Arial" w:hAnsi="Arial"/>
                <w:sz w:val="18"/>
              </w:rPr>
              <w:t xml:space="preserve">Supranab Panda (Lead)</w:t>
            </w:r>
          </w:p>
        </w:tc>
        <w:tc>
          <w:tcPr/>
          <w:p>
            <w:pPr>
              <w:pStyle w:val="Compact"/>
              <w:jc w:val="left"/>
            </w:pPr>
            <w:r>
              <w:rPr>
                <w:rFonts w:ascii="Arial" w:hAnsi="Arial"/>
                <w:sz w:val="18"/>
              </w:rPr>
              <w:t xml:space="preserve">Sarat Chandra Sahu</w:t>
            </w:r>
          </w:p>
        </w:tc>
        <w:tc>
          <w:tcPr/>
          <w:p>
            <w:pPr>
              <w:pStyle w:val="Compact"/>
              <w:jc w:val="left"/>
            </w:pPr>
            <w:r>
              <w:rPr>
                <w:rFonts w:ascii="Arial" w:hAnsi="Arial"/>
                <w:sz w:val="18"/>
              </w:rPr>
              <w:t xml:space="preserve">Sarat Chandra Sahu</w:t>
            </w:r>
          </w:p>
        </w:tc>
      </w:tr>
      <w:tr>
        <w:tc>
          <w:tcPr/>
          <w:p>
            <w:pPr>
              <w:pStyle w:val="Compact"/>
              <w:jc w:val="left"/>
            </w:pPr>
            <w:r>
              <w:rPr>
                <w:rFonts w:ascii="Arial" w:hAnsi="Arial"/>
                <w:sz w:val="18"/>
              </w:rPr>
              <w:t xml:space="preserve">Conceptualisation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Methodology</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Software (GEE code)</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Formal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Investigation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Resources</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Data curation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Writing – original draft</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Writing – review &amp; editing</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Visualisation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Supervision</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Project administration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Funding acquisition</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bl>
    <w:p>
      <w:r>
        <w:rPr>
          <w:rFonts w:ascii="Arial" w:hAnsi="Arial"/>
        </w:rPr>
        <w:pict>
          <v:rect style="width:0;height:1.5pt" o:hralign="center" o:hrstd="t" o:hr="t"/>
        </w:pict>
      </w:r>
    </w:p>
    <w:bookmarkEnd w:id="61"/>
    <w:bookmarkStart w:id="62" w:name="declaration-of-competing-interests"/>
    <w:p>
      <w:pPr>
        <w:pStyle w:val="Heading2"/>
      </w:pPr>
      <w:r>
        <w:rPr>
          <w:rFonts w:ascii="Arial" w:hAnsi="Arial"/>
        </w:rPr>
        <w:t xml:space="preserve">Declaration of Competing Interests</w:t>
      </w:r>
    </w:p>
    <w:p>
      <w:pPr>
        <w:pStyle w:val="FirstParagraph"/>
      </w:pPr>
      <w:r>
        <w:rPr>
          <w:rFonts w:ascii="Arial" w:hAnsi="Arial"/>
        </w:rPr>
        <w:t xml:space="preserve">The authors declare that they have no known competing financial interests or personal relationships that could have appeared to influence the work reported in this paper.</w:t>
      </w:r>
    </w:p>
    <w:p>
      <w:r>
        <w:rPr>
          <w:rFonts w:ascii="Arial" w:hAnsi="Arial"/>
        </w:rPr>
        <w:pict>
          <v:rect style="width:0;height:1.5pt" o:hralign="center" o:hrstd="t" o:hr="t"/>
        </w:pict>
      </w:r>
    </w:p>
    <w:bookmarkEnd w:id="62"/>
    <w:bookmarkStart w:id="63" w:name="X071796dd6bc546c91e96cca1cf5ff96599de61f"/>
    <w:p>
      <w:pPr>
        <w:pStyle w:val="Heading2"/>
      </w:pPr>
      <w:r>
        <w:rPr>
          <w:rFonts w:ascii="Arial" w:hAnsi="Arial"/>
        </w:rPr>
        <w:t xml:space="preserve">Declaration of Generative AI and AI-Assisted Technologies in the Writing Process</w:t>
      </w:r>
    </w:p>
    <w:p>
      <w:pPr>
        <w:pStyle w:val="FirstParagrap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rPr>
          <w:rFonts w:ascii="Arial" w:hAnsi="Arial"/>
        </w:rPr>
        <w:pict>
          <v:rect style="width:0;height:1.5pt" o:hralign="center" o:hrstd="t" o:hr="t"/>
        </w:pict>
      </w:r>
    </w:p>
    <w:bookmarkEnd w:id="63"/>
    <w:bookmarkStart w:id="64" w:name="funding"/>
    <w:p>
      <w:pPr>
        <w:pStyle w:val="Heading2"/>
      </w:pPr>
      <w:r>
        <w:rPr>
          <w:rFonts w:ascii="Arial" w:hAnsi="Arial"/>
        </w:rPr>
        <w:t xml:space="preserve">Funding</w:t>
      </w:r>
    </w:p>
    <w:p>
      <w:pPr>
        <w:pStyle w:val="FirstParagraph"/>
      </w:pPr>
      <w:r>
        <w:rPr>
          <w:rFonts w:ascii="Arial" w:hAnsi="Arial"/>
        </w:rPr>
        <w:t xml:space="preserve">This research did not receive any specific grant from funding agencies in the public, commercial, or not-for-profit sectors.</w:t>
      </w:r>
    </w:p>
    <w:p>
      <w:pPr>
        <w:pStyle w:val="BodyText"/>
      </w:pPr>
      <w:r>
        <w:rPr>
          <w:rFonts w:ascii="Arial" w:hAnsi="Arial"/>
          <w:i/>
          <w:iCs/>
        </w:rPr>
        <w:t xml:space="preserve">[Note to author: update this statement if funding is received. Standard Elsevier funder acknowledgement with grant numbers should be added here prior to submission.]</w:t>
      </w:r>
    </w:p>
    <w:p>
      <w:r>
        <w:rPr>
          <w:rFonts w:ascii="Arial" w:hAnsi="Arial"/>
        </w:rPr>
        <w:pict>
          <v:rect style="width:0;height:1.5pt" o:hralign="center" o:hrstd="t" o:hr="t"/>
        </w:pict>
      </w:r>
    </w:p>
    <w:bookmarkEnd w:id="64"/>
    <w:bookmarkStart w:id="67" w:name="data-availability-statement"/>
    <w:p>
      <w:pPr>
        <w:pStyle w:val="Heading2"/>
      </w:pPr>
      <w:r>
        <w:rPr>
          <w:rFonts w:ascii="Arial" w:hAnsi="Arial"/>
        </w:rPr>
        <w:t xml:space="preserve">Data Availability Statement</w:t>
      </w:r>
    </w:p>
    <w:p>
      <w:pPr>
        <w:pStyle w:val="FirstParagraph"/>
      </w:pPr>
      <w:r>
        <w:rPr>
          <w:rFonts w:ascii="Arial" w:hAnsi="Arial"/>
        </w:rPr>
        <w:t xml:space="preserve">The processed corrected and uncorrected Sentinel-1/2 Kharif rice phenological date rasters (SOS, POS, EOS, correction bias Δ</w:t>
      </w:r>
      <w:r>
        <w:rPr>
          <w:rFonts w:ascii="Arial" w:hAnsi="Arial"/>
          <w:i/>
          <w:iCs/>
        </w:rPr>
        <w:t xml:space="preserve">D</w:t>
      </w:r>
      <w:r>
        <w:rPr>
          <w:rFonts w:ascii="Arial" w:hAnsi="Arial"/>
        </w:rPr>
        <w:t xml:space="preserve">, bootstrap 95% confidence intervals) for all five coastal Odisha districts and eight Kharif seasons (2017–2024) are deposited at Mendeley Data [DOI: pending assignment at manuscript submission]. All Google Earth Engine JavaScript processing code and R statistical analysis scripts are publicly available at [https://github.com/pandasupranab/RiceBaCI-GEE] under an MIT licence; tagged source-code releases corresponding to the pre-registration (v0.1.0-prereg), submission (v1.0.0-submission) and acceptance (v1.0.0-final) are permanently archived on Zenodo (concept DOI:</w:t>
      </w:r>
      <w:r>
        <w:rPr>
          <w:rFonts w:ascii="Arial" w:hAnsi="Arial"/>
        </w:rPr>
        <w:t xml:space="preserve"> </w:t>
      </w:r>
      <w:hyperlink r:id="rId65">
        <w:r>
          <w:rPr>
            <w:rStyle w:val="Hyperlink"/>
          </w:rPr>
          <w:t xml:space="preserve">10.5281/zenodo.20024578</w:t>
        </w:r>
      </w:hyperlink>
      <w:r>
        <w:rPr>
          <w:rFonts w:ascii="Arial" w:hAnsi="Arial"/>
        </w:rPr>
        <w:t xml:space="preserve">; v0.1.1-prereg DOI:</w:t>
      </w:r>
      <w:r>
        <w:rPr>
          <w:rFonts w:ascii="Arial" w:hAnsi="Arial"/>
        </w:rPr>
        <w:t xml:space="preserve"> </w:t>
      </w:r>
      <w:hyperlink r:id="rId66">
        <w:r>
          <w:rPr>
            <w:rStyle w:val="Hyperlink"/>
          </w:rPr>
          <w:t xml:space="preserve">10.5281/zenodo.20024579</w:t>
        </w:r>
      </w:hyperlink>
      <w:r>
        <w:rPr>
          <w:rFonts w:ascii="Arial" w:hAnsi="Arial"/>
        </w:rPr>
        <w:t xml:space="preserve">). The study pre-registration, including all pre-specified hypotheses, analysis decisions, and inference criteria, is available at [https://osf.io/c4mp8] (DOI: 10.17605/OSF.IO/C4MP8). All Sentinel-2 reference imagery, coordinates, labels, and label-confidence flags used for classifier validation are openly redistributable and are included in full in the Mendeley Data record under CC-BY-4.0.</w:t>
      </w:r>
    </w:p>
    <w:p>
      <w:r>
        <w:rPr>
          <w:rFonts w:ascii="Arial" w:hAnsi="Arial"/>
        </w:rPr>
        <w:pict>
          <v:rect style="width:0;height:1.5pt" o:hralign="center" o:hrstd="t" o:hr="t"/>
        </w:pict>
      </w:r>
    </w:p>
    <w:bookmarkEnd w:id="67"/>
    <w:bookmarkStart w:id="69" w:name="acknowledgements"/>
    <w:p>
      <w:pPr>
        <w:pStyle w:val="Heading2"/>
      </w:pPr>
      <w:r>
        <w:rPr>
          <w:rFonts w:ascii="Arial" w:hAnsi="Arial"/>
        </w:rPr>
        <w:t xml:space="preserve">Acknowledgements</w:t>
      </w:r>
    </w:p>
    <w:p>
      <w:pPr>
        <w:pStyle w:val="FirstParagrap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68">
        <w:r>
          <w:rPr>
            <w:rStyle w:val="Hyperlink"/>
          </w:rPr>
          <w:t xml:space="preserve">data.gov.in</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r>
        <w:rPr>
          <w:rFonts w:ascii="Arial" w:hAnsi="Arial"/>
        </w:rPr>
        <w:pict>
          <v:rect style="width:0;height:1.5pt" o:hralign="center" o:hrstd="t" o:hr="t"/>
        </w:pict>
      </w:r>
    </w:p>
    <w:bookmarkEnd w:id="69"/>
    <w:bookmarkStart w:id="70" w:name="references"/>
    <w:p>
      <w:pPr>
        <w:pStyle w:val="Heading2"/>
      </w:pPr>
      <w:r>
        <w:rPr>
          <w:rFonts w:ascii="Arial" w:hAnsi="Arial"/>
        </w:rPr>
        <w:t xml:space="preserve">References</w:t>
      </w:r>
    </w:p>
    <w:p>
      <w:pPr>
        <w:pStyle w:val="FirstParagrap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pPr>
      <w:r>
        <w:rPr>
          <w:rFonts w:ascii="Arial" w:hAnsi="Arial"/>
        </w:rPr>
        <w:t xml:space="preserve">FAO, 2015. Global Administrative Unit Layers (GAUL), Level 2. Food and Agriculture Organization of the United Nations, Rome. https://data.apps.fao.org/catalog/dataset/gaul-2015</w:t>
      </w:r>
    </w:p>
    <w:p>
      <w:pPr>
        <w:pStyle w:val="BodyText"/>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pPr>
      <w:r>
        <w:rPr>
          <w:rFonts w:ascii="Arial" w:hAnsi="Arial"/>
        </w:rPr>
        <w:t xml:space="preserve">Haldar, K., Mandal, S., Bhadra, S., Pati, R., Mitra, A., Mabuchi, M., 2016. Assessment of the impact of cyclones on rice productivity using remote sensing and crop simulation model in coastal Odisha.</w:t>
      </w:r>
      <w:r>
        <w:rPr>
          <w:rFonts w:ascii="Arial" w:hAnsi="Arial"/>
        </w:rPr>
        <w:t xml:space="preserve"> </w:t>
      </w:r>
      <w:r>
        <w:rPr>
          <w:rFonts w:ascii="Arial" w:hAnsi="Arial"/>
          <w:i/>
          <w:iCs/>
        </w:rPr>
        <w:t xml:space="preserve">Plant Production Science</w:t>
      </w:r>
      <w:r>
        <w:rPr>
          <w:rFonts w:ascii="Arial" w:hAnsi="Arial"/>
        </w:rPr>
        <w:t xml:space="preserve"> </w:t>
      </w:r>
      <w:r>
        <w:rPr>
          <w:rFonts w:ascii="Arial" w:hAnsi="Arial"/>
        </w:rPr>
        <w:t xml:space="preserve">19, 320–330. https://doi.org/10.1007/s10333-015-0514-y</w:t>
      </w:r>
    </w:p>
    <w:p>
      <w:pPr>
        <w:pStyle w:val="BodyText"/>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pPr>
      <w:r>
        <w:rPr>
          <w:rFonts w:ascii="Arial" w:hAnsi="Arial"/>
        </w:rPr>
        <w:t xml:space="preserve">Li, G., Zhang, X., Dong, J., Yang, J., Liu, R., 2023. Separating rice and water hyacinth in South Asian inland waters using Sentinel-1 SAR phenological features.</w:t>
      </w:r>
      <w:r>
        <w:rPr>
          <w:rFonts w:ascii="Arial" w:hAnsi="Arial"/>
        </w:rPr>
        <w:t xml:space="preserve"> </w:t>
      </w:r>
      <w:r>
        <w:rPr>
          <w:rFonts w:ascii="Arial" w:hAnsi="Arial"/>
          <w:i/>
          <w:iCs/>
        </w:rPr>
        <w:t xml:space="preserve">Proceedings of the IGARSS 2023 IEEE International Geoscience and Remote Sensing Symposium</w:t>
      </w:r>
      <w:r>
        <w:rPr>
          <w:rFonts w:ascii="Arial" w:hAnsi="Arial"/>
        </w:rPr>
        <w:t xml:space="preserve">, 2903–2906. https://doi.org/10.1109/IGARSS52108.2023.10282909</w:t>
      </w:r>
    </w:p>
    <w:p>
      <w:pPr>
        <w:pStyle w:val="BodyText"/>
      </w:pPr>
      <w:r>
        <w:rPr>
          <w:rFonts w:ascii="Arial" w:hAnsi="Arial"/>
        </w:rPr>
        <w:t xml:space="preserve">Li, X., et al., 2026. Automated rice mapping under diverse cropping patterns and establishment methods by integrating phenological knowledge and synergy of optical and SAR imagery.</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335, 115255. https://doi.org/10.1016/j.rse.2026.115255</w:t>
      </w:r>
    </w:p>
    <w:p>
      <w:pPr>
        <w:pStyle w:val="BodyText"/>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pPr>
      <w:r>
        <w:rPr>
          <w:rFonts w:ascii="Arial" w:hAnsi="Arial"/>
        </w:rPr>
        <w:t xml:space="preserve">Ramadhani, F., Pullanagari, R., Kereszturi, G., Procter, J., 2020. Automatic mapping of rice growth stages using the integration of SENTINEL-2, MOD13Q1, and SENTINEL-1.</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3613. https://doi.org/10.3390/rs12213613</w:t>
      </w:r>
    </w:p>
    <w:p>
      <w:pPr>
        <w:pStyle w:val="BodyText"/>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pPr>
      <w:r>
        <w:rPr>
          <w:rFonts w:ascii="Arial" w:hAnsi="Arial"/>
        </w:rPr>
        <w:t xml:space="preserve">Wickham, H., 2016.</w:t>
      </w:r>
      <w:r>
        <w:rPr>
          <w:rFonts w:ascii="Arial" w:hAnsi="Arial"/>
        </w:rPr>
        <w:t xml:space="preserve"> </w:t>
      </w:r>
      <w:r>
        <w:rPr>
          <w:rFonts w:ascii="Arial" w:hAnsi="Arial"/>
          <w:i/>
          <w:iCs/>
        </w:rPr>
        <w:t xml:space="preserve">ggplot2: Elegant Graphics for Data Analysis</w:t>
      </w:r>
      <w:r>
        <w:rPr>
          <w:rFonts w:ascii="Arial" w:hAnsi="Arial"/>
        </w:rPr>
        <w:t xml:space="preserve">, 2nd edn. Springer, New York. https://doi.org/10.1007/978-3-319-24277-4</w:t>
      </w:r>
    </w:p>
    <w:p>
      <w:pPr>
        <w:pStyle w:val="BodyText"/>
      </w:pPr>
      <w:r>
        <w:rPr>
          <w:rFonts w:ascii="Arial" w:hAnsi="Arial"/>
        </w:rPr>
        <w:t xml:space="preserve">Wu, Q., 2020. geemap: A Python package for interactive mapping with Google Earth Engine.</w:t>
      </w:r>
      <w:r>
        <w:rPr>
          <w:rFonts w:ascii="Arial" w:hAnsi="Arial"/>
        </w:rPr>
        <w:t xml:space="preserve"> </w:t>
      </w:r>
      <w:r>
        <w:rPr>
          <w:rFonts w:ascii="Arial" w:hAnsi="Arial"/>
          <w:i/>
          <w:iCs/>
        </w:rPr>
        <w:t xml:space="preserve">Journal of Open Source Software</w:t>
      </w:r>
      <w:r>
        <w:rPr>
          <w:rFonts w:ascii="Arial" w:hAnsi="Arial"/>
        </w:rPr>
        <w:t xml:space="preserve"> </w:t>
      </w:r>
      <w:r>
        <w:rPr>
          <w:rFonts w:ascii="Arial" w:hAnsi="Arial"/>
        </w:rPr>
        <w:t xml:space="preserve">5, 2272. https://doi.org/10.21105/joss.02272</w:t>
      </w:r>
    </w:p>
    <w:p>
      <w:pPr>
        <w:pStyle w:val="BodyText"/>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pPr>
      <w:r>
        <w:rPr>
          <w:rFonts w:ascii="Arial" w:hAnsi="Arial"/>
        </w:rPr>
        <w:t xml:space="preserve">Yang, J., Hu, Q., Li, W., Song, Q., Cai, Z., Zhang, X., Wei, H., Wu, W., 2024. An automated sample generation method by integrating phenology domain optical-SAR features in rice cropping pattern mapping.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314, 114387. https://doi.org/10.1016/j.rse.2024.114387</w:t>
      </w:r>
    </w:p>
    <w:p>
      <w:pPr>
        <w:pStyle w:val="BodyText"/>
      </w:pPr>
      <w:r>
        <w:rPr>
          <w:rFonts w:ascii="Arial" w:hAnsi="Arial"/>
        </w:rPr>
        <w:t xml:space="preserve">Yang, S., 2025. Rice-SamPheno: semantic-aware multi-phase phenology recognition from Sentinel-1/2 time series.</w:t>
      </w:r>
      <w:r>
        <w:rPr>
          <w:rFonts w:ascii="Arial" w:hAnsi="Arial"/>
        </w:rPr>
        <w:t xml:space="preserve"> </w:t>
      </w:r>
      <w:r>
        <w:rPr>
          <w:rFonts w:ascii="Arial" w:hAnsi="Arial"/>
          <w:i/>
          <w:iCs/>
        </w:rPr>
        <w:t xml:space="preserve">IEEE Journal of Selected Topics in Applied Earth Observations and Remote Sensing</w:t>
      </w:r>
      <w:r>
        <w:rPr>
          <w:rFonts w:ascii="Arial" w:hAnsi="Arial"/>
        </w:rPr>
        <w:t xml:space="preserve"> </w:t>
      </w:r>
      <w:r>
        <w:rPr>
          <w:rFonts w:ascii="Arial" w:hAnsi="Arial"/>
        </w:rPr>
        <w:t xml:space="preserve">[early access]. https://doi.org/10.1109/JSTARS.2025.3599728</w:t>
      </w:r>
    </w:p>
    <w:p>
      <w:pPr>
        <w:pStyle w:val="BodyText"/>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pPr>
        <w:pStyle w:val="BodyText"/>
      </w:pPr>
      <w:r>
        <w:rPr>
          <w:rFonts w:ascii="Arial" w:hAnsi="Arial"/>
        </w:rPr>
        <w:t xml:space="preserve">Zhao, W., Qu, Y., Zhang, L., Li, K., 2022. Spatial-aware SAR-optical time-series deep integration for crop phenology tracking.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276, 113046. https://doi.org/10.1016/j.rse.2022.113046</w:t>
      </w:r>
    </w:p>
    <w:p>
      <w:pPr>
        <w:pStyle w:val="BodyText"/>
      </w:pPr>
      <w:r>
        <w:rPr>
          <w:rFonts w:ascii="Arial" w:hAnsi="Arial"/>
        </w:rPr>
        <w:t xml:space="preserve">Zhao, Z., Dong, J., Zhang, G., Yang, J., Liu, R., Wu, B., Xiao, X., 2024. Improved phenology-based rice mapping algorithm by integrating optical and radar data.</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315, 114460. https://doi.org/10.1016/j.rse.2024.114460</w:t>
      </w:r>
    </w:p>
    <w:p>
      <w:r>
        <w:rPr>
          <w:rFonts w:ascii="Arial" w:hAnsi="Arial"/>
        </w:rPr>
        <w:pict>
          <v:rect style="width:0;height:1.5pt" o:hralign="center" o:hrstd="t" o:hr="t"/>
        </w:pict>
      </w:r>
    </w:p>
    <w:p>
      <w:pPr>
        <w:pStyle w:val="FirstParagraph"/>
      </w:pPr>
      <w:r>
        <w:rPr>
          <w:rFonts w:ascii="Arial" w:hAnsi="Arial"/>
          <w:i/>
          <w:iCs/>
        </w:rPr>
        <w:t xml:space="preserve">End of manuscript draft. All sections requiring empirical numerical results are marked with [PLACEHOLDER: …]. Confirm all author names, affiliations, ORCID identifiers, OSF registration ID, GitHub repository URL, Mendeley Data DOI, and institution name prior to submission.</w:t>
      </w:r>
    </w:p>
    <w:bookmarkEnd w:id="70"/>
    <w:bookmarkEnd w:id="71"/>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68" Type="http://schemas.openxmlformats.org/officeDocument/2006/relationships/hyperlink" Target="https://data.gov.in" TargetMode="External"/><Relationship Id="rId65" Type="http://schemas.openxmlformats.org/officeDocument/2006/relationships/hyperlink" Target="https://doi.org/10.5281/zenodo.20024578" TargetMode="External"/><Relationship Id="rId66" Type="http://schemas.openxmlformats.org/officeDocument/2006/relationships/hyperlink" Target="https://doi.org/10.5281/zenodo.20024579" TargetMode="External"/></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68" Type="http://schemas.openxmlformats.org/officeDocument/2006/relationships/hyperlink" Target="https://data.gov.in" TargetMode="External"/><Relationship Id="rId65" Type="http://schemas.openxmlformats.org/officeDocument/2006/relationships/hyperlink" Target="https://doi.org/10.5281/zenodo.20024578" TargetMode="External"/><Relationship Id="rId66" Type="http://schemas.openxmlformats.org/officeDocument/2006/relationships/hyperlink" Target="https://doi.org/10.5281/zenodo.200245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2026-05-06T05:50:35Z</dcterms:created>
  <dcterms:modified xsi:type="dcterms:W3CDTF">2026-05-06T05:50:35Z</dcterms:modified>
</cp:coreProperties>
</file>

<file path=docProps/custom.xml><?xml version="1.0" encoding="utf-8"?>
<Properties xmlns="http://schemas.openxmlformats.org/officeDocument/2006/custom-properties" xmlns:vt="http://schemas.openxmlformats.org/officeDocument/2006/docPropsVTypes"/>
</file>