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Figures Bundle</w:t>
      </w:r>
    </w:p>
    <w:p>
      <w:pPr>
        <w:jc w:val="center"/>
      </w:pPr>
      <w:r>
        <w:rPr>
          <w:i/>
        </w:rPr>
        <w:t>Decoupling Cyclone-Induced Saline Inundation from Agronomic Flooding in Sentinel-1/2 Rice Phenology Retrieval: A Multi-Year Bay-of-Bengal Coastal Framework (2017-2024)</w:t>
      </w:r>
    </w:p>
    <w:p>
      <w:pPr>
        <w:jc w:val="center"/>
      </w:pPr>
      <w:r>
        <w:rPr>
          <w:b/>
        </w:rPr>
        <w:t>Supranab Panda, Sarat Chandra Sahu</w:t>
      </w:r>
    </w:p>
    <w:p>
      <w:pPr>
        <w:jc w:val="center"/>
      </w:pPr>
      <w:r>
        <w:t>All figures are embedded at publication size (6.0-inch column width) from PNGs in figures/ regenerated from analysis/results/real_v21/. Each figure carries a short caption immediately below the image.</w:t>
      </w:r>
    </w:p>
    <w:p>
      <w:r>
        <w:br w:type="page"/>
      </w:r>
    </w:p>
    <w:p>
      <w:pPr>
        <w:pStyle w:val="Heading2"/>
      </w:pPr>
      <w:r>
        <w:t>Figure 1</w:t>
      </w:r>
    </w:p>
    <w:p>
      <w:pPr>
        <w:jc w:val="center"/>
      </w:pPr>
      <w:r>
        <w:drawing>
          <wp:inline xmlns:a="http://schemas.openxmlformats.org/drawingml/2006/main" xmlns:pic="http://schemas.openxmlformats.org/drawingml/2006/pictur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r>
        <w:rPr>
          <w:b/>
        </w:rPr>
        <w:t xml:space="preserve">Figure 1. </w:t>
      </w:r>
      <w: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r>
        <w:br w:type="page"/>
      </w:r>
    </w:p>
    <w:p>
      <w:pPr>
        <w:pStyle w:val="Heading2"/>
      </w:pPr>
      <w:r>
        <w:t>Figure 1B</w:t>
      </w:r>
    </w:p>
    <w:p>
      <w:pPr>
        <w:jc w:val="center"/>
      </w:pPr>
      <w:r>
        <w:drawing>
          <wp:inline xmlns:a="http://schemas.openxmlformats.org/drawingml/2006/main" xmlns:pic="http://schemas.openxmlformats.org/drawingml/2006/pictur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p>
      <w:r>
        <w:rPr>
          <w:b/>
        </w:rPr>
        <w:t xml:space="preserve">Figure 1B. </w:t>
      </w:r>
      <w: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p>
      <w:r>
        <w:br w:type="page"/>
      </w:r>
    </w:p>
    <w:p>
      <w:pPr>
        <w:pStyle w:val="Heading2"/>
      </w:pPr>
      <w:r>
        <w:t>Figure 2</w:t>
      </w:r>
    </w:p>
    <w:p>
      <w:pPr>
        <w:jc w:val="center"/>
      </w:pPr>
      <w:r>
        <w:drawing>
          <wp:inline xmlns:a="http://schemas.openxmlformats.org/drawingml/2006/main" xmlns:pic="http://schemas.openxmlformats.org/drawingml/2006/pictur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r>
        <w:rPr>
          <w:b/>
        </w:rPr>
        <w:t xml:space="preserve">Figure 2. </w:t>
      </w:r>
      <w:r>
        <w:t>TWFE-DiD coefficients (raw vs. classifier-corrected panel). Point estimates with district-clustered (CR1) standard-error bars and 95% wild-cluster restricted bootstrap intervals for SOS, POS, and EOS, raw and corrected pipelines on the real v2.1 panel.</w:t>
      </w:r>
    </w:p>
    <w:p>
      <w:r>
        <w:br w:type="page"/>
      </w:r>
    </w:p>
    <w:p>
      <w:pPr>
        <w:pStyle w:val="Heading2"/>
      </w:pPr>
      <w:r>
        <w:t>Figure 3</w:t>
      </w:r>
    </w:p>
    <w:p>
      <w:pPr>
        <w:jc w:val="center"/>
      </w:pPr>
      <w:r>
        <w:drawing>
          <wp:inline xmlns:a="http://schemas.openxmlformats.org/drawingml/2006/main" xmlns:pic="http://schemas.openxmlformats.org/drawingml/2006/pictur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r>
        <w:rPr>
          <w:b/>
        </w:rPr>
        <w:t xml:space="preserve">Figure 3. </w:t>
      </w:r>
      <w: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r>
        <w:br w:type="page"/>
      </w:r>
    </w:p>
    <w:p>
      <w:pPr>
        <w:pStyle w:val="Heading2"/>
      </w:pPr>
      <w:r>
        <w:t>Figure 4</w:t>
      </w:r>
    </w:p>
    <w:p>
      <w:pPr>
        <w:jc w:val="center"/>
      </w:pPr>
      <w:r>
        <w:drawing>
          <wp:inline xmlns:a="http://schemas.openxmlformats.org/drawingml/2006/main" xmlns:pic="http://schemas.openxmlformats.org/drawingml/2006/pictur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r>
        <w:rPr>
          <w:b/>
        </w:rPr>
        <w:t xml:space="preserve">Figure 4. </w:t>
      </w:r>
      <w: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r>
        <w:br w:type="page"/>
      </w:r>
    </w:p>
    <w:p>
      <w:pPr>
        <w:pStyle w:val="Heading2"/>
      </w:pPr>
      <w:r>
        <w:t>Figure 5</w:t>
      </w:r>
    </w:p>
    <w:p>
      <w:pPr>
        <w:jc w:val="center"/>
      </w:pPr>
      <w:r>
        <w:drawing>
          <wp:inline xmlns:a="http://schemas.openxmlformats.org/drawingml/2006/main" xmlns:pic="http://schemas.openxmlformats.org/drawingml/2006/pictur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p>
      <w:r>
        <w:rPr>
          <w:b/>
        </w:rPr>
        <w:t xml:space="preserve">Figure 5. </w:t>
      </w:r>
      <w: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r>
        <w:br w:type="page"/>
      </w:r>
    </w:p>
    <w:p>
      <w:pPr>
        <w:pStyle w:val="Heading2"/>
      </w:pPr>
      <w:r>
        <w:t>Figure 6</w:t>
      </w:r>
    </w:p>
    <w:p>
      <w:pPr>
        <w:jc w:val="center"/>
      </w:pPr>
      <w:r>
        <w:drawing>
          <wp:inline xmlns:a="http://schemas.openxmlformats.org/drawingml/2006/main" xmlns:pic="http://schemas.openxmlformats.org/drawingml/2006/pictur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r>
        <w:rPr>
          <w:b/>
        </w:rPr>
        <w:t xml:space="preserve">Figure 6. </w:t>
      </w:r>
      <w: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r>
        <w:br w:type="page"/>
      </w:r>
    </w:p>
    <w:p>
      <w:pPr>
        <w:pStyle w:val="Heading2"/>
      </w:pPr>
      <w:r>
        <w:t>Figure S1</w:t>
      </w:r>
    </w:p>
    <w:p>
      <w:pPr>
        <w:jc w:val="center"/>
      </w:pPr>
      <w:r>
        <w:drawing>
          <wp:inline xmlns:a="http://schemas.openxmlformats.org/drawingml/2006/main" xmlns:pic="http://schemas.openxmlformats.org/drawingml/2006/picture">
            <wp:extent cx="5486400" cy="2191435"/>
            <wp:docPr id="8" name="Picture 8"/>
            <wp:cNvGraphicFramePr>
              <a:graphicFrameLocks noChangeAspect="1"/>
            </wp:cNvGraphicFramePr>
            <a:graphic>
              <a:graphicData uri="http://schemas.openxmlformats.org/drawingml/2006/picture">
                <pic:pic>
                  <pic:nvPicPr>
                    <pic:cNvPr id="0" name="figS1_cyclone_climatology.png"/>
                    <pic:cNvPicPr/>
                  </pic:nvPicPr>
                  <pic:blipFill>
                    <a:blip r:embed="rId16"/>
                    <a:stretch>
                      <a:fillRect/>
                    </a:stretch>
                  </pic:blipFill>
                  <pic:spPr>
                    <a:xfrm>
                      <a:off x="0" y="0"/>
                      <a:ext cx="5486400" cy="2191435"/>
                    </a:xfrm>
                    <a:prstGeom prst="rect"/>
                  </pic:spPr>
                </pic:pic>
              </a:graphicData>
            </a:graphic>
          </wp:inline>
        </w:drawing>
      </w:r>
    </w:p>
    <w:p>
      <w:r>
        <w:rPr>
          <w:b/>
        </w:rPr>
        <w:t xml:space="preserve">Figure S1. </w:t>
      </w:r>
      <w:r>
        <w:t>Cyclone climatology for the Bay of Bengal, 1980-2024. Annual landfall counts in the 50-km IBTrACS buffer around the coastal Odisha districts, stratified by Saffir-Simpson category and pre-monsoon vs. post-monsoon timing.</w:t>
      </w:r>
    </w:p>
    <w:p>
      <w:r>
        <w:br w:type="page"/>
      </w:r>
    </w:p>
    <w:p>
      <w:pPr>
        <w:pStyle w:val="Heading2"/>
      </w:pPr>
      <w:r>
        <w:t>Figure S2</w:t>
      </w:r>
    </w:p>
    <w:p>
      <w:pPr>
        <w:jc w:val="center"/>
      </w:pPr>
      <w:r>
        <w:drawing>
          <wp:inline xmlns:a="http://schemas.openxmlformats.org/drawingml/2006/main" xmlns:pic="http://schemas.openxmlformats.org/drawingml/2006/picture">
            <wp:extent cx="5486400" cy="5776055"/>
            <wp:docPr id="9" name="Picture 9"/>
            <wp:cNvGraphicFramePr>
              <a:graphicFrameLocks noChangeAspect="1"/>
            </wp:cNvGraphicFramePr>
            <a:graphic>
              <a:graphicData uri="http://schemas.openxmlformats.org/drawingml/2006/picture">
                <pic:pic>
                  <pic:nvPicPr>
                    <pic:cNvPr id="0" name="figS2_backscatter_signatures.png"/>
                    <pic:cNvPicPr/>
                  </pic:nvPicPr>
                  <pic:blipFill>
                    <a:blip r:embed="rId17"/>
                    <a:stretch>
                      <a:fillRect/>
                    </a:stretch>
                  </pic:blipFill>
                  <pic:spPr>
                    <a:xfrm>
                      <a:off x="0" y="0"/>
                      <a:ext cx="5486400" cy="5776055"/>
                    </a:xfrm>
                    <a:prstGeom prst="rect"/>
                  </pic:spPr>
                </pic:pic>
              </a:graphicData>
            </a:graphic>
          </wp:inline>
        </w:drawing>
      </w:r>
    </w:p>
    <w:p>
      <w:r>
        <w:rPr>
          <w:b/>
        </w:rPr>
        <w:t xml:space="preserve">Figure S2. </w:t>
      </w:r>
      <w:r>
        <w:t>Sentinel-1 RTC dual-polarisation VH/VV/CR backscatter signatures across four phenological phases (pre-canopy, early canopy, peak canopy, event window) for the four Bulbul out-of-sample probe districts (Boudh, Ganjam, Khordha, Nayagarh), retrieved from Microsoft Planetary Computer.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