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20"/>
        </w:rPr>
        <w:t>Table S1.  Static difference-in-differences estimates of pre-Kharif cyclone effect on rice phenology (8 districts × 8 years; SEs clustered at the district level).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rFonts w:ascii="Arial" w:hAnsi="Arial"/>
                <w:b/>
                <w:sz w:val="20"/>
              </w:rPr>
              <w:t>Pipeline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b/>
                <w:sz w:val="20"/>
              </w:rPr>
              <w:t>Metric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b/>
                <w:sz w:val="20"/>
              </w:rPr>
              <w:t>N obs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b/>
                <w:sz w:val="20"/>
              </w:rPr>
              <w:t>N dist.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b/>
                <w:sz w:val="20"/>
              </w:rPr>
              <w:t>τ (d)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b/>
                <w:sz w:val="20"/>
              </w:rPr>
              <w:t>SE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b/>
                <w:sz w:val="20"/>
              </w:rPr>
              <w:t>t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b/>
                <w:sz w:val="20"/>
              </w:rPr>
              <w:t>p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b/>
                <w:sz w:val="20"/>
              </w:rPr>
              <w:t>CI₂.₅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b/>
                <w:sz w:val="20"/>
              </w:rPr>
              <w:t>CI₉₇.₅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b/>
                <w:sz w:val="20"/>
              </w:rPr>
              <w:t>R²ᵥᵥ</w:t>
            </w:r>
          </w:p>
        </w:tc>
      </w:tr>
      <w:tr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raw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SOS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64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+15.289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17.328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0.882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0.378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-18.673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49.250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0.013</w:t>
            </w:r>
          </w:p>
        </w:tc>
      </w:tr>
      <w:tr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raw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POS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64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-3.587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2.882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-1.245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0.213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-9.235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2.062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0.011</w:t>
            </w:r>
          </w:p>
        </w:tc>
      </w:tr>
      <w:tr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raw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EOS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-0.000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0.000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-2.038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0.042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-0.000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-0.000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0.000</w:t>
            </w:r>
          </w:p>
        </w:tc>
      </w:tr>
      <w:tr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corrected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SOS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64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+15.108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17.312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0.873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0.383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-18.822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49.039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0.013</w:t>
            </w:r>
          </w:p>
        </w:tc>
      </w:tr>
      <w:tr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corrected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POS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64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-3.677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2.897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-1.269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0.204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-9.356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2.002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0.011</w:t>
            </w:r>
          </w:p>
        </w:tc>
      </w:tr>
      <w:tr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corrected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EOS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-0.239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0.169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-1.411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0.158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-0.570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0.093</w:t>
            </w:r>
          </w:p>
        </w:tc>
        <w:tc>
          <w:tcPr>
            <w:tcW w:type="dxa" w:w="785"/>
          </w:tcPr>
          <w:p>
            <w:r>
              <w:rPr>
                <w:rFonts w:ascii="Arial" w:hAnsi="Arial"/>
                <w:sz w:val="20"/>
              </w:rPr>
              <w:t>0.074</w:t>
            </w:r>
          </w:p>
        </w:tc>
      </w:tr>
    </w:tbl>
    <w:p/>
    <w:p>
      <w:r>
        <w:rPr>
          <w:sz w:val="18"/>
        </w:rPr>
        <w:t>Notes. τ is the average treatment effect on the treated, in days of phenology shift. *** p&lt;0.001; ** p&lt;0.01; * p&lt;0.05. R²ᵥᵥ is the partial within-R² of the DiD term after absorbing district and year fixed effects. Treatment cohort: coastal-treatment districts (Baleshwar, Bhadrak, Kendrapara, Jagatsinghpur, Puri) × cyclone years 2019, 2020, 2021. Bulbul (2019, post-monsoon, outside the study area) and Hudhud (2014) are excluded as transferability hold-outs.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