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ighlights"/>
    <w:p>
      <w:pPr>
        <w:pStyle w:val="Heading1"/>
      </w:pPr>
      <w:r>
        <w:t xml:space="preserve">Highlights</w:t>
      </w:r>
    </w:p>
    <w:p>
      <w:pPr>
        <w:pStyle w:val="BlockText"/>
      </w:pPr>
      <w:r>
        <w:t xml:space="preserve">RSE requirement: 3–5 bullets, each ≤ 85 characters including spaces.</w:t>
      </w:r>
      <w:r>
        <w:t xml:space="preserve"> </w:t>
      </w:r>
      <w:r>
        <w:t xml:space="preserve">Submit as a separate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with</w:t>
      </w:r>
      <w:r>
        <w:t xml:space="preserve"> </w:t>
      </w:r>
      <w:r>
        <w:t xml:space="preserve">“</w:t>
      </w:r>
      <w:r>
        <w:t xml:space="preserve">highlights</w:t>
      </w:r>
      <w:r>
        <w:t xml:space="preserve">”</w:t>
      </w:r>
      <w:r>
        <w:t xml:space="preserve"> </w:t>
      </w:r>
      <w:r>
        <w:t xml:space="preserve">in the filename.</w:t>
      </w:r>
    </w:p>
    <w:p>
      <w:pPr>
        <w:pStyle w:val="Compact"/>
        <w:numPr>
          <w:ilvl w:val="0"/>
          <w:numId w:val="1001"/>
        </w:numPr>
      </w:pPr>
      <w:r>
        <w:t xml:space="preserve">First framework to separate cyclone storm-surge from agronomic rice flooding in SAR</w:t>
      </w:r>
    </w:p>
    <w:p>
      <w:pPr>
        <w:pStyle w:val="Compact"/>
        <w:numPr>
          <w:ilvl w:val="0"/>
          <w:numId w:val="1001"/>
        </w:numPr>
      </w:pPr>
      <w:r>
        <w:t xml:space="preserve">Sentinel-1/2 fusion with random forest classifies saline inundation at 10-m scale</w:t>
      </w:r>
    </w:p>
    <w:p>
      <w:pPr>
        <w:pStyle w:val="Compact"/>
        <w:numPr>
          <w:ilvl w:val="0"/>
          <w:numId w:val="1001"/>
        </w:numPr>
      </w:pPr>
      <w:r>
        <w:t xml:space="preserve">BACI design across Cyclones Fani, Amphan, Yaas reveals systematic phenology bias</w:t>
      </w:r>
    </w:p>
    <w:p>
      <w:pPr>
        <w:pStyle w:val="Compact"/>
        <w:numPr>
          <w:ilvl w:val="0"/>
          <w:numId w:val="1001"/>
        </w:numPr>
      </w:pPr>
      <w:r>
        <w:t>Bounded τ̂_SOS attenuation +15.29→+15.11 d; CI brackets zero, full disclosure</w:t>
      </w:r>
    </w:p>
    <w:p>
      <w:pPr>
        <w:pStyle w:val="Compact"/>
        <w:numPr>
          <w:ilvl w:val="0"/>
          <w:numId w:val="1001"/>
        </w:numPr>
      </w:pPr>
      <w:r>
        <w:t xml:space="preserve">Open-source RiceBaCI-GEE toolkit released for transfer to other Asian deltas</w:t>
      </w:r>
    </w:p>
    <w:p>
      <w:r>
        <w:pict>
          <v:rect style="width:0;height:1.5pt" o:hralign="center" o:hrstd="t" o:hr="t"/>
        </w:pict>
      </w:r>
    </w:p>
    <w:bookmarkStart w:id="20" w:name="character-count-check"/>
    <w:p>
      <w:pPr>
        <w:pStyle w:val="Heading2"/>
      </w:pPr>
      <w:r>
        <w:t xml:space="preserve">Character count check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framework to separate cyclone storm-surge from agronomic rice flooding in 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Sentinel-1/2 fusion with random forest classifies saline inundation at 10-m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BACI design across Cyclones Fani, Amphan, Yaas reveals systematic phenology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>Bounded τ̂_SOS attenuation +15.29→+15.11 d; CI brackets zero, full disclosure</w:t>
            </w:r>
          </w:p>
        </w:tc>
        <w:tc>
          <w:tcPr/>
          <w:p>
            <w:pPr>
              <w:pStyle w:val="Compact"/>
              <w:jc w:val="left"/>
            </w:pPr>
            <w:r>
              <w:t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Open-source RiceBaCI-GEE toolkit released for transfer to other Asian deltas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</w:tbl>
    <w:p>
      <w:pPr>
        <w:pStyle w:val="BlockText"/>
      </w:pPr>
      <w:r>
        <w:t xml:space="preserve">All five are within the 85-character limit.</w:t>
      </w:r>
    </w:p>
    <w:bookmarkEnd w:id="20"/>
    <w:bookmarkEnd w:id="21"/>
    <w:sectPr>
      <w:pgSz w:w="11906" w:h="16838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2026-06-09T02:59:30Z</dcterms:created>
  <dcterms:modified xsi:type="dcterms:W3CDTF">2026-06-09T02:59:30Z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