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v1.0.1-submission)</w:t>
        <w:br/>
      </w:r>
      <w:r>
        <w:rPr>
          <w:rFonts w:ascii="Arial" w:hAnsi="Arial"/>
          <w:color w:val="404040"/>
          <w:sz w:val="20"/>
        </w:rPr>
        <w:t>Concept DOI: 10.5281/zenodo.20024578 · This-version DOI: 10.5281/zenodo.20587316</w:t>
        <w:br/>
      </w:r>
      <w:r>
        <w:rPr>
          <w:rFonts w:ascii="Arial" w:hAnsi="Arial"/>
          <w:color w:val="404040"/>
          <w:sz w:val="20"/>
        </w:rPr>
        <w:t>Mendeley Data: 10.17632/z3zxk4xy3c.1</w:t>
        <w:br/>
      </w:r>
      <w:r>
        <w:rPr>
          <w:rFonts w:ascii="Arial" w:hAnsi="Arial"/>
          <w:color w:val="404040"/>
          <w:sz w:val="20"/>
        </w:rPr>
        <w:t>Compiled: 2026-06-09 (v2.1 real-data build)</w:t>
        <w:br/>
      </w:r>
    </w:p>
    <w:p>
      <w:r>
        <w:rPr>
          <w:rFonts w:ascii="Arial" w:hAnsi="Arial"/>
          <w:sz w:val="20"/>
        </w:rPr>
        <w:br w:type="page"/>
      </w:r>
    </w:p>
    <w:p>
      <w:pPr>
        <w:keepNext/>
        <w:spacing w:before="240" w:after="120"/>
      </w:pPr>
      <w:bookmarkStart w:id="54477" w:name="provenance"/>
      <w:r>
        <w:rPr>
          <w:rFonts w:ascii="Arial" w:hAnsi="Arial"/>
          <w:b/>
          <w:color w:val="A12C7B"/>
          <w:sz w:val="32"/>
        </w:rPr>
        <w:t>Data provenance declaration</w:t>
      </w:r>
      <w:bookmarkEnd w:id="54477"/>
    </w:p>
    <w:p>
      <w:r>
        <w:rPr>
          <w:rFonts w:ascii="Arial" w:hAnsi="Arial"/>
          <w:sz w:val="20"/>
        </w:rPr>
        <w:t>This supplement reports the v2.1 real-data build of the RiceBaCI-GEE analysis (release v1.0.1-submission). All numerical results in Tables S1–S9 and Figures S1–S2 are produced from observational data sources; no synthetic or placeholder values remain. Inputs are:</w:t>
      </w:r>
    </w:p>
    <w:p>
      <w:pPr>
        <w:pStyle w:val="ListBullet"/>
      </w:pPr>
      <w:r>
        <w:rPr>
          <w:rFonts w:ascii="Arial" w:hAnsi="Arial"/>
          <w:sz w:val="20"/>
        </w:rPr>
        <w:t>Sentinel-2 L2A phenology panel — SOS / POS / EOS retrieved from district-mean monthly NDVI (double-logistic fit with 30% amplitude threshold fallback) via the Microsoft Planetary Computer STAC API. Drives Tables S1, S2, S4, S5, S6, S7 and Modules 05 / 05a / 05d / 05e / 06 / 07 / 09. v2.1 corrected-SOS τ̂ = +15.108 d (SE 17.312 d).</w:t>
      </w:r>
    </w:p>
    <w:p>
      <w:pPr>
        <w:pStyle w:val="ListBullet"/>
      </w:pPr>
      <w:r>
        <w:rPr>
          <w:rFonts w:ascii="Arial" w:hAnsi="Arial"/>
          <w:sz w:val="20"/>
        </w:rPr>
        <w:t>Cyclone landfall climatology — IBTrACS NI v04r01 pre-Kharif Bay-of-Bengal landfalls 1981–2018 (n = 26, lifetime V_max). Fani 2019, Amphan 2020, Yaas 2021, Bulbul 2019 parameters from IMD best-track. Table S8 / Figure S1 use real points on a Natural Earth coastline.</w:t>
      </w:r>
    </w:p>
    <w:p>
      <w:pPr>
        <w:pStyle w:val="ListBullet"/>
      </w:pPr>
      <w:r>
        <w:rPr>
          <w:rFonts w:ascii="Arial" w:hAnsi="Arial"/>
          <w:sz w:val="20"/>
        </w:rPr>
        <w:t>Bulbul (2019) transferability probe (Note S1 / Table S3) — real Sentinel-2 SOS retrieval for six probe districts (Boudh, Ganjam, Khordha, Nayagarh paddy-dominant; Mayurbhanj, Kandhamal forest-dominated AOIs flagged on April-baseline NDVI &gt; 0.40). 4 / 4 paddy probes inside the v2.1 95% prediction interval [−36.57, +66.78] d.</w:t>
      </w:r>
    </w:p>
    <w:p>
      <w:pPr>
        <w:pStyle w:val="ListBullet"/>
      </w:pPr>
      <w:r>
        <w:rPr>
          <w:rFonts w:ascii="Arial" w:hAnsi="Arial"/>
          <w:sz w:val="20"/>
        </w:rPr>
        <w:t>Sentinel-1 dual-polarisation backscatter signatures (Module 12) — district-level ΔVH / ΔVV / ΔCR profiles from IW GRD time-series over the four 2019 Bulbul probe districts, anchored to Hoshikawa 2023, Wali 2020, Filipponi 2019, Konkathi 2024, Lee &amp; Pottier 2009. Table S9 / Figure S2.</w:t>
      </w:r>
    </w:p>
    <w:p>
      <w:pPr>
        <w:pStyle w:val="ListBullet"/>
      </w:pPr>
      <w:r>
        <w:rPr>
          <w:rFonts w:ascii="Arial" w:hAnsi="Arial"/>
          <w:sz w:val="20"/>
        </w:rPr>
        <w:t>Module 02 saline-flood random-forest baseline — retrained on Sentinel-1 labelled pixels collected via the Module 05/07/09 active-learning loop; model card RF_Model_Card_v0.3.0.json.</w:t>
      </w:r>
    </w:p>
    <w:p>
      <w:r>
        <w:rPr>
          <w:rFonts w:ascii="Arial" w:hAnsi="Arial"/>
          <w:i/>
          <w:sz w:val="20"/>
        </w:rPr>
        <w:t>All structural claims (study design, identification strategy, falsifiability conditions, mechanism physics, climatological framing, code organisation) were specified in the OSF pre-registration prior to observing the v2.1 estimates. No modelling decision in this document is post-hoc to the data.</w:t>
      </w:r>
    </w:p>
    <w:p>
      <w:r>
        <w:rPr>
          <w:rFonts w:ascii="Arial" w:hAnsi="Arial"/>
          <w:sz w:val="20"/>
        </w:rPr>
        <w:br w:type="page"/>
      </w:r>
    </w:p>
    <w:p>
      <w:pPr>
        <w:keepNext/>
        <w:spacing w:before="240" w:after="120"/>
      </w:pPr>
      <w:bookmarkStart w:id="46170" w:name="toc"/>
      <w:r>
        <w:rPr>
          <w:rFonts w:ascii="Arial" w:hAnsi="Arial"/>
          <w:b/>
          <w:color w:val="141414"/>
          <w:sz w:val="32"/>
        </w:rPr>
        <w:t>Contents</w:t>
      </w:r>
      <w:bookmarkEnd w:id="46170"/>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Note S4</w:t>
      </w:r>
      <w:r>
        <w:rPr>
          <w:rFonts w:ascii="Arial" w:hAnsi="Arial"/>
          <w:sz w:val="20"/>
        </w:rPr>
        <w:tab/>
        <w:t>Small-G power / minimum detectable effect simulator</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Real Sentinel-1 RTC dual-pol backscatter signatures (4 Bulbul probe districts)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Real Sentinel-1 RTC backscatter signatures — VH/VV/CR vs DOY (Planetary Computer)</w:t>
      </w:r>
    </w:p>
    <w:p>
      <w:r>
        <w:rPr>
          <w:rFonts w:ascii="Arial" w:hAnsi="Arial"/>
          <w:sz w:val="20"/>
        </w:rPr>
        <w:br w:type="page"/>
      </w:r>
    </w:p>
    <w:p>
      <w:pPr>
        <w:keepNext/>
        <w:spacing w:before="240" w:after="120"/>
      </w:pPr>
      <w:bookmarkStart w:id="47338" w:name="note_s1"/>
      <w:r>
        <w:rPr>
          <w:rFonts w:ascii="Arial" w:hAnsi="Arial"/>
          <w:b/>
          <w:color w:val="1F3A5F"/>
          <w:sz w:val="32"/>
        </w:rPr>
        <w:t>Note S1 — Bulbul (2019) transferability probe</w:t>
      </w:r>
      <w:bookmarkEnd w:id="47338"/>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Modules:</w:t>
      </w:r>
      <w:r>
        <w:rPr>
          <w:rFonts w:ascii="Arial" w:hAnsi="Arial"/>
          <w:sz w:val="20"/>
        </w:rPr>
        <w:t xml:space="preserve"> </w:t>
      </w:r>
      <w:r>
        <w:rPr>
          <w:rFonts w:ascii="Arial" w:hAnsi="Arial"/>
          <w:sz w:val="20"/>
        </w:rPr>
        <w:t xml:space="preserve">analysis/13_bulbul_phenology_extract.py</w:t>
      </w:r>
      <w:r>
        <w:rPr>
          <w:rFonts w:ascii="Arial" w:hAnsi="Arial"/>
          <w:sz w:val="20"/>
        </w:rPr>
        <w:t xml:space="preserve"> </w:t>
      </w:r>
      <w:r>
        <w:rPr>
          <w:rFonts w:ascii="Arial" w:hAnsi="Arial"/>
          <w:sz w:val="20"/>
        </w:rPr>
        <w:t xml:space="preserve">(Sentinel-2 L2A → monthly NDVI → SOS),</w:t>
      </w:r>
      <w:r>
        <w:rPr>
          <w:rFonts w:ascii="Arial" w:hAnsi="Arial"/>
          <w:sz w:val="20"/>
        </w:rPr>
        <w:t xml:space="preserve"> </w:t>
      </w:r>
      <w:r>
        <w:rPr>
          <w:rFonts w:ascii="Arial" w:hAnsi="Arial"/>
          <w:sz w:val="20"/>
        </w:rPr>
        <w:t xml:space="preserve">analysis/14_bulbul_postprocess_sos.py</w:t>
      </w:r>
      <w:r>
        <w:rPr>
          <w:rFonts w:ascii="Arial" w:hAnsi="Arial"/>
          <w:sz w:val="20"/>
        </w:rPr>
        <w:t xml:space="preserve"> </w:t>
      </w:r>
      <w:r>
        <w:rPr>
          <w:rFonts w:ascii="Arial" w:hAnsi="Arial"/>
          <w:sz w:val="20"/>
        </w:rPr>
        <w:t xml:space="preserve">(robust SOS estimator),</w:t>
      </w:r>
      <w:r>
        <w:rPr>
          <w:rFonts w:ascii="Arial" w:hAnsi="Arial"/>
          <w:sz w:val="20"/>
        </w:rPr>
        <w:t xml:space="preserve"> </w:t>
      </w:r>
      <w:r>
        <w:rPr>
          <w:rFonts w:ascii="Arial" w:hAnsi="Arial"/>
          <w:sz w:val="20"/>
        </w:rPr>
        <w:t xml:space="preserve">analysis/15_bulbul_residuals_v21.py</w:t>
      </w:r>
      <w:r>
        <w:rPr>
          <w:rFonts w:ascii="Arial" w:hAnsi="Arial"/>
          <w:sz w:val="20"/>
        </w:rPr>
        <w:t xml:space="preserve"> </w:t>
      </w:r>
      <w:r>
        <w:rPr>
          <w:rFonts w:ascii="Arial" w:hAnsi="Arial"/>
          <w:sz w:val="20"/>
        </w:rPr>
        <w:t xml:space="preserve">(residuals against v2.1 plug-in).</w:t>
      </w:r>
      <w:r>
        <w:rPr>
          <w:rFonts w:ascii="Arial" w:hAnsi="Arial"/>
          <w:sz w:val="20"/>
        </w:rPr>
        <w:t xml:space="preserve"> </w:t>
      </w:r>
      <w:r>
        <w:rPr>
          <w:rFonts w:ascii="Arial" w:hAnsi="Arial"/>
          <w:b/>
          <w:bCs/>
          <w:sz w:val="20"/>
        </w:rPr>
        <w:t xml:space="preserve">Inputs:</w:t>
      </w:r>
      <w:r>
        <w:rPr>
          <w:rFonts w:ascii="Arial" w:hAnsi="Arial"/>
          <w:sz w:val="20"/>
        </w:rPr>
        <w:t xml:space="preserve"> </w:t>
      </w:r>
      <w:r>
        <w:rPr>
          <w:rFonts w:ascii="Arial" w:hAnsi="Arial"/>
          <w:sz w:val="20"/>
        </w:rPr>
        <w:t xml:space="preserve">Microsoft Planetary Computer STAC Sentinel-2 L2A (Apr–Dec 2017, 2018, 2020), GADM v4.1 India L2 district boundaries.</w:t>
      </w:r>
      <w:r>
        <w:rPr>
          <w:rFonts w:ascii="Arial" w:hAnsi="Arial"/>
          <w:sz w:val="20"/>
        </w:rPr>
        <w:t xml:space="preserve"> </w:t>
      </w:r>
      <w:r>
        <w:rPr>
          <w:rFonts w:ascii="Arial" w:hAnsi="Arial"/>
          <w:b/>
          <w:bCs/>
          <w:sz w:val="20"/>
        </w:rPr>
        <w:t xml:space="preserve">Outputs:</w:t>
      </w:r>
      <w:r>
        <w:rPr>
          <w:rFonts w:ascii="Arial" w:hAnsi="Arial"/>
          <w:sz w:val="20"/>
        </w:rPr>
        <w:t xml:space="preserve"> </w:t>
      </w:r>
      <w:r>
        <w:rPr>
          <w:rFonts w:ascii="Arial" w:hAnsi="Arial"/>
          <w:sz w:val="20"/>
        </w:rPr>
        <w:t xml:space="preserve">analysis/results/real_v21/bulbul/probe_phenology_real.csv</w:t>
      </w:r>
      <w:r>
        <w:rPr>
          <w:rFonts w:ascii="Arial" w:hAnsi="Arial"/>
          <w:sz w:val="20"/>
        </w:rPr>
        <w:t xml:space="preserve">,</w:t>
      </w:r>
      <w:r>
        <w:rPr>
          <w:rFonts w:ascii="Arial" w:hAnsi="Arial"/>
          <w:sz w:val="20"/>
        </w:rPr>
        <w:t xml:space="preserve"> </w:t>
      </w:r>
      <w:r>
        <w:rPr>
          <w:rFonts w:ascii="Arial" w:hAnsi="Arial"/>
          <w:sz w:val="20"/>
        </w:rPr>
        <w:t xml:space="preserve">…/probe_residuals_real_v21.csv</w:t>
      </w:r>
      <w:r>
        <w:rPr>
          <w:rFonts w:ascii="Arial" w:hAnsi="Arial"/>
          <w:sz w:val="20"/>
        </w:rPr>
        <w:t xml:space="preserve">,</w:t>
      </w:r>
      <w:r>
        <w:rPr>
          <w:rFonts w:ascii="Arial" w:hAnsi="Arial"/>
          <w:sz w:val="20"/>
        </w:rPr>
        <w:t xml:space="preserve"> </w:t>
      </w:r>
      <w:r>
        <w:rPr>
          <w:rFonts w:ascii="Arial" w:hAnsi="Arial"/>
          <w:sz w:val="20"/>
        </w:rPr>
        <w:t xml:space="preserve">…/probe_summary_real_v21.csv</w:t>
      </w:r>
      <w:r>
        <w:rPr>
          <w:rFonts w:ascii="Arial" w:hAnsi="Arial"/>
          <w:sz w:val="20"/>
        </w:rPr>
        <w:t xml:space="preserve">,</w:t>
      </w:r>
      <w:r>
        <w:rPr>
          <w:rFonts w:ascii="Arial" w:hAnsi="Arial"/>
          <w:sz w:val="20"/>
        </w:rPr>
        <w:t xml:space="preserve"> </w:t>
      </w:r>
      <w:r>
        <w:rPr>
          <w:rFonts w:ascii="Arial" w:hAnsi="Arial"/>
          <w:sz w:val="20"/>
        </w:rPr>
        <w:t xml:space="preserve">manuscript/supplement/Table_S3_bulbul_transferability.docx</w:t>
      </w:r>
      <w:r>
        <w:rPr>
          <w:rFonts w:ascii="Arial" w:hAnsi="Arial"/>
          <w:sz w:val="20"/>
        </w:rPr>
        <w:t xml:space="preserve">.</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t xml:space="preserve">c4mp8</w:t>
        </w:r>
      </w:hyperlink>
      <w:r>
        <w:rPr>
          <w:rFonts w:ascii="Arial" w:hAnsi="Arial"/>
          <w:sz w:val="20"/>
        </w:rPr>
        <w:t xml:space="preserve"> </w:t>
      </w:r>
      <w:r>
        <w:rPr>
          <w:rFonts w:ascii="Arial" w:hAnsi="Arial"/>
          <w:sz w:val="20"/>
        </w:rPr>
        <w:t xml:space="preserve">— scope amendment dated 2026-04-29.</w:t>
      </w:r>
    </w:p>
    <w:bookmarkStart w:id="21" w:name="s1.1-motivation-and-falsification-logic"/>
    <w:p>
      <w:pPr>
        <w:pStyle w:val="Heading2"/>
      </w:pPr>
      <w:r>
        <w:rPr>
          <w:rFonts w:ascii="Arial" w:hAnsi="Arial"/>
        </w:rPr>
        <w:t xml:space="preserve">S1.1 Motivation and falsification logic</w:t>
      </w:r>
    </w:p>
    <w:p>
      <w:pP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BodyText"/>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BodyText"/>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BodyText"/>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
    <w:p>
      <w:pPr>
        <w:pStyle w:val="BodyText"/>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BodyText"/>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For each probe district d 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m:oMathPara>
    </w:p>
    <w:p>
      <w:pPr/>
      <w:r>
        <w:rPr>
          <w:rFonts w:ascii="Arial" w:hAnsi="Arial"/>
          <w:sz w:val="20"/>
        </w:rPr>
        <w:t>with the 95% prediction interval PI₉₅ derived from the TWFE-clustered standard error in Table S1. In the v1.0.1-submission release the plug-in value is τ̂_corrected,SOS = +15.108 d with SE = 17.312 d (95% PI = [−36.57, +66.78] d).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lies in this interval.</w:t>
      </w:r>
    </w:p>
    <w:bookmarkEnd w:id="22"/>
    <w:bookmarkStart w:id="23" w:name="X2520fe163fea50ce329acf838193a0cc354e6c7"/>
    <w:p>
      <w:pPr>
        <w:pStyle w:val="Heading2"/>
      </w:pPr>
      <w:r>
        <w:rPr>
          <w:rFonts w:ascii="Arial" w:hAnsi="Arial"/>
        </w:rPr>
        <w:t xml:space="preserve">S1.3 Results (v1.0.1-submission, real v2.1 plug-in)</w:t>
      </w:r>
    </w:p>
    <w:p>
      <w:pPr/>
      <w:r>
        <w:rPr>
          <w:rFonts w:ascii="Arial" w:hAnsi="Arial"/>
          <w:b/>
          <w:bCs/>
          <w:sz w:val="20"/>
        </w:rPr>
        <w:t xml:space="preserve">Probe inputs.</w:t>
      </w:r>
      <w:r>
        <w:rPr>
          <w:rFonts w:ascii="Arial" w:hAnsi="Arial"/>
          <w:sz w:val="20"/>
        </w:rPr>
        <w:t xml:space="preserve"> </w:t>
      </w:r>
      <w:r>
        <w:rPr>
          <w:rFonts w:ascii="Arial" w:hAnsi="Arial"/>
          <w:sz w:val="20"/>
        </w:rPr>
        <w:t xml:space="preserve">For each of the six pre-registered probe districts we queried Microsoft Planetary Computer STAC (Sentinel-2 L2A Collection 2; anonymous public-asset access) over the Apr–Dec 2017, 2018, and 2020 windows on a 5 km centroid-buffer AOI. All available scenes with</w:t>
      </w:r>
      <w:r>
        <w:rPr>
          <w:rFonts w:ascii="Arial" w:hAnsi="Arial"/>
          <w:sz w:val="20"/>
        </w:rPr>
        <w:t xml:space="preserve"> </w:t>
      </w:r>
      <w:r>
        <w:rPr>
          <w:rFonts w:ascii="Arial" w:hAnsi="Arial"/>
          <w:sz w:val="20"/>
        </w:rPr>
        <w:t xml:space="preserve">eo:cloud_cover</w:t>
      </w:r>
      <w:r>
        <w:rPr>
          <w:rFonts w:ascii="Arial" w:hAnsi="Arial"/>
          <w:sz w:val="20"/>
        </w:rPr>
        <w:t xml:space="preserve"> </w:t>
      </w:r>
      <w:r>
        <w:rPr>
          <w:rFonts w:ascii="Arial" w:hAnsi="Arial"/>
          <w:sz w:val="20"/>
        </w:rPr>
        <w:t xml:space="preserve">&lt; 60% were retrieved, SCL-masked (vegetation + bare land classes 4, 5), aggregated to monthly NDVI medians on a common 100 × 100 grid (≈ 100 m pixel pitch), and reduced to per-district-year SOS by Beck 2006 6-parameter double-logistic fit with a 30%-amplitude TIMESAT-style threshold fallback for series with fewer than six clear-month points (</w:t>
      </w:r>
      <w:r>
        <w:rPr>
          <w:rFonts w:ascii="Arial" w:hAnsi="Arial"/>
          <w:sz w:val="20"/>
        </w:rPr>
        <w:t xml:space="preserve">analysis/14_bulbul_postprocess_sos.py</w:t>
      </w:r>
      <w:r>
        <w:rPr>
          <w:rFonts w:ascii="Arial" w:hAnsi="Arial"/>
          <w:sz w:val="20"/>
        </w:rPr>
        <w:t xml:space="preserve">).</w:t>
      </w:r>
    </w:p>
    <w:p>
      <w:pPr>
        <w:pStyle w:val="BodyText"/>
      </w:pPr>
      <w:r>
        <w:rPr>
          <w:rFonts w:ascii="Arial" w:hAnsi="Arial"/>
          <w:b/>
          <w:bCs/>
          <w:sz w:val="20"/>
        </w:rPr>
        <w:t xml:space="preserve">Probe panel quality flag.</w:t>
      </w:r>
      <w:r>
        <w:rPr>
          <w:rFonts w:ascii="Arial" w:hAnsi="Arial"/>
          <w:sz w:val="20"/>
        </w:rPr>
        <w:t xml:space="preserve"> </w:t>
      </w:r>
      <w:r>
        <w:rPr>
          <w:rFonts w:ascii="Arial" w:hAnsi="Arial"/>
          <w:sz w:val="20"/>
        </w:rPr>
        <w:t xml:space="preserve">April-baseline NDVI screening flagged two of the six candidate districts as forest-dominant at the 5 km centroid AOI:</w:t>
      </w:r>
      <w:r>
        <w:rPr>
          <w:rFonts w:ascii="Arial" w:hAnsi="Arial"/>
          <w:sz w:val="20"/>
        </w:rPr>
        <w:t xml:space="preserve"> </w:t>
      </w:r>
      <w:r>
        <w:rPr>
          <w:rFonts w:ascii="Arial" w:hAnsi="Arial"/>
          <w:b/>
          <w:bCs/>
          <w:sz w:val="20"/>
        </w:rPr>
        <w:t xml:space="preserve">Mayurbhanj</w:t>
      </w:r>
      <w:r>
        <w:rPr>
          <w:rFonts w:ascii="Arial" w:hAnsi="Arial"/>
          <w:sz w:val="20"/>
        </w:rPr>
        <w:t xml:space="preserve"> </w:t>
      </w:r>
      <w:r>
        <w:rPr>
          <w:rFonts w:ascii="Arial" w:hAnsi="Arial"/>
          <w:sz w:val="20"/>
        </w:rPr>
        <w:t xml:space="preserve">(April NDVI 0.60–0.62; Similipal Biosphere Reserve and adjoining Sal forest) and</w:t>
      </w:r>
      <w:r>
        <w:rPr>
          <w:rFonts w:ascii="Arial" w:hAnsi="Arial"/>
          <w:sz w:val="20"/>
        </w:rPr>
        <w:t xml:space="preserve"> </w:t>
      </w:r>
      <w:r>
        <w:rPr>
          <w:rFonts w:ascii="Arial" w:hAnsi="Arial"/>
          <w:b/>
          <w:bCs/>
          <w:sz w:val="20"/>
        </w:rPr>
        <w:t xml:space="preserve">Kandhamal</w:t>
      </w:r>
      <w:r>
        <w:rPr>
          <w:rFonts w:ascii="Arial" w:hAnsi="Arial"/>
          <w:sz w:val="20"/>
        </w:rPr>
        <w:t xml:space="preserve"> </w:t>
      </w:r>
      <w:r>
        <w:rPr>
          <w:rFonts w:ascii="Arial" w:hAnsi="Arial"/>
          <w:sz w:val="20"/>
        </w:rPr>
        <w:t xml:space="preserve">(April NDVI 0.41–0.52; Eastern Ghats forest). Their seasonal NDVI traces lack a discernible pre-Kharif baseline-to-canopy rise (peak–trough amplitude &lt; 0.20 NDVI) and the threshold extractor cannot identify a phenology-meaningful SOS in these series. We therefore retain both districts in the published probe table (Table S3) with an explicit</w:t>
      </w:r>
      <w:r>
        <w:rPr>
          <w:rFonts w:ascii="Arial" w:hAnsi="Arial"/>
          <w:sz w:val="20"/>
        </w:rPr>
        <w:t xml:space="preserve"> </w:t>
      </w:r>
      <w:r>
        <w:rPr>
          <w:rFonts w:ascii="Arial" w:hAnsi="Arial"/>
          <w:sz w:val="20"/>
        </w:rPr>
        <w:t xml:space="preserve">forest_dominated_AOI</w:t>
      </w:r>
      <w:r>
        <w:rPr>
          <w:rFonts w:ascii="Arial" w:hAnsi="Arial"/>
          <w:sz w:val="20"/>
        </w:rPr>
        <w:t xml:space="preserve"> </w:t>
      </w:r>
      <w:r>
        <w:rPr>
          <w:rFonts w:ascii="Arial" w:hAnsi="Arial"/>
          <w:sz w:val="20"/>
        </w:rPr>
        <w:t xml:space="preserve">exclusion flag, and report the headline transferability statistics on the four paddy-dominant probe districts: Boudh, Ganjam, Khordha, Nayagarh.</w:t>
      </w:r>
    </w:p>
    <w:p>
      <w:pPr>
        <w:pStyle w:val="BodyText"/>
      </w:pPr>
      <w:r>
        <w:rPr>
          <w:rFonts w:ascii="Arial" w:hAnsi="Arial"/>
          <w:b/>
          <w:bCs/>
          <w:sz w:val="20"/>
        </w:rPr>
        <w:t>Per-district residuals. Table 1 summarises the per-district observed pre-Kharif SOS shift Δ_obs,d relative to the within-district 2017–2018 baseline, the plug-in prediction τ̂_corrected,SOS, and the transferability residual r_d. The empirical idiosyncratic SD across the four probe baselines is σ̂ = 19.88 d, yielding a 95% prediction interval of PI₉₅ = [−36.57, +66.78] d.</w:t>
      </w:r>
    </w:p>
    <w:tbl>
      <w:tblPr>
        <w:tblStyle w:val="TableGrid"/>
        <w:tblW w:type="dxa" w:w="9070"/>
        <w:tblLook w:firstColumn="1" w:firstRow="1" w:lastColumn="0" w:lastRow="0" w:noHBand="0" w:noVBand="1" w:val="04A0"/>
        <w:tblLayout w:type="fixed"/>
      </w:tblPr>
      <w:tblGrid>
        <w:gridCol w:w="1440"/>
        <w:gridCol w:w="1728"/>
        <w:gridCol w:w="1296"/>
        <w:gridCol w:w="1296"/>
        <w:gridCol w:w="1007"/>
        <w:gridCol w:w="1007"/>
        <w:gridCol w:w="1296"/>
      </w:tblGrid>
      <w:tr>
        <w:tc>
          <w:tcPr>
            <w:tcW w:type="dxa" w:w="1440"/>
          </w:tcPr>
          <w:p>
            <w:r/>
            <w:r>
              <w:rPr>
                <w:rFonts w:ascii="Arial" w:hAnsi="Arial"/>
                <w:b/>
                <w:sz w:val="18"/>
              </w:rPr>
              <w:t>District</w:t>
            </w:r>
          </w:p>
        </w:tc>
        <w:tc>
          <w:tcPr>
            <w:tcW w:type="dxa" w:w="1728"/>
          </w:tcPr>
          <w:p>
            <w:r/>
            <w:r>
              <w:rPr>
                <w:rFonts w:ascii="Arial" w:hAnsi="Arial"/>
                <w:b/>
                <w:sz w:val="18"/>
              </w:rPr>
              <w:t>Exposure</w:t>
            </w:r>
          </w:p>
        </w:tc>
        <w:tc>
          <w:tcPr>
            <w:tcW w:type="dxa" w:w="1296"/>
          </w:tcPr>
          <w:p>
            <w:r/>
            <w:r>
              <w:rPr>
                <w:rFonts w:ascii="Arial" w:hAnsi="Arial"/>
                <w:b/>
                <w:sz w:val="18"/>
              </w:rPr>
              <w:t>SOS baseline (DOY)</w:t>
            </w:r>
          </w:p>
        </w:tc>
        <w:tc>
          <w:tcPr>
            <w:tcW w:type="dxa" w:w="1296"/>
          </w:tcPr>
          <w:p>
            <w:r/>
            <w:r>
              <w:rPr>
                <w:rFonts w:ascii="Arial" w:hAnsi="Arial"/>
                <w:b/>
                <w:sz w:val="18"/>
              </w:rPr>
              <w:t>SOS ′2020 (DOY)</w:t>
            </w:r>
          </w:p>
        </w:tc>
        <w:tc>
          <w:tcPr>
            <w:tcW w:type="dxa" w:w="1007"/>
          </w:tcPr>
          <w:p>
            <w:r/>
            <w:r>
              <w:rPr>
                <w:rFonts w:ascii="Arial" w:hAnsi="Arial"/>
                <w:b/>
                <w:sz w:val="18"/>
              </w:rPr>
              <w:t>Δ_obs,d (d)</w:t>
            </w:r>
          </w:p>
        </w:tc>
        <w:tc>
          <w:tcPr>
            <w:tcW w:type="dxa" w:w="1007"/>
          </w:tcPr>
          <w:p>
            <w:r/>
            <w:r>
              <w:rPr>
                <w:rFonts w:ascii="Arial" w:hAnsi="Arial"/>
                <w:b/>
                <w:sz w:val="18"/>
              </w:rPr>
              <w:t>r_d (d)</w:t>
            </w:r>
          </w:p>
        </w:tc>
        <w:tc>
          <w:tcPr>
            <w:tcW w:type="dxa" w:w="1296"/>
          </w:tcPr>
          <w:p>
            <w:r/>
            <w:r>
              <w:rPr>
                <w:rFonts w:ascii="Arial" w:hAnsi="Arial"/>
                <w:b/>
                <w:sz w:val="18"/>
              </w:rPr>
              <w:t>Inside 95% PI?</w:t>
            </w:r>
          </w:p>
        </w:tc>
      </w:tr>
      <w:tr>
        <w:tc>
          <w:tcPr>
            <w:tcW w:type="dxa" w:w="1440"/>
          </w:tcPr>
          <w:p>
            <w:r/>
            <w:r>
              <w:rPr>
                <w:rFonts w:ascii="Arial" w:hAnsi="Arial"/>
                <w:sz w:val="18"/>
              </w:rPr>
              <w:t>Boudh</w:t>
            </w:r>
          </w:p>
        </w:tc>
        <w:tc>
          <w:tcPr>
            <w:tcW w:type="dxa" w:w="1728"/>
          </w:tcPr>
          <w:p>
            <w:r/>
            <w:r>
              <w:rPr>
                <w:rFonts w:ascii="Arial" w:hAnsi="Arial"/>
                <w:sz w:val="18"/>
              </w:rPr>
              <w:t>inland_rainfall</w:t>
            </w:r>
          </w:p>
        </w:tc>
        <w:tc>
          <w:tcPr>
            <w:tcW w:type="dxa" w:w="1296"/>
          </w:tcPr>
          <w:p>
            <w:r/>
            <w:r>
              <w:rPr>
                <w:rFonts w:ascii="Arial" w:hAnsi="Arial"/>
                <w:sz w:val="18"/>
              </w:rPr>
              <w:t>169.4</w:t>
            </w:r>
          </w:p>
        </w:tc>
        <w:tc>
          <w:tcPr>
            <w:tcW w:type="dxa" w:w="1296"/>
          </w:tcPr>
          <w:p>
            <w:r/>
            <w:r>
              <w:rPr>
                <w:rFonts w:ascii="Arial" w:hAnsi="Arial"/>
                <w:sz w:val="18"/>
              </w:rPr>
              <w:t>176.4</w:t>
            </w:r>
          </w:p>
        </w:tc>
        <w:tc>
          <w:tcPr>
            <w:tcW w:type="dxa" w:w="1007"/>
          </w:tcPr>
          <w:p>
            <w:r/>
            <w:r>
              <w:rPr>
                <w:rFonts w:ascii="Arial" w:hAnsi="Arial"/>
                <w:sz w:val="18"/>
              </w:rPr>
              <w:t>+7.0</w:t>
            </w:r>
          </w:p>
        </w:tc>
        <w:tc>
          <w:tcPr>
            <w:tcW w:type="dxa" w:w="1007"/>
          </w:tcPr>
          <w:p>
            <w:r/>
            <w:r>
              <w:rPr>
                <w:rFonts w:ascii="Arial" w:hAnsi="Arial"/>
                <w:sz w:val="18"/>
              </w:rPr>
              <w:t>-8.11</w:t>
            </w:r>
          </w:p>
        </w:tc>
        <w:tc>
          <w:tcPr>
            <w:tcW w:type="dxa" w:w="1296"/>
          </w:tcPr>
          <w:p>
            <w:r/>
            <w:r>
              <w:rPr>
                <w:rFonts w:ascii="Arial" w:hAnsi="Arial"/>
                <w:sz w:val="18"/>
              </w:rPr>
              <w:t>yes</w:t>
            </w:r>
          </w:p>
        </w:tc>
      </w:tr>
      <w:tr>
        <w:tc>
          <w:tcPr>
            <w:tcW w:type="dxa" w:w="1440"/>
          </w:tcPr>
          <w:p>
            <w:r/>
            <w:r>
              <w:rPr>
                <w:rFonts w:ascii="Arial" w:hAnsi="Arial"/>
                <w:sz w:val="18"/>
              </w:rPr>
              <w:t>Ganjam</w:t>
            </w:r>
          </w:p>
        </w:tc>
        <w:tc>
          <w:tcPr>
            <w:tcW w:type="dxa" w:w="1728"/>
          </w:tcPr>
          <w:p>
            <w:r/>
            <w:r>
              <w:rPr>
                <w:rFonts w:ascii="Arial" w:hAnsi="Arial"/>
                <w:sz w:val="18"/>
              </w:rPr>
              <w:t>coastal_rainfall</w:t>
            </w:r>
          </w:p>
        </w:tc>
        <w:tc>
          <w:tcPr>
            <w:tcW w:type="dxa" w:w="1296"/>
          </w:tcPr>
          <w:p>
            <w:r/>
            <w:r>
              <w:rPr>
                <w:rFonts w:ascii="Arial" w:hAnsi="Arial"/>
                <w:sz w:val="18"/>
              </w:rPr>
              <w:t>184.4</w:t>
            </w:r>
          </w:p>
        </w:tc>
        <w:tc>
          <w:tcPr>
            <w:tcW w:type="dxa" w:w="1296"/>
          </w:tcPr>
          <w:p>
            <w:r/>
            <w:r>
              <w:rPr>
                <w:rFonts w:ascii="Arial" w:hAnsi="Arial"/>
                <w:sz w:val="18"/>
              </w:rPr>
              <w:t>198.3</w:t>
            </w:r>
          </w:p>
        </w:tc>
        <w:tc>
          <w:tcPr>
            <w:tcW w:type="dxa" w:w="1007"/>
          </w:tcPr>
          <w:p>
            <w:r/>
            <w:r>
              <w:rPr>
                <w:rFonts w:ascii="Arial" w:hAnsi="Arial"/>
                <w:sz w:val="18"/>
              </w:rPr>
              <w:t>+14.0</w:t>
            </w:r>
          </w:p>
        </w:tc>
        <w:tc>
          <w:tcPr>
            <w:tcW w:type="dxa" w:w="1007"/>
          </w:tcPr>
          <w:p>
            <w:r/>
            <w:r>
              <w:rPr>
                <w:rFonts w:ascii="Arial" w:hAnsi="Arial"/>
                <w:sz w:val="18"/>
              </w:rPr>
              <w:t>-1.11</w:t>
            </w:r>
          </w:p>
        </w:tc>
        <w:tc>
          <w:tcPr>
            <w:tcW w:type="dxa" w:w="1296"/>
          </w:tcPr>
          <w:p>
            <w:r/>
            <w:r>
              <w:rPr>
                <w:rFonts w:ascii="Arial" w:hAnsi="Arial"/>
                <w:sz w:val="18"/>
              </w:rPr>
              <w:t>yes</w:t>
            </w:r>
          </w:p>
        </w:tc>
      </w:tr>
      <w:tr>
        <w:tc>
          <w:tcPr>
            <w:tcW w:type="dxa" w:w="1440"/>
          </w:tcPr>
          <w:p>
            <w:r/>
            <w:r>
              <w:rPr>
                <w:rFonts w:ascii="Arial" w:hAnsi="Arial"/>
                <w:sz w:val="18"/>
              </w:rPr>
              <w:t>Khordha</w:t>
            </w:r>
          </w:p>
        </w:tc>
        <w:tc>
          <w:tcPr>
            <w:tcW w:type="dxa" w:w="1728"/>
          </w:tcPr>
          <w:p>
            <w:r/>
            <w:r>
              <w:rPr>
                <w:rFonts w:ascii="Arial" w:hAnsi="Arial"/>
                <w:sz w:val="18"/>
              </w:rPr>
              <w:t>coastal_rainfall</w:t>
            </w:r>
          </w:p>
        </w:tc>
        <w:tc>
          <w:tcPr>
            <w:tcW w:type="dxa" w:w="1296"/>
          </w:tcPr>
          <w:p>
            <w:r/>
            <w:r>
              <w:rPr>
                <w:rFonts w:ascii="Arial" w:hAnsi="Arial"/>
                <w:sz w:val="18"/>
              </w:rPr>
              <w:t>141.7</w:t>
            </w:r>
          </w:p>
        </w:tc>
        <w:tc>
          <w:tcPr>
            <w:tcW w:type="dxa" w:w="1296"/>
          </w:tcPr>
          <w:p>
            <w:r/>
            <w:r>
              <w:rPr>
                <w:rFonts w:ascii="Arial" w:hAnsi="Arial"/>
                <w:sz w:val="18"/>
              </w:rPr>
              <w:t>179.3</w:t>
            </w:r>
          </w:p>
        </w:tc>
        <w:tc>
          <w:tcPr>
            <w:tcW w:type="dxa" w:w="1007"/>
          </w:tcPr>
          <w:p>
            <w:r/>
            <w:r>
              <w:rPr>
                <w:rFonts w:ascii="Arial" w:hAnsi="Arial"/>
                <w:sz w:val="18"/>
              </w:rPr>
              <w:t>+37.6</w:t>
            </w:r>
          </w:p>
        </w:tc>
        <w:tc>
          <w:tcPr>
            <w:tcW w:type="dxa" w:w="1007"/>
          </w:tcPr>
          <w:p>
            <w:r/>
            <w:r>
              <w:rPr>
                <w:rFonts w:ascii="Arial" w:hAnsi="Arial"/>
                <w:sz w:val="18"/>
              </w:rPr>
              <w:t>+22.49</w:t>
            </w:r>
          </w:p>
        </w:tc>
        <w:tc>
          <w:tcPr>
            <w:tcW w:type="dxa" w:w="1296"/>
          </w:tcPr>
          <w:p>
            <w:r/>
            <w:r>
              <w:rPr>
                <w:rFonts w:ascii="Arial" w:hAnsi="Arial"/>
                <w:sz w:val="18"/>
              </w:rPr>
              <w:t>yes</w:t>
            </w:r>
          </w:p>
        </w:tc>
      </w:tr>
      <w:tr>
        <w:tc>
          <w:tcPr>
            <w:tcW w:type="dxa" w:w="1440"/>
          </w:tcPr>
          <w:p>
            <w:r/>
            <w:r>
              <w:rPr>
                <w:rFonts w:ascii="Arial" w:hAnsi="Arial"/>
                <w:sz w:val="18"/>
              </w:rPr>
              <w:t>Nayagarh</w:t>
            </w:r>
          </w:p>
        </w:tc>
        <w:tc>
          <w:tcPr>
            <w:tcW w:type="dxa" w:w="1728"/>
          </w:tcPr>
          <w:p>
            <w:r/>
            <w:r>
              <w:rPr>
                <w:rFonts w:ascii="Arial" w:hAnsi="Arial"/>
                <w:sz w:val="18"/>
              </w:rPr>
              <w:t>inland_rainfall</w:t>
            </w:r>
          </w:p>
        </w:tc>
        <w:tc>
          <w:tcPr>
            <w:tcW w:type="dxa" w:w="1296"/>
          </w:tcPr>
          <w:p>
            <w:r/>
            <w:r>
              <w:rPr>
                <w:rFonts w:ascii="Arial" w:hAnsi="Arial"/>
                <w:sz w:val="18"/>
              </w:rPr>
              <w:t>147.0</w:t>
            </w:r>
          </w:p>
        </w:tc>
        <w:tc>
          <w:tcPr>
            <w:tcW w:type="dxa" w:w="1296"/>
          </w:tcPr>
          <w:p>
            <w:r/>
            <w:r>
              <w:rPr>
                <w:rFonts w:ascii="Arial" w:hAnsi="Arial"/>
                <w:sz w:val="18"/>
              </w:rPr>
              <w:t>175.1</w:t>
            </w:r>
          </w:p>
        </w:tc>
        <w:tc>
          <w:tcPr>
            <w:tcW w:type="dxa" w:w="1007"/>
          </w:tcPr>
          <w:p>
            <w:r/>
            <w:r>
              <w:rPr>
                <w:rFonts w:ascii="Arial" w:hAnsi="Arial"/>
                <w:sz w:val="18"/>
              </w:rPr>
              <w:t>+28.1</w:t>
            </w:r>
          </w:p>
        </w:tc>
        <w:tc>
          <w:tcPr>
            <w:tcW w:type="dxa" w:w="1007"/>
          </w:tcPr>
          <w:p>
            <w:r/>
            <w:r>
              <w:rPr>
                <w:rFonts w:ascii="Arial" w:hAnsi="Arial"/>
                <w:sz w:val="18"/>
              </w:rPr>
              <w:t>+12.99</w:t>
            </w:r>
          </w:p>
        </w:tc>
        <w:tc>
          <w:tcPr>
            <w:tcW w:type="dxa" w:w="1296"/>
          </w:tcPr>
          <w:p>
            <w:r/>
            <w:r>
              <w:rPr>
                <w:rFonts w:ascii="Arial" w:hAnsi="Arial"/>
                <w:sz w:val="18"/>
              </w:rPr>
              <w:t>yes</w:t>
            </w:r>
          </w:p>
        </w:tc>
      </w:tr>
      <w:tr>
        <w:tc>
          <w:tcPr>
            <w:tcW w:type="dxa" w:w="1440"/>
          </w:tcPr>
          <w:p>
            <w:r/>
            <w:r>
              <w:rPr>
                <w:rFonts w:ascii="Arial" w:hAnsi="Arial"/>
                <w:sz w:val="18"/>
              </w:rPr>
              <w:t>Kandhamal ⁂</w:t>
            </w:r>
          </w:p>
        </w:tc>
        <w:tc>
          <w:tcPr>
            <w:tcW w:type="dxa" w:w="1728"/>
          </w:tcPr>
          <w:p>
            <w:r/>
            <w:r>
              <w:rPr>
                <w:rFonts w:ascii="Arial" w:hAnsi="Arial"/>
                <w:sz w:val="18"/>
              </w:rPr>
              <w:t>inland_rainfall</w:t>
            </w:r>
          </w:p>
        </w:tc>
        <w:tc>
          <w:tcPr>
            <w:tcW w:type="dxa" w:w="1296"/>
          </w:tcPr>
          <w:p>
            <w:r/>
            <w:r>
              <w:rPr>
                <w:rFonts w:ascii="Arial" w:hAnsi="Arial"/>
                <w:sz w:val="18"/>
              </w:rPr>
              <w:t>151.0</w:t>
            </w:r>
          </w:p>
        </w:tc>
        <w:tc>
          <w:tcPr>
            <w:tcW w:type="dxa" w:w="1296"/>
          </w:tcPr>
          <w:p>
            <w:r/>
            <w:r>
              <w:rPr>
                <w:rFonts w:ascii="Arial" w:hAnsi="Arial"/>
                <w:sz w:val="18"/>
              </w:rPr>
              <w:t>206.4</w:t>
            </w:r>
          </w:p>
        </w:tc>
        <w:tc>
          <w:tcPr>
            <w:tcW w:type="dxa" w:w="1007"/>
          </w:tcPr>
          <w:p>
            <w:r/>
            <w:r>
              <w:rPr>
                <w:rFonts w:ascii="Arial" w:hAnsi="Arial"/>
                <w:sz w:val="18"/>
              </w:rPr>
              <w:t>+55.5</w:t>
            </w:r>
          </w:p>
        </w:tc>
        <w:tc>
          <w:tcPr>
            <w:tcW w:type="dxa" w:w="1007"/>
          </w:tcPr>
          <w:p>
            <w:r/>
            <w:r>
              <w:rPr>
                <w:rFonts w:ascii="Arial" w:hAnsi="Arial"/>
                <w:sz w:val="18"/>
              </w:rPr>
              <w:t>+40.39</w:t>
            </w:r>
          </w:p>
        </w:tc>
        <w:tc>
          <w:tcPr>
            <w:tcW w:type="dxa" w:w="1296"/>
          </w:tcPr>
          <w:p>
            <w:r/>
            <w:r>
              <w:rPr>
                <w:rFonts w:ascii="Arial" w:hAnsi="Arial"/>
                <w:sz w:val="18"/>
              </w:rPr>
              <w:t>yes</w:t>
            </w:r>
          </w:p>
        </w:tc>
      </w:tr>
      <w:tr>
        <w:tc>
          <w:tcPr>
            <w:tcW w:type="dxa" w:w="1440"/>
          </w:tcPr>
          <w:p>
            <w:r/>
            <w:r>
              <w:rPr>
                <w:rFonts w:ascii="Arial" w:hAnsi="Arial"/>
                <w:sz w:val="18"/>
              </w:rPr>
              <w:t>Mayurbhanj ⁂</w:t>
            </w:r>
          </w:p>
        </w:tc>
        <w:tc>
          <w:tcPr>
            <w:tcW w:type="dxa" w:w="1728"/>
          </w:tcPr>
          <w:p>
            <w:r/>
            <w:r>
              <w:rPr>
                <w:rFonts w:ascii="Arial" w:hAnsi="Arial"/>
                <w:sz w:val="18"/>
              </w:rPr>
              <w:t>coastal_rainfall</w:t>
            </w:r>
          </w:p>
        </w:tc>
        <w:tc>
          <w:tcPr>
            <w:tcW w:type="dxa" w:w="1296"/>
          </w:tcPr>
          <w:p>
            <w:r/>
            <w:r>
              <w:rPr>
                <w:rFonts w:ascii="Arial" w:hAnsi="Arial"/>
                <w:sz w:val="18"/>
              </w:rPr>
              <w:t>126.5</w:t>
            </w:r>
          </w:p>
        </w:tc>
        <w:tc>
          <w:tcPr>
            <w:tcW w:type="dxa" w:w="1296"/>
          </w:tcPr>
          <w:p>
            <w:r/>
            <w:r>
              <w:rPr>
                <w:rFonts w:ascii="Arial" w:hAnsi="Arial"/>
                <w:sz w:val="18"/>
              </w:rPr>
              <w:t>121.0</w:t>
            </w:r>
          </w:p>
        </w:tc>
        <w:tc>
          <w:tcPr>
            <w:tcW w:type="dxa" w:w="1007"/>
          </w:tcPr>
          <w:p>
            <w:r/>
            <w:r>
              <w:rPr>
                <w:rFonts w:ascii="Arial" w:hAnsi="Arial"/>
                <w:sz w:val="18"/>
              </w:rPr>
              <w:t>-5.5</w:t>
            </w:r>
          </w:p>
        </w:tc>
        <w:tc>
          <w:tcPr>
            <w:tcW w:type="dxa" w:w="1007"/>
          </w:tcPr>
          <w:p>
            <w:r/>
            <w:r>
              <w:rPr>
                <w:rFonts w:ascii="Arial" w:hAnsi="Arial"/>
                <w:sz w:val="18"/>
              </w:rPr>
              <w:t>-20.61</w:t>
            </w:r>
          </w:p>
        </w:tc>
        <w:tc>
          <w:tcPr>
            <w:tcW w:type="dxa" w:w="1296"/>
          </w:tcPr>
          <w:p>
            <w:r/>
            <w:r>
              <w:rPr>
                <w:rFonts w:ascii="Arial" w:hAnsi="Arial"/>
                <w:sz w:val="18"/>
              </w:rPr>
              <w:t>yes</w:t>
            </w:r>
          </w:p>
        </w:tc>
      </w:tr>
      <w:tr>
        <w:tc>
          <w:tcPr>
            <w:tcW w:type="dxa" w:w="1440"/>
          </w:tcPr>
          <w:p>
            <w:r/>
            <w:r>
              <w:rPr>
                <w:rFonts w:ascii="Arial" w:hAnsi="Arial"/>
                <w:b/>
                <w:sz w:val="18"/>
              </w:rPr>
              <w:t>Mean (n = 4)</w:t>
            </w:r>
          </w:p>
        </w:tc>
        <w:tc>
          <w:tcPr>
            <w:tcW w:type="dxa" w:w="1728"/>
          </w:tcPr>
          <w:p>
            <w:r/>
            <w:r>
              <w:rPr>
                <w:rFonts w:ascii="Arial" w:hAnsi="Arial"/>
                <w:b/>
                <w:sz w:val="18"/>
              </w:rPr>
              <w:t>—</w:t>
            </w:r>
          </w:p>
        </w:tc>
        <w:tc>
          <w:tcPr>
            <w:tcW w:type="dxa" w:w="1296"/>
          </w:tcPr>
          <w:p>
            <w:r/>
            <w:r>
              <w:rPr>
                <w:rFonts w:ascii="Arial" w:hAnsi="Arial"/>
                <w:b/>
                <w:sz w:val="18"/>
              </w:rPr>
              <w:t>160.6</w:t>
            </w:r>
          </w:p>
        </w:tc>
        <w:tc>
          <w:tcPr>
            <w:tcW w:type="dxa" w:w="1296"/>
          </w:tcPr>
          <w:p>
            <w:r/>
            <w:r>
              <w:rPr>
                <w:rFonts w:ascii="Arial" w:hAnsi="Arial"/>
                <w:b/>
                <w:sz w:val="18"/>
              </w:rPr>
              <w:t>182.3</w:t>
            </w:r>
          </w:p>
        </w:tc>
        <w:tc>
          <w:tcPr>
            <w:tcW w:type="dxa" w:w="1007"/>
          </w:tcPr>
          <w:p>
            <w:r/>
            <w:r>
              <w:rPr>
                <w:rFonts w:ascii="Arial" w:hAnsi="Arial"/>
                <w:b/>
                <w:sz w:val="18"/>
              </w:rPr>
              <w:t>+21.7</w:t>
            </w:r>
          </w:p>
        </w:tc>
        <w:tc>
          <w:tcPr>
            <w:tcW w:type="dxa" w:w="1007"/>
          </w:tcPr>
          <w:p>
            <w:r/>
            <w:r>
              <w:rPr>
                <w:rFonts w:ascii="Arial" w:hAnsi="Arial"/>
                <w:b/>
                <w:sz w:val="18"/>
              </w:rPr>
              <w:t>+6.56</w:t>
            </w:r>
          </w:p>
        </w:tc>
        <w:tc>
          <w:tcPr>
            <w:tcW w:type="dxa" w:w="1296"/>
          </w:tcPr>
          <w:p>
            <w:r/>
            <w:r>
              <w:rPr>
                <w:rFonts w:ascii="Arial" w:hAnsi="Arial"/>
                <w:b/>
                <w:sz w:val="18"/>
              </w:rPr>
              <w:t>4 / 4</w:t>
            </w:r>
          </w:p>
        </w:tc>
      </w:tr>
    </w:tbl>
    <w:p>
      <w:pPr>
        <w:pStyle w:val="BodyText"/>
      </w:pPr>
    </w:p>
    <w:bookmarkEnd w:id="23"/>
    <w:bookmarkStart w:id="24" w:name="s1.4-interpretation"/>
    <w:p>
      <w:pPr>
        <w:pStyle w:val="Heading2"/>
      </w:pPr>
      <w:r>
        <w:rPr>
          <w:rFonts w:ascii="Arial" w:hAnsi="Arial"/>
        </w:rPr>
        <w:t xml:space="preserve">S1.4 Interpretation</w:t>
      </w:r>
    </w:p>
    <w:p>
      <w:pPr/>
      <w:r>
        <w:rPr>
          <w:rFonts w:ascii="Arial" w:hAnsi="Arial"/>
          <w:sz w:val="20"/>
        </w:rPr>
        <w:t xml:space="preserve">The falsification posture of this probe was set in advance: a</w:t>
      </w:r>
      <w:r>
        <w:rPr>
          <w:rFonts w:ascii="Arial" w:hAnsi="Arial"/>
          <w:sz w:val="20"/>
        </w:rPr>
        <w:t xml:space="preserve"> </w:t>
      </w:r>
      <w:r>
        <w:rPr>
          <w:rFonts w:ascii="Arial" w:hAnsi="Arial"/>
          <w:i/>
          <w:iCs/>
          <w:sz w:val="20"/>
        </w:rPr>
        <w:t xml:space="preserve">fail</w:t>
      </w:r>
      <w:r>
        <w:rPr>
          <w:rFonts w:ascii="Arial" w:hAnsi="Arial"/>
          <w:sz w:val="20"/>
        </w:rPr>
        <w:t xml:space="preserve"> </w:t>
      </w:r>
      <w:r>
        <w:rPr>
          <w:rFonts w:ascii="Arial" w:hAnsi="Arial"/>
          <w:sz w:val="20"/>
        </w:rPr>
        <w:t xml:space="preserve">(systematically negative residuals well below the 95% PI) would have indicated mechanism-specific saline-surge suppression. The observed result — mean residual within</w:t>
      </w:r>
      <w:r>
        <w:rPr>
          <w:rFonts w:ascii="Arial" w:hAnsi="Arial"/>
          <w:sz w:val="20"/>
        </w:rPr>
        <w:t xml:space="preserve"> </w:t>
      </w:r>
      <m:oMath>
        <m:r>
          <m:t>1</m:t>
        </m:r>
        <m:r>
          <m:t>σ</m:t>
        </m:r>
      </m:oMath>
      <w:r>
        <w:rPr>
          <w:rFonts w:ascii="Arial" w:hAnsi="Arial"/>
          <w:sz w:val="20"/>
        </w:rPr>
        <w:t xml:space="preserve"> </w:t>
      </w:r>
      <w:r>
        <w:rPr>
          <w:rFonts w:ascii="Arial" w:hAnsi="Arial"/>
          <w:sz w:val="20"/>
        </w:rPr>
        <w:t xml:space="preserve">of zero, 4 / 4 inside the 95% PI — falls on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branch of the pre-registered decision rule, with the following three substantive implications.</w:t>
      </w:r>
    </w:p>
    <w:p>
      <w:pPr>
        <w:pStyle w:val="BodyText"/>
      </w:pPr>
      <w:r>
        <w:rPr>
          <w:rFonts w:ascii="Arial" w:hAnsi="Arial"/>
          <w:b/>
          <w:bCs/>
          <w:sz w:val="20"/>
        </w:rPr>
        <w:t xml:space="preserve">The correction operator is not over-aggressive.</w:t>
      </w:r>
      <w:r>
        <w:rPr>
          <w:rFonts w:ascii="Arial" w:hAnsi="Arial"/>
          <w:sz w:val="20"/>
        </w:rPr>
        <w:t xml:space="preserve"> </w:t>
      </w:r>
      <w:r>
        <w:rPr>
          <w:rFonts w:ascii="Arial" w:hAnsi="Arial"/>
          <w:sz w:val="20"/>
        </w:rPr>
        <w:t xml:space="preserve">A generic excess-water mask that silently relabelled rainfall-driven inundation pixels would have produced</w:t>
      </w:r>
      <w:r>
        <w:rPr>
          <w:rFonts w:ascii="Arial" w:hAnsi="Arial"/>
          <w:sz w:val="20"/>
        </w:rPr>
        <w:t xml:space="preserve"> </w:t>
      </w:r>
      <w:r>
        <w:rPr>
          <w:rFonts w:ascii="Arial" w:hAnsi="Arial"/>
          <w:i/>
          <w:iCs/>
          <w:sz w:val="20"/>
        </w:rPr>
        <w:t xml:space="preserve">positive</w:t>
      </w:r>
      <w:r>
        <w:rPr>
          <w:rFonts w:ascii="Arial" w:hAnsi="Arial"/>
          <w:sz w:val="20"/>
        </w:rPr>
        <w:t xml:space="preserve"> </w:t>
      </w:r>
      <w:r>
        <w:rPr>
          <w:rFonts w:ascii="Arial" w:hAnsi="Arial"/>
          <w:sz w:val="20"/>
        </w:rPr>
        <w:t xml:space="preserve">residuals (over-suppression of legitimate NDVI dips, inflating next-season SOS). The 4 / 4 in-interval result is consistent with the classifier behaving as designed: it suppresses the saline-surge backscatter signature without sweeping in freshwater rainfall events that occur at a different calendar window and produce a different SAR signature (§S3, Note S3).</w:t>
      </w:r>
    </w:p>
    <w:p>
      <w:pPr>
        <w:pStyle w:val="BodyText"/>
      </w:pPr>
      <w:r>
        <w:rPr>
          <w:rFonts w:ascii="Arial" w:hAnsi="Arial"/>
          <w:b/>
          <w:bCs/>
          <w:sz w:val="20"/>
        </w:rPr>
        <w:t xml:space="preserve">Geographic transfer holds at one cyclone class boundary.</w:t>
      </w:r>
      <w:r>
        <w:rPr>
          <w:rFonts w:ascii="Arial" w:hAnsi="Arial"/>
          <w:sz w:val="20"/>
        </w:rPr>
        <w:t xml:space="preserve"> </w:t>
      </w:r>
      <w:r>
        <w:rPr>
          <w:rFonts w:ascii="Arial" w:hAnsi="Arial"/>
          <w:sz w:val="20"/>
        </w:rPr>
        <w:t xml:space="preserve">The probe districts span both coastal (Ganjam, Khordha) and inland (Boudh, Nayagarh) exposure types and are non-overlapping with the headline treatment cohort. The point estimate on the inland-only sub-panel (Boudh + Nayagarh,</w:t>
      </w:r>
      <w:r>
        <w:rPr>
          <w:rFonts w:ascii="Arial" w:hAnsi="Arial"/>
          <w:sz w:val="20"/>
        </w:rPr>
        <w:t xml:space="preserve"> </w:t>
      </w:r>
      <m:oMath>
        <m:acc>
          <m:accPr>
            <m:chr m:val="‾"/>
          </m:accPr>
          <m:e>
            <m:r>
              <m:t>r</m:t>
            </m:r>
          </m:e>
        </m:acc>
        <m:r>
          <m:rPr>
            <m:sty m:val="p"/>
          </m:rPr>
          <m:t>=</m:t>
        </m:r>
        <m:r>
          <m:rPr>
            <m:sty m:val="p"/>
          </m:rPr>
          <m:t>+</m:t>
        </m:r>
        <m:r>
          <m:t>2.4</m:t>
        </m:r>
        <m:r>
          <m:t> </m:t>
        </m:r>
        <m:r>
          <m:rPr>
            <m:sty m:val="p"/>
          </m:rPr>
          <m:t>d</m:t>
        </m:r>
      </m:oMath>
      <w:r>
        <w:rPr>
          <w:rFonts w:ascii="Arial" w:hAnsi="Arial"/>
          <w:sz w:val="20"/>
        </w:rPr>
        <w:t xml:space="preserve">) and on the coastal-only sub-panel (Ganjam + Khordha,</w:t>
      </w:r>
      <w:r>
        <w:rPr>
          <w:rFonts w:ascii="Arial" w:hAnsi="Arial"/>
          <w:sz w:val="20"/>
        </w:rPr>
        <w:t xml:space="preserve"> </w:t>
      </w:r>
      <m:oMath>
        <m:acc>
          <m:accPr>
            <m:chr m:val="‾"/>
          </m:accPr>
          <m:e>
            <m:r>
              <m:t>r</m:t>
            </m:r>
          </m:e>
        </m:acc>
        <m:r>
          <m:rPr>
            <m:sty m:val="p"/>
          </m:rPr>
          <m:t>=</m:t>
        </m:r>
        <m:r>
          <m:rPr>
            <m:sty m:val="p"/>
          </m:rPr>
          <m:t>+</m:t>
        </m:r>
        <m:r>
          <m:t>10.7</m:t>
        </m:r>
        <m:r>
          <m:t> </m:t>
        </m:r>
        <m:r>
          <m:rPr>
            <m:sty m:val="p"/>
          </m:rPr>
          <m:t>d</m:t>
        </m:r>
      </m:oMath>
      <w:r>
        <w:rPr>
          <w:rFonts w:ascii="Arial" w:hAnsi="Arial"/>
          <w:sz w:val="20"/>
        </w:rPr>
        <w:t xml:space="preserve">) are both within the 95% PI, so the result is not an artefact of one sub-set dominating the average.</w:t>
      </w:r>
    </w:p>
    <w:p>
      <w:pPr>
        <w:pStyle w:val="BodyText"/>
      </w:pPr>
      <w:r>
        <w:rPr>
          <w:rFonts w:ascii="Arial" w:hAnsi="Arial"/>
          <w:b/>
          <w:bCs/>
          <w:sz w:val="20"/>
        </w:rPr>
        <w:t xml:space="preserve">The result is conservative under small-G inference.</w:t>
      </w:r>
      <w:r>
        <w:rPr>
          <w:rFonts w:ascii="Arial" w:hAnsi="Arial"/>
          <w:sz w:val="20"/>
        </w:rPr>
        <w:t xml:space="preserve"> </w:t>
      </w:r>
      <w:r>
        <w:rPr>
          <w:rFonts w:ascii="Arial" w:hAnsi="Arial"/>
          <w:sz w:val="20"/>
        </w:rPr>
        <w:t xml:space="preserve">The probe sample size of</w:t>
      </w:r>
      <w:r>
        <w:rPr>
          <w:rFonts w:ascii="Arial" w:hAnsi="Arial"/>
          <w:sz w:val="20"/>
        </w:rPr>
        <w:t xml:space="preserve"> </w:t>
      </w:r>
      <m:oMath>
        <m:r>
          <m:t>n</m:t>
        </m:r>
        <m:r>
          <m:rPr>
            <m:sty m:val="p"/>
          </m:rPr>
          <m:t>=</m:t>
        </m:r>
        <m:r>
          <m:t>4</m:t>
        </m:r>
      </m:oMath>
      <w:r>
        <w:rPr>
          <w:rFonts w:ascii="Arial" w:hAnsi="Arial"/>
          <w:sz w:val="20"/>
        </w:rPr>
        <w:t xml:space="preserve"> </w:t>
      </w:r>
      <w:r>
        <w:rPr>
          <w:rFonts w:ascii="Arial" w:hAnsi="Arial"/>
          <w:sz w:val="20"/>
        </w:rPr>
        <w:t xml:space="preserve">paddy-dominant districts is below any sensible asymptotic-CLT regime; we therefore interpret the 4 / 4 in-interval count as a</w:t>
      </w:r>
      <w:r>
        <w:rPr>
          <w:rFonts w:ascii="Arial" w:hAnsi="Arial"/>
          <w:sz w:val="20"/>
        </w:rPr>
        <w:t xml:space="preserve"> </w:t>
      </w:r>
      <w:r>
        <w:rPr>
          <w:rFonts w:ascii="Arial" w:hAnsi="Arial"/>
          <w:i/>
          <w:iCs/>
          <w:sz w:val="20"/>
        </w:rPr>
        <w:t xml:space="preserve">directional</w:t>
      </w:r>
      <w:r>
        <w:rPr>
          <w:rFonts w:ascii="Arial" w:hAnsi="Arial"/>
          <w:sz w:val="20"/>
        </w:rPr>
        <w:t xml:space="preserve"> </w:t>
      </w:r>
      <w:r>
        <w:rPr>
          <w:rFonts w:ascii="Arial" w:hAnsi="Arial"/>
          <w:sz w:val="20"/>
        </w:rPr>
        <w:t xml:space="preserve">result, not as a hypothesis test, and decline to attach a</w:t>
      </w:r>
      <w:r>
        <w:rPr>
          <w:rFonts w:ascii="Arial" w:hAnsi="Arial"/>
          <w:sz w:val="20"/>
        </w:rPr>
        <w:t xml:space="preserve"> </w:t>
      </w:r>
      <m:oMath>
        <m:r>
          <m:t>p</m:t>
        </m:r>
      </m:oMath>
      <w:r>
        <w:rPr>
          <w:rFonts w:ascii="Arial" w:hAnsi="Arial"/>
          <w:sz w:val="20"/>
        </w:rPr>
        <w:t xml:space="preserve">-value to it. The probe’s information value lies in the fact that it</w:t>
      </w:r>
      <w:r>
        <w:rPr>
          <w:rFonts w:ascii="Arial" w:hAnsi="Arial"/>
          <w:sz w:val="20"/>
        </w:rPr>
        <w:t xml:space="preserve"> </w:t>
      </w:r>
      <w:r>
        <w:rPr>
          <w:rFonts w:ascii="Arial" w:hAnsi="Arial"/>
          <w:i/>
          <w:iCs/>
          <w:sz w:val="20"/>
        </w:rPr>
        <w:t xml:space="preserve">could</w:t>
      </w:r>
      <w:r>
        <w:rPr>
          <w:rFonts w:ascii="Arial" w:hAnsi="Arial"/>
          <w:sz w:val="20"/>
        </w:rPr>
        <w:t xml:space="preserve"> </w:t>
      </w:r>
      <w:r>
        <w:rPr>
          <w:rFonts w:ascii="Arial" w:hAnsi="Arial"/>
          <w:sz w:val="20"/>
        </w:rPr>
        <w:t xml:space="preserve">have failed (a negative-residual outcome would have refuted the headline interpretation) and</w:t>
      </w:r>
      <w:r>
        <w:rPr>
          <w:rFonts w:ascii="Arial" w:hAnsi="Arial"/>
          <w:sz w:val="20"/>
        </w:rPr>
        <w:t xml:space="preserve"> </w:t>
      </w:r>
      <w:r>
        <w:rPr>
          <w:rFonts w:ascii="Arial" w:hAnsi="Arial"/>
          <w:i/>
          <w:iCs/>
          <w:sz w:val="20"/>
        </w:rPr>
        <w:t xml:space="preserve">did not</w:t>
      </w:r>
      <w:r>
        <w:rPr>
          <w:rFonts w:ascii="Arial" w:hAnsi="Arial"/>
          <w:sz w:val="20"/>
        </w:rPr>
        <w:t xml:space="preserve">.</w:t>
      </w:r>
    </w:p>
    <w:p>
      <w:pPr/>
      <w:r>
        <w:rPr>
          <w:rFonts w:ascii="Arial" w:hAnsi="Arial"/>
          <w:sz w:val="20"/>
        </w:rPr>
        <w:t xml:space="preserve">These three implications are consistent with the SUTVA / no-interference assumption invoked in §3.6, with the WCR-confirmed null at the corrected-EOS cell (mechanism-specificity at a different phenometric), and with the falsifiable mechanistic prediction that the saline-surge correction does not transfer to non-Kharif post-monsoon events that lack a transplanting-window confound.</w:t>
      </w:r>
    </w:p>
    <w:bookmarkEnd w:id="24"/>
    <w:bookmarkStart w:id="25" w:name="s1.5-limitations"/>
    <w:p>
      <w:pPr>
        <w:pStyle w:val="Heading2"/>
      </w:pPr>
      <w:r>
        <w:rPr>
          <w:rFonts w:ascii="Arial" w:hAnsi="Arial"/>
        </w:rPr>
        <w:t xml:space="preserve">S1.5 Limitations</w:t>
      </w:r>
    </w:p>
    <w:p>
      <w:pPr/>
      <w:r>
        <w:rPr>
          <w:rFonts w:ascii="Arial" w:hAnsi="Arial"/>
          <w:sz w:val="20"/>
        </w:rPr>
        <w:t xml:space="preserve">Five caveats accompany this transferability probe, four declared at pre-registration and one identified during the v1.0.1-submission analysis (limitation 4):</w:t>
      </w:r>
    </w:p>
    <w:p>
      <w:pPr>
        <w:pStyle w:val="BodyText"/>
      </w:pPr>
      <w:r>
        <w:rPr>
          <w:rFonts w:ascii="Arial" w:hAnsi="Arial"/>
          <w:b/>
          <w:bCs/>
          <w:sz w:val="20"/>
        </w:rPr>
        <w:t>Six is small. Six probe districts are not enough to reject a generic-mask alternative formally; we report the result as a directional probe, not as a hypothesis test. The mean-residual point estimate (r̄ = +6.56 d) is the headline summary; we do not attach a p-value to it.</w:t>
      </w:r>
    </w:p>
    <w:p>
      <w:pPr>
        <w:pStyle w:val="BodyText"/>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BodyText"/>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BodyText"/>
      </w:pPr>
      <w:r>
        <w:rPr>
          <w:rFonts w:ascii="Arial" w:hAnsi="Arial"/>
          <w:b/>
          <w:bCs/>
          <w:sz w:val="20"/>
        </w:rPr>
        <w:t xml:space="preserve">Two probe districts are forest-dominated at the AOI scale.</w:t>
      </w:r>
      <w:r>
        <w:rPr>
          <w:rFonts w:ascii="Arial" w:hAnsi="Arial"/>
          <w:sz w:val="20"/>
        </w:rPr>
        <w:t xml:space="preserve"> </w:t>
      </w:r>
      <w:r>
        <w:rPr>
          <w:rFonts w:ascii="Arial" w:hAnsi="Arial"/>
          <w:sz w:val="20"/>
        </w:rPr>
        <w:t xml:space="preserve">Mayurbhanj (Similipal Biosphere Reserve) and Kandhamal (Eastern Ghats forest) have April-baseline NDVI ≥ 0.41 and lack a discernible pre-Kharif rise at the 5 km centroid-buffer AOI used here. They are retained in Table S3 with an explicit</w:t>
      </w:r>
      <w:r>
        <w:rPr>
          <w:rFonts w:ascii="Arial" w:hAnsi="Arial"/>
          <w:sz w:val="20"/>
        </w:rPr>
        <w:t xml:space="preserve"> </w:t>
      </w:r>
      <w:r>
        <w:rPr>
          <w:rFonts w:ascii="Arial" w:hAnsi="Arial"/>
          <w:sz w:val="20"/>
        </w:rPr>
        <w:t xml:space="preserve">forest_dominated_AOI</w:t>
      </w:r>
      <w:r>
        <w:rPr>
          <w:rFonts w:ascii="Arial" w:hAnsi="Arial"/>
          <w:sz w:val="20"/>
        </w:rPr>
        <w:t xml:space="preserve"> </w:t>
      </w:r>
      <w:r>
        <w:rPr>
          <w:rFonts w:ascii="Arial" w:hAnsi="Arial"/>
          <w:sz w:val="20"/>
        </w:rPr>
        <w:t xml:space="preserve">exclusion flag but excluded from the headline residual summary. A future extension targeting paddy-pixel cropland-masked AOIs (rather than centroid buffers) is the natural next step.</w:t>
      </w:r>
    </w:p>
    <w:p>
      <w:pPr>
        <w:pStyle w:val="BodyText"/>
      </w:pPr>
      <w:r>
        <w:rPr>
          <w:rFonts w:ascii="Arial" w:hAnsi="Arial"/>
          <w:b/>
          <w:bCs/>
          <w:sz w:val="20"/>
        </w:rPr>
        <w:t xml:space="preserve">AOI is a centroid buffer, not a paddy mask.</w:t>
      </w:r>
      <w:r>
        <w:rPr>
          <w:rFonts w:ascii="Arial" w:hAnsi="Arial"/>
          <w:sz w:val="20"/>
        </w:rPr>
        <w:t xml:space="preserve"> </w:t>
      </w:r>
      <w:r>
        <w:rPr>
          <w:rFonts w:ascii="Arial" w:hAnsi="Arial"/>
          <w:sz w:val="20"/>
        </w:rPr>
        <w:t xml:space="preserve">The 5 km centroid AOI is a compromise between download time and paddy coverage; a more granular implementation would intersect the AOI with the JRC permanent-water mask and the IRRI-MIRCA2000 paddy-cropping fraction layer to retain only paddy-eligible pixels. The four paddy-dominant probe districts pass the April-baseline screen by visual inspection of their NDVI time series, but a formal paddy-pixel-share metric is left for a versioned update of this Note.</w:t>
      </w:r>
    </w:p>
    <w:p>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BodyText"/>
      </w:pPr>
      <w:r>
        <w:rPr>
          <w:rFonts w:ascii="Arial" w:hAnsi="Arial"/>
          <w:sz w:val="20"/>
        </w:rPr>
        <w:t xml:space="preserve">Original pre-registration (</w:t>
      </w:r>
      <w:hyperlink r:id="rId20">
        <w:r>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BodyText"/>
      </w:pPr>
    </w:p>
    <w:bookmarkEnd w:id="26"/>
    <w:bookmarkStart w:id="30" w:name="references"/>
    <w:p>
      <w:pPr>
        <w:pStyle w:val="Heading2"/>
      </w:pPr>
      <w:r>
        <w:rPr>
          <w:rFonts w:ascii="Arial" w:hAnsi="Arial"/>
        </w:rPr>
        <w:t xml:space="preserve">References</w:t>
      </w:r>
    </w:p>
    <w:p>
      <w:pPr>
        <w:pStyle w:val="BodyText"/>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t xml:space="preserve">doi:10.1257/jep.31.2.3</w:t>
        </w:r>
      </w:hyperlink>
    </w:p>
    <w:p>
      <w:pPr>
        <w:pStyle w:val="BodyText"/>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t xml:space="preserve">rsmcnewdelhi.imd.gov.in</w:t>
        </w:r>
      </w:hyperlink>
    </w:p>
    <w:p>
      <w:pPr>
        <w:pStyle w:val="BodyText"/>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t xml:space="preserve">doi:10.1175/2009BAMS2755.1</w:t>
        </w:r>
      </w:hyperlink>
    </w:p>
    <w:bookmarkEnd w:id="30"/>
    <w:bookmarkEnd w:id="31"/>
    <w:p>
      <w:r>
        <w:rPr>
          <w:rFonts w:ascii="Arial" w:hAnsi="Arial"/>
          <w:sz w:val="20"/>
        </w:rPr>
        <w:br w:type="page"/>
      </w:r>
    </w:p>
    <w:p>
      <w:pPr>
        <w:keepNext/>
        <w:spacing w:before="240" w:after="120"/>
      </w:pPr>
      <w:bookmarkStart w:id="65301" w:name="note_s2"/>
      <w:r>
        <w:rPr>
          <w:rFonts w:ascii="Arial" w:hAnsi="Arial"/>
          <w:b/>
          <w:color w:val="1F3A5F"/>
          <w:sz w:val="32"/>
        </w:rPr>
        <w:t>Note S2 — Pre-Kharif Bay-of-Bengal cyclone climatology</w:t>
      </w:r>
      <w:bookmarkEnd w:id="65301"/>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r>
        <w:rPr>
          <w:rFonts w:ascii="Arial" w:hAnsi="Arial"/>
          <w:sz w:val="20"/>
        </w:rPr>
        <w:t>The TWFE-DiD specification in §3.6 identifies the cyclone-impact coefficient τ̂ 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BodyText"/>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BodyText"/>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BodyText"/>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r>
        <w:rPr>
          <w:rFonts w:ascii="Arial" w:hAnsi="Arial"/>
          <w:sz w:val="20"/>
        </w:rPr>
        <w:t xml:space="preserve">The reference distribution is constructed from IBTrACS v04r01 (North Indian basin) restricted to:</w:t>
      </w:r>
    </w:p>
    <w:p>
      <w:pPr>
        <w:pStyle w:val="BodyText"/>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BodyText"/>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BodyText"/>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BodyText"/>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Grid"/>
        <w:tblW w:type="dxa" w:w="9072"/>
        <w:jc w:val="left"/>
        <w:tblLook w:firstRow="1" w:lastRow="0" w:firstColumn="0" w:lastColumn="0" w:noHBand="0" w:noVBand="0" w:val="0020"/>
        <w:tblLayout w:type="autofit"/>
      </w:tblPr>
      <w:tblGrid>
        <w:gridCol w:w="1134"/>
        <w:gridCol w:w="1134"/>
        <w:gridCol w:w="1134"/>
        <w:gridCol w:w="1134"/>
        <w:gridCol w:w="1134"/>
        <w:gridCol w:w="1134"/>
        <w:gridCol w:w="1134"/>
        <w:gridCol w:w="1134"/>
      </w:tblGrid>
      <w:tr>
        <w:trPr>
          <w:tblHeader w:val="on"/>
        </w:trPr>
        <w:tc>
          <w:tcPr>
            <w:tcW w:type="dxa" w:w="1134"/>
          </w:tcPr>
          <w:p>
            <w:pPr>
              <w:pStyle w:val="BodyText"/>
              <w:jc w:val="left"/>
            </w:pPr>
            <w:r>
              <w:rPr>
                <w:rFonts w:ascii="Arial" w:hAnsi="Arial"/>
                <w:sz w:val="18"/>
              </w:rPr>
              <w:t xml:space="preserve">Metric</w:t>
            </w:r>
          </w:p>
        </w:tc>
        <w:tc>
          <w:tcPr>
            <w:tcW w:type="dxa" w:w="1134"/>
          </w:tcPr>
          <w:p>
            <w:pPr>
              <w:pStyle w:val="BodyText"/>
              <w:jc w:val="right"/>
            </w:pPr>
            <w:r>
              <w:rPr>
                <w:rFonts w:ascii="Arial" w:hAnsi="Arial"/>
                <w:sz w:val="18"/>
              </w:rPr>
              <w:t xml:space="preserve">p10</w:t>
            </w:r>
          </w:p>
        </w:tc>
        <w:tc>
          <w:tcPr>
            <w:tcW w:type="dxa" w:w="1134"/>
          </w:tcPr>
          <w:p>
            <w:pPr>
              <w:pStyle w:val="BodyText"/>
              <w:jc w:val="right"/>
            </w:pPr>
            <w:r>
              <w:rPr>
                <w:rFonts w:ascii="Arial" w:hAnsi="Arial"/>
                <w:sz w:val="18"/>
              </w:rPr>
              <w:t xml:space="preserve">p25</w:t>
            </w:r>
          </w:p>
        </w:tc>
        <w:tc>
          <w:tcPr>
            <w:tcW w:type="dxa" w:w="1134"/>
          </w:tcPr>
          <w:p>
            <w:pPr>
              <w:pStyle w:val="BodyText"/>
              <w:jc w:val="right"/>
            </w:pPr>
            <w:r>
              <w:rPr>
                <w:rFonts w:ascii="Arial" w:hAnsi="Arial"/>
                <w:sz w:val="18"/>
              </w:rPr>
              <w:t xml:space="preserve">p50</w:t>
            </w:r>
          </w:p>
        </w:tc>
        <w:tc>
          <w:tcPr>
            <w:tcW w:type="dxa" w:w="1134"/>
          </w:tcPr>
          <w:p>
            <w:pPr>
              <w:pStyle w:val="BodyText"/>
              <w:jc w:val="right"/>
            </w:pPr>
            <w:r>
              <w:rPr>
                <w:rFonts w:ascii="Arial" w:hAnsi="Arial"/>
                <w:sz w:val="18"/>
              </w:rPr>
              <w:t xml:space="preserve">p75</w:t>
            </w:r>
          </w:p>
        </w:tc>
        <w:tc>
          <w:tcPr>
            <w:tcW w:type="dxa" w:w="1134"/>
          </w:tcPr>
          <w:p>
            <w:pPr>
              <w:pStyle w:val="BodyText"/>
              <w:jc w:val="right"/>
            </w:pPr>
            <w:r>
              <w:rPr>
                <w:rFonts w:ascii="Arial" w:hAnsi="Arial"/>
                <w:sz w:val="18"/>
              </w:rPr>
              <w:t xml:space="preserve">p90</w:t>
            </w:r>
          </w:p>
        </w:tc>
        <w:tc>
          <w:tcPr>
            <w:tcW w:type="dxa" w:w="1134"/>
          </w:tcPr>
          <w:p>
            <w:pPr>
              <w:pStyle w:val="BodyText"/>
              <w:jc w:val="right"/>
            </w:pPr>
            <w:r>
              <w:rPr>
                <w:rFonts w:ascii="Arial" w:hAnsi="Arial"/>
                <w:sz w:val="18"/>
              </w:rPr>
              <w:t xml:space="preserve">p95</w:t>
            </w:r>
          </w:p>
        </w:tc>
        <w:tc>
          <w:tcPr>
            <w:tcW w:type="dxa" w:w="1134"/>
          </w:tcPr>
          <w:p>
            <w:pPr>
              <w:pStyle w:val="BodyText"/>
              <w:jc w:val="right"/>
            </w:pPr>
            <w:r>
              <w:rPr>
                <w:rFonts w:ascii="Arial" w:hAnsi="Arial"/>
                <w:sz w:val="18"/>
              </w:rPr>
              <w:t xml:space="preserve">Extreme</w:t>
            </w:r>
          </w:p>
        </w:tc>
      </w:tr>
      <w:tr>
        <w:tc>
          <w:tcPr>
            <w:tcW w:type="dxa" w:w="1134"/>
          </w:tcPr>
          <w:p>
            <w:pPr>
              <w:pStyle w:val="BodyText"/>
              <w:jc w:val="left"/>
            </w:pPr>
            <w:r>
              <w:rPr>
                <w:rFonts w:ascii="Arial" w:hAnsi="Arial"/>
                <w:sz w:val="18"/>
              </w:rPr>
              <w:t xml:space="preserve">Vmax (kt)</w:t>
            </w:r>
          </w:p>
        </w:tc>
        <w:tc>
          <w:tcPr>
            <w:tcW w:type="dxa" w:w="1134"/>
          </w:tcPr>
          <w:p>
            <w:pPr>
              <w:pStyle w:val="BodyText"/>
              <w:jc w:val="right"/>
            </w:pPr>
            <w:r>
              <w:rPr>
                <w:rFonts w:ascii="Arial" w:hAnsi="Arial"/>
                <w:sz w:val="18"/>
              </w:rPr>
              <w:t xml:space="preserve">35</w:t>
            </w:r>
          </w:p>
        </w:tc>
        <w:tc>
          <w:tcPr>
            <w:tcW w:type="dxa" w:w="1134"/>
          </w:tcPr>
          <w:p>
            <w:pPr>
              <w:pStyle w:val="BodyText"/>
              <w:jc w:val="right"/>
            </w:pPr>
            <w:r>
              <w:rPr>
                <w:rFonts w:ascii="Arial" w:hAnsi="Arial"/>
                <w:sz w:val="18"/>
              </w:rPr>
              <w:t xml:space="preserve">50</w:t>
            </w:r>
          </w:p>
        </w:tc>
        <w:tc>
          <w:tcPr>
            <w:tcW w:type="dxa" w:w="1134"/>
          </w:tcPr>
          <w:p>
            <w:pPr>
              <w:pStyle w:val="BodyText"/>
              <w:jc w:val="right"/>
            </w:pPr>
            <w:r>
              <w:rPr>
                <w:rFonts w:ascii="Arial" w:hAnsi="Arial"/>
                <w:sz w:val="18"/>
              </w:rPr>
              <w:t xml:space="preserve">65</w:t>
            </w:r>
          </w:p>
        </w:tc>
        <w:tc>
          <w:tcPr>
            <w:tcW w:type="dxa" w:w="1134"/>
          </w:tcPr>
          <w:p>
            <w:pPr>
              <w:pStyle w:val="BodyText"/>
              <w:jc w:val="right"/>
            </w:pPr>
            <w:r>
              <w:rPr>
                <w:rFonts w:ascii="Arial" w:hAnsi="Arial"/>
                <w:sz w:val="18"/>
              </w:rPr>
              <w:t xml:space="preserve">90</w:t>
            </w:r>
          </w:p>
        </w:tc>
        <w:tc>
          <w:tcPr>
            <w:tcW w:type="dxa" w:w="1134"/>
          </w:tcPr>
          <w:p>
            <w:pPr>
              <w:pStyle w:val="BodyText"/>
              <w:jc w:val="right"/>
            </w:pPr>
            <w:r>
              <w:rPr>
                <w:rFonts w:ascii="Arial" w:hAnsi="Arial"/>
                <w:sz w:val="18"/>
              </w:rPr>
              <w:t xml:space="preserve">115</w:t>
            </w:r>
          </w:p>
        </w:tc>
        <w:tc>
          <w:tcPr>
            <w:tcW w:type="dxa" w:w="1134"/>
          </w:tcPr>
          <w:p>
            <w:pPr>
              <w:pStyle w:val="BodyText"/>
              <w:jc w:val="right"/>
            </w:pPr>
            <w:r>
              <w:rPr>
                <w:rFonts w:ascii="Arial" w:hAnsi="Arial"/>
                <w:sz w:val="18"/>
              </w:rPr>
              <w:t xml:space="preserve">130</w:t>
            </w:r>
          </w:p>
        </w:tc>
        <w:tc>
          <w:tcPr>
            <w:tcW w:type="dxa" w:w="1134"/>
          </w:tcPr>
          <w:p>
            <w:pPr>
              <w:pStyle w:val="BodyText"/>
              <w:jc w:val="right"/>
            </w:pPr>
            <w:r>
              <w:rPr>
                <w:rFonts w:ascii="Arial" w:hAnsi="Arial"/>
                <w:sz w:val="18"/>
              </w:rPr>
              <w:t xml:space="preserve">140 (1999)</w:t>
            </w:r>
          </w:p>
        </w:tc>
      </w:tr>
      <w:tr>
        <w:tc>
          <w:tcPr>
            <w:tcW w:type="dxa" w:w="1134"/>
          </w:tcPr>
          <w:p>
            <w:pPr>
              <w:pStyle w:val="BodyText"/>
              <w:jc w:val="left"/>
            </w:pPr>
            <w:r>
              <w:rPr>
                <w:rFonts w:ascii="Arial" w:hAnsi="Arial"/>
                <w:sz w:val="18"/>
              </w:rPr>
              <w:t xml:space="preserve">Pmin (hPa)</w:t>
            </w:r>
          </w:p>
        </w:tc>
        <w:tc>
          <w:tcPr>
            <w:tcW w:type="dxa" w:w="1134"/>
          </w:tcPr>
          <w:p>
            <w:pPr>
              <w:pStyle w:val="BodyText"/>
              <w:jc w:val="right"/>
            </w:pPr>
            <w:r>
              <w:rPr>
                <w:rFonts w:ascii="Arial" w:hAnsi="Arial"/>
                <w:sz w:val="18"/>
              </w:rPr>
              <w:t xml:space="preserve">992</w:t>
            </w:r>
          </w:p>
        </w:tc>
        <w:tc>
          <w:tcPr>
            <w:tcW w:type="dxa" w:w="1134"/>
          </w:tcPr>
          <w:p>
            <w:pPr>
              <w:pStyle w:val="BodyText"/>
              <w:jc w:val="right"/>
            </w:pPr>
            <w:r>
              <w:rPr>
                <w:rFonts w:ascii="Arial" w:hAnsi="Arial"/>
                <w:sz w:val="18"/>
              </w:rPr>
              <w:t xml:space="preserve">985</w:t>
            </w:r>
          </w:p>
        </w:tc>
        <w:tc>
          <w:tcPr>
            <w:tcW w:type="dxa" w:w="1134"/>
          </w:tcPr>
          <w:p>
            <w:pPr>
              <w:pStyle w:val="BodyText"/>
              <w:jc w:val="right"/>
            </w:pPr>
            <w:r>
              <w:rPr>
                <w:rFonts w:ascii="Arial" w:hAnsi="Arial"/>
                <w:sz w:val="18"/>
              </w:rPr>
              <w:t xml:space="preserve">975</w:t>
            </w:r>
          </w:p>
        </w:tc>
        <w:tc>
          <w:tcPr>
            <w:tcW w:type="dxa" w:w="1134"/>
          </w:tcPr>
          <w:p>
            <w:pPr>
              <w:pStyle w:val="BodyText"/>
              <w:jc w:val="right"/>
            </w:pPr>
            <w:r>
              <w:rPr>
                <w:rFonts w:ascii="Arial" w:hAnsi="Arial"/>
                <w:sz w:val="18"/>
              </w:rPr>
              <w:t xml:space="preserve">955</w:t>
            </w:r>
          </w:p>
        </w:tc>
        <w:tc>
          <w:tcPr>
            <w:tcW w:type="dxa" w:w="1134"/>
          </w:tcPr>
          <w:p>
            <w:pPr>
              <w:pStyle w:val="BodyText"/>
              <w:jc w:val="right"/>
            </w:pPr>
            <w:r>
              <w:rPr>
                <w:rFonts w:ascii="Arial" w:hAnsi="Arial"/>
                <w:sz w:val="18"/>
              </w:rPr>
              <w:t xml:space="preserve">935</w:t>
            </w:r>
          </w:p>
        </w:tc>
        <w:tc>
          <w:tcPr>
            <w:tcW w:type="dxa" w:w="1134"/>
          </w:tcPr>
          <w:p>
            <w:pPr>
              <w:pStyle w:val="BodyText"/>
              <w:jc w:val="right"/>
            </w:pPr>
            <w:r>
              <w:rPr>
                <w:rFonts w:ascii="Arial" w:hAnsi="Arial"/>
                <w:sz w:val="18"/>
              </w:rPr>
              <w:t xml:space="preserve">925</w:t>
            </w:r>
          </w:p>
        </w:tc>
        <w:tc>
          <w:tcPr>
            <w:tcW w:type="dxa" w:w="1134"/>
          </w:tcPr>
          <w:p>
            <w:pPr>
              <w:pStyle w:val="BodyText"/>
              <w:jc w:val="right"/>
            </w:pPr>
            <w:r>
              <w:rPr>
                <w:rFonts w:ascii="Arial" w:hAnsi="Arial"/>
                <w:sz w:val="18"/>
              </w:rPr>
              <w:t xml:space="preserve">912 (1999)</w:t>
            </w:r>
          </w:p>
        </w:tc>
      </w:tr>
      <w:tr>
        <w:tc>
          <w:tcPr>
            <w:tcW w:type="dxa" w:w="1134"/>
          </w:tcPr>
          <w:p>
            <w:pPr>
              <w:pStyle w:val="BodyText"/>
              <w:jc w:val="left"/>
            </w:pPr>
            <w:r>
              <w:rPr>
                <w:rFonts w:ascii="Arial" w:hAnsi="Arial"/>
                <w:sz w:val="18"/>
              </w:rPr>
              <w:t xml:space="preserve">Surge (m)</w:t>
            </w:r>
          </w:p>
        </w:tc>
        <w:tc>
          <w:tcPr>
            <w:tcW w:type="dxa" w:w="1134"/>
          </w:tcPr>
          <w:p>
            <w:pPr>
              <w:pStyle w:val="BodyText"/>
              <w:jc w:val="right"/>
            </w:pPr>
            <w:r>
              <w:rPr>
                <w:rFonts w:ascii="Arial" w:hAnsi="Arial"/>
                <w:sz w:val="18"/>
              </w:rPr>
              <w:t xml:space="preserve">—</w:t>
            </w:r>
          </w:p>
        </w:tc>
        <w:tc>
          <w:tcPr>
            <w:tcW w:type="dxa" w:w="1134"/>
          </w:tcPr>
          <w:p>
            <w:pPr>
              <w:pStyle w:val="BodyText"/>
              <w:jc w:val="right"/>
            </w:pPr>
            <w:r>
              <w:rPr>
                <w:rFonts w:ascii="Arial" w:hAnsi="Arial"/>
                <w:sz w:val="18"/>
              </w:rPr>
              <w:t xml:space="preserve">—</w:t>
            </w:r>
          </w:p>
        </w:tc>
        <w:tc>
          <w:tcPr>
            <w:tcW w:type="dxa" w:w="1134"/>
          </w:tcPr>
          <w:p>
            <w:pPr>
              <w:pStyle w:val="BodyText"/>
              <w:jc w:val="right"/>
            </w:pPr>
            <w:r>
              <w:rPr>
                <w:rFonts w:ascii="Arial" w:hAnsi="Arial"/>
                <w:sz w:val="18"/>
              </w:rPr>
              <w:t xml:space="preserve">1.2</w:t>
            </w:r>
          </w:p>
        </w:tc>
        <w:tc>
          <w:tcPr>
            <w:tcW w:type="dxa" w:w="1134"/>
          </w:tcPr>
          <w:p>
            <w:pPr>
              <w:pStyle w:val="BodyText"/>
              <w:jc w:val="right"/>
            </w:pPr>
            <w:r>
              <w:rPr>
                <w:rFonts w:ascii="Arial" w:hAnsi="Arial"/>
                <w:sz w:val="18"/>
              </w:rPr>
              <w:t xml:space="preserve">2.5</w:t>
            </w:r>
          </w:p>
        </w:tc>
        <w:tc>
          <w:tcPr>
            <w:tcW w:type="dxa" w:w="1134"/>
          </w:tcPr>
          <w:p>
            <w:pPr>
              <w:pStyle w:val="BodyText"/>
              <w:jc w:val="right"/>
            </w:pPr>
            <w:r>
              <w:rPr>
                <w:rFonts w:ascii="Arial" w:hAnsi="Arial"/>
                <w:sz w:val="18"/>
              </w:rPr>
              <w:t xml:space="preserve">4.2</w:t>
            </w:r>
          </w:p>
        </w:tc>
        <w:tc>
          <w:tcPr>
            <w:tcW w:type="dxa" w:w="1134"/>
          </w:tcPr>
          <w:p>
            <w:pPr>
              <w:pStyle w:val="BodyText"/>
              <w:jc w:val="right"/>
            </w:pPr>
            <w:r>
              <w:rPr>
                <w:rFonts w:ascii="Arial" w:hAnsi="Arial"/>
                <w:sz w:val="18"/>
              </w:rPr>
              <w:t xml:space="preserve">5.5</w:t>
            </w:r>
          </w:p>
        </w:tc>
        <w:tc>
          <w:tcPr>
            <w:tcW w:type="dxa" w:w="1134"/>
          </w:tcPr>
          <w:p>
            <w:pPr>
              <w:pStyle w:val="BodyText"/>
              <w:jc w:val="right"/>
            </w:pPr>
            <w:r>
              <w:rPr>
                <w:rFonts w:ascii="Arial" w:hAnsi="Arial"/>
                <w:sz w:val="18"/>
              </w:rPr>
              <w:t xml:space="preserve">7.0 (1999)</w:t>
            </w:r>
          </w:p>
        </w:tc>
      </w:tr>
      <w:tr>
        <w:tc>
          <w:tcPr>
            <w:tcW w:type="dxa" w:w="1134"/>
          </w:tcPr>
          <w:p>
            <w:pPr>
              <w:pStyle w:val="BodyText"/>
              <w:jc w:val="left"/>
            </w:pPr>
            <w:r>
              <w:rPr>
                <w:rFonts w:ascii="Arial" w:hAnsi="Arial"/>
                <w:sz w:val="18"/>
              </w:rPr>
              <w:t xml:space="preserve">Landfall DOY</w:t>
            </w:r>
          </w:p>
        </w:tc>
        <w:tc>
          <w:tcPr>
            <w:tcW w:type="dxa" w:w="1134"/>
          </w:tcPr>
          <w:p>
            <w:pPr>
              <w:pStyle w:val="BodyText"/>
              <w:jc w:val="right"/>
            </w:pPr>
            <w:r>
              <w:rPr>
                <w:rFonts w:ascii="Arial" w:hAnsi="Arial"/>
                <w:sz w:val="18"/>
              </w:rPr>
              <w:t xml:space="preserve">105</w:t>
            </w:r>
          </w:p>
        </w:tc>
        <w:tc>
          <w:tcPr>
            <w:tcW w:type="dxa" w:w="1134"/>
          </w:tcPr>
          <w:p>
            <w:pPr>
              <w:pStyle w:val="BodyText"/>
              <w:jc w:val="right"/>
            </w:pPr>
            <w:r>
              <w:rPr>
                <w:rFonts w:ascii="Arial" w:hAnsi="Arial"/>
                <w:sz w:val="18"/>
              </w:rPr>
              <w:t xml:space="preserve">122</w:t>
            </w:r>
          </w:p>
        </w:tc>
        <w:tc>
          <w:tcPr>
            <w:tcW w:type="dxa" w:w="1134"/>
          </w:tcPr>
          <w:p>
            <w:pPr>
              <w:pStyle w:val="BodyText"/>
              <w:jc w:val="right"/>
            </w:pPr>
            <w:r>
              <w:rPr>
                <w:rFonts w:ascii="Arial" w:hAnsi="Arial"/>
                <w:sz w:val="18"/>
              </w:rPr>
              <w:t xml:space="preserve">138</w:t>
            </w:r>
          </w:p>
        </w:tc>
        <w:tc>
          <w:tcPr>
            <w:tcW w:type="dxa" w:w="1134"/>
          </w:tcPr>
          <w:p>
            <w:pPr>
              <w:pStyle w:val="BodyText"/>
              <w:jc w:val="right"/>
            </w:pPr>
            <w:r>
              <w:rPr>
                <w:rFonts w:ascii="Arial" w:hAnsi="Arial"/>
                <w:sz w:val="18"/>
              </w:rPr>
              <w:t xml:space="preserve">152</w:t>
            </w:r>
          </w:p>
        </w:tc>
        <w:tc>
          <w:tcPr>
            <w:tcW w:type="dxa" w:w="1134"/>
          </w:tcPr>
          <w:p>
            <w:pPr>
              <w:pStyle w:val="BodyText"/>
              <w:jc w:val="right"/>
            </w:pPr>
            <w:r>
              <w:rPr>
                <w:rFonts w:ascii="Arial" w:hAnsi="Arial"/>
                <w:sz w:val="18"/>
              </w:rPr>
              <w:t xml:space="preserve">—</w:t>
            </w:r>
          </w:p>
        </w:tc>
        <w:tc>
          <w:tcPr>
            <w:tcW w:type="dxa" w:w="1134"/>
          </w:tcPr>
          <w:p>
            <w:pPr>
              <w:pStyle w:val="BodyText"/>
              <w:jc w:val="right"/>
            </w:pPr>
            <w:r>
              <w:rPr>
                <w:rFonts w:ascii="Arial" w:hAnsi="Arial"/>
                <w:sz w:val="18"/>
              </w:rPr>
              <w:t xml:space="preserve">—</w:t>
            </w:r>
          </w:p>
        </w:tc>
        <w:tc>
          <w:tcPr>
            <w:tcW w:type="dxa" w:w="1134"/>
          </w:tcPr>
          <w:p>
            <w:pPr>
              <w:pStyle w:val="BodyTex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Peak-intensity values cited in this Note are JTWC 1-minute sustained Vmax (the basis on which the IBTrACS-derived 1981–2018 percentile distribution is constructed); IMD 3-minute sustained Vmax values appear in Table 1 of the main manuscript, where peak surge values likewise refer to the at-Odisha-coast surge rather than the peak open-water or at-landfall surge used in the climatological percentile calculation here.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(JTWC 1-min; equivalent IMD 3-min 215/185 km/h, see Table 1), Pmin = 932 hPa, peak open-water surge ≈ 1.5 m (at-Odisha-coast surge 1.0–1.5 m, Table 1),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(JTWC 1-min; lower at landfall — IMD 3-min 240 km/h at peak, 155–165 km/h at landfall, Table 1), Pmin = 925 hPa, peak surge ≈ 4.6 m at Sundarbans landfall (at-Odisha-coast surge 1.5–2.0 m, Table 1; the Odisha coast lay west of the inner-core surge maximum),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(JTWC 1-min; equivalent IMD 3-min 140 km/h sustained with 155 km/h gust, see Table 1), Pmin = 970 hPa, peak surge ≈ 2.0 m (at-Odisha-coast surge 1.0–2.0 m, Table 1),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p>
    <w:bookmarkEnd w:id="22"/>
    <w:bookmarkStart w:id="23" w:name="s2.4-independence-of-the-three-landfalls"/>
    <w:p>
      <w:pPr>
        <w:pStyle w:val="Heading2"/>
      </w:pPr>
      <w:r>
        <w:rPr>
          <w:rFonts w:ascii="Arial" w:hAnsi="Arial"/>
        </w:rPr>
        <w:t xml:space="preserve">S2.4 Independence of the three landfalls</w:t>
      </w:r>
    </w:p>
    <w:p>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BodyText"/>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BodyText"/>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BodyText"/>
      </w:pPr>
      <w:r>
        <w:rPr>
          <w:rFonts w:ascii="Arial" w:hAnsi="Arial"/>
          <w:sz w:val="20"/>
        </w:rPr>
        <w:t xml:space="preserve">Amphan: monsoon-trough remnant (mid-latitude westerly burst feeding into a recurving system), with the open-water Vmax peak set by transient extratropical interaction.</w:t>
      </w:r>
    </w:p>
    <w:p>
      <w:pPr>
        <w:pStyle w:val="BodyText"/>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BodyText"/>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BodyText"/>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BodyText"/>
      </w:pPr>
      <w:r>
        <w:rPr>
          <w:rFonts w:ascii="Arial" w:hAnsi="Arial"/>
          <w:sz w:val="20"/>
        </w:rPr>
        <w:t xml:space="preserve">All three made landfall within DOY 123 – 146 (3 May – 26 May), i.e., within the same three-week pre-Kharif transplanting window for coastal Odisha rice.</w:t>
      </w:r>
    </w:p>
    <w:p>
      <w:pPr>
        <w:pStyle w:val="BodyText"/>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BodyText"/>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BodyText"/>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BodyText"/>
      </w:pPr>
      <w:r>
        <w:rPr>
          <w:rFonts w:ascii="Arial" w:hAnsi="Arial"/>
          <w:sz w:val="20"/>
        </w:rPr>
        <w:t xml:space="preserve">The three landfalls are independent in genesis, MJO phase, and ENSO state — the effective-cluster argument underpinning §3.7.1 holds.</w:t>
      </w:r>
    </w:p>
    <w:p>
      <w:pPr>
        <w:pStyle w:val="BodyText"/>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BodyText"/>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BodyText"/>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BodyText"/>
      </w:pPr>
      <w:r>
        <w:rPr>
          <w:rFonts w:ascii="Arial" w:hAnsi="Arial"/>
          <w:b/>
          <w:bCs/>
          <w:sz w:val="20"/>
        </w:rPr>
        <w:t xml:space="preserve">Spatial-coverage caveat.</w:t>
      </w:r>
      <w:r>
        <w:rPr>
          <w:rFonts w:ascii="Arial" w:hAnsi="Arial"/>
          <w:sz w:val="20"/>
        </w:rPr>
        <w:t xml:space="preserve"> </w:t>
      </w:r>
      <w:r>
        <w:rPr>
          <w:rFonts w:ascii="Arial" w:hAnsi="Arial"/>
          <w:sz w:val="20"/>
        </w:rPr>
        <w:t xml:space="preserve">Figure S1A uses Natural Earth 1:50 m coastline and political boundary vectors (Public Domain, naturalearthdata.com) as the basemap. The 1981–2018 climatological points in both panels are the</w:t>
      </w:r>
      <w:r>
        <w:rPr>
          <w:rFonts w:ascii="Arial" w:hAnsi="Arial"/>
          <w:sz w:val="20"/>
        </w:rPr>
        <w:t xml:space="preserve"> </w:t>
      </w:r>
      <w:r>
        <w:rPr>
          <w:rFonts w:ascii="Arial" w:hAnsi="Arial"/>
          <w:b/>
          <w:bCs/>
          <w:sz w:val="20"/>
        </w:rPr>
        <w:t xml:space="preserve">real</w:t>
      </w:r>
      <w:r>
        <w:rPr>
          <w:rFonts w:ascii="Arial" w:hAnsi="Arial"/>
          <w:sz w:val="20"/>
        </w:rPr>
        <w:t xml:space="preserve"> </w:t>
      </w:r>
      <w:r>
        <w:rPr>
          <w:rFonts w:ascii="Arial" w:hAnsi="Arial"/>
          <w:sz w:val="20"/>
        </w:rPr>
        <w:t xml:space="preserve">IBTrACS NI v04r01 (Knapp et al. 2010) landfall positions for named systems whose tracks crossed the Odisha / West Bengal / Bangladesh coast (LON 83–93 °E, LAT 17.5–23.5 °N) at DIST2LAND ≤ 20 km during DOY 105–166, extracted by</w:t>
      </w:r>
      <w:r>
        <w:rPr>
          <w:rFonts w:ascii="Arial" w:hAnsi="Arial"/>
          <w:sz w:val="20"/>
        </w:rPr>
        <w:t xml:space="preserve"> </w:t>
      </w:r>
      <w:r>
        <w:rPr>
          <w:rFonts w:ascii="Arial" w:hAnsi="Arial"/>
          <w:sz w:val="20"/>
        </w:rPr>
        <w:t xml:space="preserve">analysis/11b_ibtracs_landfalls.py</w:t>
      </w:r>
      <w:r>
        <w:rPr>
          <w:rFonts w:ascii="Arial" w:hAnsi="Arial"/>
          <w:sz w:val="20"/>
        </w:rPr>
        <w:t xml:space="preserve"> </w:t>
      </w:r>
      <w:r>
        <w:rPr>
          <w:rFonts w:ascii="Arial" w:hAnsi="Arial"/>
          <w:sz w:val="20"/>
        </w:rPr>
        <w:t xml:space="preserve">and frozen at</w:t>
      </w:r>
      <w:r>
        <w:rPr>
          <w:rFonts w:ascii="Arial" w:hAnsi="Arial"/>
          <w:sz w:val="20"/>
        </w:rPr>
        <w:t xml:space="preserve"> </w:t>
      </w:r>
      <w:r>
        <w:rPr>
          <w:rFonts w:ascii="Arial" w:hAnsi="Arial"/>
          <w:sz w:val="20"/>
        </w:rPr>
        <w:t xml:space="preserve">data/ibtracs/ibtracs_NI_preKharif_landfalls_1981_2018.csv</w:t>
      </w:r>
      <w:r>
        <w:rPr>
          <w:rFonts w:ascii="Arial" w:hAnsi="Arial"/>
          <w:sz w:val="20"/>
        </w:rPr>
        <w:t xml:space="preserve">. The query returns n = 26 pre-Kharif BoB landfalling systems over the 38-year reference window, slightly higher than the n = 19 named-system count published in IMD (2020) Annex C; the difference reflects (a) the inclusion of unnamed but tracked systems in IBTrACS prior to 1990, and (b) the slightly broader basin definition used here. The quantile statistics in Table S8 use the IMD (2020) Annex C published distribution (n = 19) as the reference cohort, so Figure S1 and Table S8 are computed on</w:t>
      </w:r>
      <w:r>
        <w:rPr>
          <w:rFonts w:ascii="Arial" w:hAnsi="Arial"/>
          <w:sz w:val="20"/>
        </w:rPr>
        <w:t xml:space="preserve"> </w:t>
      </w:r>
      <w:r>
        <w:rPr>
          <w:rFonts w:ascii="Arial" w:hAnsi="Arial"/>
          <w:b/>
          <w:bCs/>
          <w:sz w:val="20"/>
        </w:rPr>
        <w:t xml:space="preserve">two distinct but both real cohorts</w:t>
      </w:r>
      <w:r>
        <w:rPr>
          <w:rFonts w:ascii="Arial" w:hAnsi="Arial"/>
          <w:sz w:val="20"/>
        </w:rPr>
        <w:t xml:space="preserve"> </w:t>
      </w:r>
      <w:r>
        <w:rPr>
          <w:rFonts w:ascii="Arial" w:hAnsi="Arial"/>
          <w:sz w:val="20"/>
        </w:rPr>
        <w:t xml:space="preserve">with explicitly different n; the qualitative percentile placement of Fani, Amphan, and Yaas is unchanged under either definition.</w:t>
      </w:r>
    </w:p>
    <w:bookmarkEnd w:id="26"/>
    <w:bookmarkStart w:id="27" w:name="s2.8-pre-registration-trail"/>
    <w:p>
      <w:pPr>
        <w:pStyle w:val="Heading2"/>
      </w:pPr>
      <w:r>
        <w:rPr>
          <w:rFonts w:ascii="Arial" w:hAnsi="Arial"/>
        </w:rPr>
        <w:t xml:space="preserve">S2.8 Pre-registration trail</w:t>
      </w:r>
    </w:p>
    <w:p>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BodyText"/>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t xml:space="preserve">doi:10.1175/2009BAMS2755.1</w:t>
        </w:r>
      </w:hyperlink>
    </w:p>
    <w:p>
      <w:pPr>
        <w:pStyle w:val="BodyText"/>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t xml:space="preserve">rsmcnewdelhi.imd.gov.in</w:t>
        </w:r>
      </w:hyperlink>
    </w:p>
    <w:bookmarkEnd w:id="30"/>
    <w:bookmarkEnd w:id="31"/>
    <w:p>
      <w:r>
        <w:rPr>
          <w:rFonts w:ascii="Arial" w:hAnsi="Arial"/>
          <w:sz w:val="20"/>
        </w:rPr>
        <w:br w:type="page"/>
      </w:r>
    </w:p>
    <w:p>
      <w:pPr>
        <w:keepNext/>
        <w:spacing w:before="240" w:after="120"/>
      </w:pPr>
      <w:bookmarkStart w:id="49677" w:name="note_s3"/>
      <w:r>
        <w:rPr>
          <w:rFonts w:ascii="Arial" w:hAnsi="Arial"/>
          <w:b/>
          <w:color w:val="1F3A5F"/>
          <w:sz w:val="32"/>
        </w:rPr>
        <w:t>Note S3 — Sentinel-1 dual-polarisation backscatter signatures</w:t>
      </w:r>
      <w:bookmarkEnd w:id="49677"/>
    </w:p>
    <w:bookmarkStart w:id="29" w:name="Xce1958d78618fb7c3de38bca5f65ef8f24e51a2"/>
    <w:p>
      <w:pPr>
        <w:pStyle w:val="Heading1"/>
      </w:pPr>
      <w:r>
        <w:rPr>
          <w:rFonts w:ascii="Arial" w:hAnsi="Arial"/>
        </w:rPr>
        <w:t xml:space="preserve">Supplementary Note S3 — Sentinel-1 dual-polarisation backscatter signatures</w:t>
      </w:r>
    </w:p>
    <w:p>
      <w:pPr/>
      <w:r>
        <w:rPr>
          <w:rFonts w:ascii="Arial" w:hAnsi="Arial"/>
          <w:b/>
          <w:bCs/>
          <w:sz w:val="20"/>
        </w:rPr>
        <w:t xml:space="preserve">Anchors.</w:t>
      </w:r>
      <w:r>
        <w:rPr>
          <w:rFonts w:ascii="Arial" w:hAnsi="Arial"/>
          <w:sz w:val="20"/>
        </w:rPr>
        <w:t xml:space="preserve"> </w:t>
      </w:r>
      <w:r>
        <w:rPr>
          <w:rFonts w:ascii="Arial" w:hAnsi="Arial"/>
          <w:sz w:val="20"/>
        </w:rPr>
        <w:t xml:space="preserve">Pre-registered as OSF c4mp8 §2.3 (feature space and gating logic).</w:t>
      </w:r>
      <w:r>
        <w:rPr>
          <w:rFonts w:ascii="Arial" w:hAnsi="Arial"/>
          <w:sz w:val="20"/>
        </w:rPr>
        <w:t xml:space="preserve"> </w:t>
      </w:r>
      <w:r>
        <w:rPr>
          <w:rFonts w:ascii="Arial" w:hAnsi="Arial"/>
          <w:sz w:val="20"/>
        </w:rPr>
        <w:t xml:space="preserve">Implementation:</w:t>
      </w:r>
      <w:r>
        <w:rPr>
          <w:rFonts w:ascii="Arial" w:hAnsi="Arial"/>
          <w:sz w:val="20"/>
        </w:rPr>
        <w:t xml:space="preserve"> </w:t>
      </w:r>
      <w:r>
        <w:rPr>
          <w:rFonts w:ascii="Arial" w:hAnsi="Arial"/>
          <w:sz w:val="20"/>
        </w:rPr>
        <w:t xml:space="preserve">analysis/18_real_s1_backscatter_signatures.py</w:t>
      </w:r>
      <w:r>
        <w:rPr>
          <w:rFonts w:ascii="Arial" w:hAnsi="Arial"/>
          <w:sz w:val="20"/>
        </w:rPr>
        <w:t xml:space="preserve"> </w:t>
      </w:r>
      <w:r>
        <w:rPr>
          <w:rFonts w:ascii="Arial" w:hAnsi="Arial"/>
          <w:sz w:val="20"/>
        </w:rPr>
        <w:t xml:space="preserve">(extraction) +</w:t>
      </w:r>
      <w:r>
        <w:rPr>
          <w:rFonts w:ascii="Arial" w:hAnsi="Arial"/>
          <w:sz w:val="20"/>
        </w:rPr>
        <w:t xml:space="preserve"> </w:t>
      </w:r>
      <w:r>
        <w:rPr>
          <w:rFonts w:ascii="Arial" w:hAnsi="Arial"/>
          <w:sz w:val="20"/>
        </w:rPr>
        <w:t xml:space="preserve">analysis/20_build_table_s9_fig_s2_real.py</w:t>
      </w:r>
      <w:r>
        <w:rPr>
          <w:rFonts w:ascii="Arial" w:hAnsi="Arial"/>
          <w:sz w:val="20"/>
        </w:rPr>
        <w:t xml:space="preserve"> </w:t>
      </w:r>
      <w:r>
        <w:rPr>
          <w:rFonts w:ascii="Arial" w:hAnsi="Arial"/>
          <w:sz w:val="20"/>
        </w:rPr>
        <w:t xml:space="preserve">(table/figure build). Real</w:t>
      </w:r>
      <w:r>
        <w:rPr>
          <w:rFonts w:ascii="Arial" w:hAnsi="Arial"/>
          <w:sz w:val="20"/>
        </w:rPr>
        <w:t xml:space="preserve"> </w:t>
      </w:r>
      <w:r>
        <w:rPr>
          <w:rFonts w:ascii="Arial" w:hAnsi="Arial"/>
          <w:sz w:val="20"/>
        </w:rPr>
        <w:t xml:space="preserve">Sentinel-1 RTC inputs from Microsoft Planetary Computer STAC, 2019. Outputs:</w:t>
      </w:r>
      <w:r>
        <w:rPr>
          <w:rFonts w:ascii="Arial" w:hAnsi="Arial"/>
          <w:sz w:val="20"/>
        </w:rPr>
        <w:t xml:space="preserve"> </w:t>
      </w:r>
      <w:r>
        <w:rPr>
          <w:rFonts w:ascii="Arial" w:hAnsi="Arial"/>
          <w:sz w:val="20"/>
        </w:rPr>
        <w:t xml:space="preserve">Table S9 (phase means and event deltas), Figure S2 (per-district VH/VV/CR</w:t>
      </w:r>
      <w:r>
        <w:rPr>
          <w:rFonts w:ascii="Arial" w:hAnsi="Arial"/>
          <w:sz w:val="20"/>
        </w:rPr>
        <w:t xml:space="preserve"> </w:t>
      </w:r>
      <w:r>
        <w:rPr>
          <w:rFonts w:ascii="Arial" w:hAnsi="Arial"/>
          <w:sz w:val="20"/>
        </w:rPr>
        <w:t xml:space="preserve">time series).</w:t>
      </w:r>
    </w:p>
    <w:bookmarkStart w:id="20" w:name="s3.1-the-discrimination-problem"/>
    <w:p>
      <w:pPr>
        <w:pStyle w:val="Heading2"/>
      </w:pPr>
      <w:r>
        <w:rPr>
          <w:rFonts w:ascii="Arial" w:hAnsi="Arial"/>
        </w:rPr>
        <w:t xml:space="preserve">S3.1 The discrimination problem</w:t>
      </w:r>
    </w:p>
    <w:p>
      <w:pPr/>
      <w:r>
        <w:rPr>
          <w:rFonts w:ascii="Arial" w:hAnsi="Arial"/>
          <w:sz w:val="20"/>
        </w:rPr>
        <w:t xml:space="preserve">The classifier in Module 02 (manuscript §3.3) must distinguish three rice</w:t>
      </w:r>
      <w:r>
        <w:rPr>
          <w:rFonts w:ascii="Arial" w:hAnsi="Arial"/>
          <w:sz w:val="20"/>
        </w:rPr>
        <w:t xml:space="preserve"> </w:t>
      </w:r>
      <w:r>
        <w:rPr>
          <w:rFonts w:ascii="Arial" w:hAnsi="Arial"/>
          <w:sz w:val="20"/>
        </w:rPr>
        <w:t xml:space="preserve">surface-water states whose visual signatures on a single Sentinel-1 scene</w:t>
      </w:r>
      <w:r>
        <w:rPr>
          <w:rFonts w:ascii="Arial" w:hAnsi="Arial"/>
          <w:sz w:val="20"/>
        </w:rPr>
        <w:t xml:space="preserve"> </w:t>
      </w:r>
      <w:r>
        <w:rPr>
          <w:rFonts w:ascii="Arial" w:hAnsi="Arial"/>
          <w:sz w:val="20"/>
        </w:rPr>
        <w:t xml:space="preserve">are confusable:</w:t>
      </w:r>
    </w:p>
    <w:p>
      <w:pPr>
        <w:pStyle w:val="BodyText"/>
      </w:pPr>
      <w:r>
        <w:rPr>
          <w:rFonts w:ascii="Arial" w:hAnsi="Arial"/>
          <w:b/>
          <w:bCs/>
          <w:sz w:val="20"/>
        </w:rPr>
        <w:t xml:space="preserve">Agronomic transplanting flood</w:t>
      </w:r>
      <w:r>
        <w:rPr>
          <w:rFonts w:ascii="Arial" w:hAnsi="Arial"/>
          <w:sz w:val="20"/>
        </w:rPr>
        <w:t xml:space="preserve"> </w:t>
      </w:r>
      <w:r>
        <w:rPr>
          <w:rFonts w:ascii="Arial" w:hAnsi="Arial"/>
          <w:sz w:val="20"/>
        </w:rPr>
        <w:t xml:space="preserve">— shallow standing freshwater under a</w:t>
      </w:r>
      <w:r>
        <w:rPr>
          <w:rFonts w:ascii="Arial" w:hAnsi="Arial"/>
          <w:sz w:val="20"/>
        </w:rPr>
        <w:t xml:space="preserve"> </w:t>
      </w:r>
      <w:r>
        <w:rPr>
          <w:rFonts w:ascii="Arial" w:hAnsi="Arial"/>
          <w:sz w:val="20"/>
        </w:rPr>
        <w:t xml:space="preserve">sparse vegetation canopy, deliberately maintained for two to four weeks</w:t>
      </w:r>
      <w:r>
        <w:rPr>
          <w:rFonts w:ascii="Arial" w:hAnsi="Arial"/>
          <w:sz w:val="20"/>
        </w:rPr>
        <w:t xml:space="preserve"> </w:t>
      </w:r>
      <w:r>
        <w:rPr>
          <w:rFonts w:ascii="Arial" w:hAnsi="Arial"/>
          <w:sz w:val="20"/>
        </w:rPr>
        <w:t xml:space="preserve">while seedlings are puddled into the bunded field.</w:t>
      </w:r>
    </w:p>
    <w:p>
      <w:pPr>
        <w:pStyle w:val="BodyText"/>
      </w:pPr>
      <w:r>
        <w:rPr>
          <w:rFonts w:ascii="Arial" w:hAnsi="Arial"/>
          <w:b/>
          <w:bCs/>
          <w:sz w:val="20"/>
        </w:rPr>
        <w:t xml:space="preserve">Cyclone storm-surge saline flood</w:t>
      </w:r>
      <w:r>
        <w:rPr>
          <w:rFonts w:ascii="Arial" w:hAnsi="Arial"/>
          <w:sz w:val="20"/>
        </w:rPr>
        <w:t xml:space="preserve"> </w:t>
      </w:r>
      <w:r>
        <w:rPr>
          <w:rFonts w:ascii="Arial" w:hAnsi="Arial"/>
          <w:sz w:val="20"/>
        </w:rPr>
        <w:t xml:space="preserve">— sea-water inundation following</w:t>
      </w:r>
      <w:r>
        <w:rPr>
          <w:rFonts w:ascii="Arial" w:hAnsi="Arial"/>
          <w:sz w:val="20"/>
        </w:rPr>
        <w:t xml:space="preserve"> </w:t>
      </w:r>
      <w:r>
        <w:rPr>
          <w:rFonts w:ascii="Arial" w:hAnsi="Arial"/>
          <w:sz w:val="20"/>
        </w:rPr>
        <w:t xml:space="preserve">landfall, lasting hours to days, often persisting in low-lying bunded</w:t>
      </w:r>
      <w:r>
        <w:rPr>
          <w:rFonts w:ascii="Arial" w:hAnsi="Arial"/>
          <w:sz w:val="20"/>
        </w:rPr>
        <w:t xml:space="preserve"> </w:t>
      </w:r>
      <w:r>
        <w:rPr>
          <w:rFonts w:ascii="Arial" w:hAnsi="Arial"/>
          <w:sz w:val="20"/>
        </w:rPr>
        <w:t xml:space="preserve">paddy for one to two weeks before drainage.</w:t>
      </w:r>
    </w:p>
    <w:p>
      <w:pPr>
        <w:pStyle w:val="BodyText"/>
      </w:pPr>
      <w:r>
        <w:rPr>
          <w:rFonts w:ascii="Arial" w:hAnsi="Arial"/>
          <w:b/>
          <w:bCs/>
          <w:sz w:val="20"/>
        </w:rPr>
        <w:t xml:space="preserve">Post-monsoon freshwater rainfall pond</w:t>
      </w:r>
      <w:r>
        <w:rPr>
          <w:rFonts w:ascii="Arial" w:hAnsi="Arial"/>
          <w:sz w:val="20"/>
        </w:rPr>
        <w:t xml:space="preserve"> </w:t>
      </w:r>
      <w:r>
        <w:rPr>
          <w:rFonts w:ascii="Arial" w:hAnsi="Arial"/>
          <w:sz w:val="20"/>
        </w:rPr>
        <w:t xml:space="preserve">— closed-basin freshwater</w:t>
      </w:r>
      <w:r>
        <w:rPr>
          <w:rFonts w:ascii="Arial" w:hAnsi="Arial"/>
          <w:sz w:val="20"/>
        </w:rPr>
        <w:t xml:space="preserve"> </w:t>
      </w:r>
      <w:r>
        <w:rPr>
          <w:rFonts w:ascii="Arial" w:hAnsi="Arial"/>
          <w:sz w:val="20"/>
        </w:rPr>
        <w:t xml:space="preserve">accumulation under a senescent or harvested canopy, lasting days to</w:t>
      </w:r>
      <w:r>
        <w:rPr>
          <w:rFonts w:ascii="Arial" w:hAnsi="Arial"/>
          <w:sz w:val="20"/>
        </w:rPr>
        <w:t xml:space="preserve"> </w:t>
      </w:r>
      <w:r>
        <w:rPr>
          <w:rFonts w:ascii="Arial" w:hAnsi="Arial"/>
          <w:sz w:val="20"/>
        </w:rPr>
        <w:t xml:space="preserve">weeks (the Bulbul, 2019, rainfall-event signature).</w:t>
      </w:r>
    </w:p>
    <w:p>
      <w:pPr/>
      <w:r>
        <w:rPr>
          <w:rFonts w:ascii="Arial" w:hAnsi="Arial"/>
          <w:sz w:val="20"/>
        </w:rPr>
        <w:t xml:space="preserve">If these three states cannot be told apart on the satellite record, the</w:t>
      </w:r>
      <w:r>
        <w:rPr>
          <w:rFonts w:ascii="Arial" w:hAnsi="Arial"/>
          <w:sz w:val="20"/>
        </w:rPr>
        <w:t xml:space="preserve"> </w:t>
      </w:r>
      <w:r>
        <w:rPr>
          <w:rFonts w:ascii="Arial" w:hAnsi="Arial"/>
          <w:sz w:val="20"/>
        </w:rPr>
        <w:t xml:space="preserve">identification strategy collapses — every cyclonic-loss estimate becomes</w:t>
      </w:r>
      <w:r>
        <w:rPr>
          <w:rFonts w:ascii="Arial" w:hAnsi="Arial"/>
          <w:sz w:val="20"/>
        </w:rPr>
        <w:t xml:space="preserve"> </w:t>
      </w:r>
      <w:r>
        <w:rPr>
          <w:rFonts w:ascii="Arial" w:hAnsi="Arial"/>
          <w:sz w:val="20"/>
        </w:rPr>
        <w:t xml:space="preserve">vulnerable to confounding by routine agronomic flooding. Note S3 documents</w:t>
      </w:r>
      <w:r>
        <w:rPr>
          <w:rFonts w:ascii="Arial" w:hAnsi="Arial"/>
          <w:sz w:val="20"/>
        </w:rPr>
        <w:t xml:space="preserve"> </w:t>
      </w:r>
      <w:r>
        <w:rPr>
          <w:rFonts w:ascii="Arial" w:hAnsi="Arial"/>
          <w:sz w:val="20"/>
        </w:rPr>
        <w:t xml:space="preserve">the dual-polarisation scattering physics that drives the discriminator, the</w:t>
      </w:r>
      <w:r>
        <w:rPr>
          <w:rFonts w:ascii="Arial" w:hAnsi="Arial"/>
          <w:sz w:val="20"/>
        </w:rPr>
        <w:t xml:space="preserve"> </w:t>
      </w:r>
      <w:r>
        <w:rPr>
          <w:rFonts w:ascii="Arial" w:hAnsi="Arial"/>
          <w:sz w:val="20"/>
        </w:rPr>
        <w:t xml:space="preserve">empirical signatures recorded over the four Bulbul probe districts in 2019,</w:t>
      </w:r>
      <w:r>
        <w:rPr>
          <w:rFonts w:ascii="Arial" w:hAnsi="Arial"/>
          <w:sz w:val="20"/>
        </w:rPr>
        <w:t xml:space="preserve"> </w:t>
      </w:r>
      <w:r>
        <w:rPr>
          <w:rFonts w:ascii="Arial" w:hAnsi="Arial"/>
          <w:sz w:val="20"/>
        </w:rPr>
        <w:t xml:space="preserve">and the falsifiability conditions under which the classifier should be</w:t>
      </w:r>
      <w:r>
        <w:rPr>
          <w:rFonts w:ascii="Arial" w:hAnsi="Arial"/>
          <w:sz w:val="20"/>
        </w:rPr>
        <w:t xml:space="preserve"> </w:t>
      </w:r>
      <w:r>
        <w:rPr>
          <w:rFonts w:ascii="Arial" w:hAnsi="Arial"/>
          <w:sz w:val="20"/>
        </w:rPr>
        <w:t xml:space="preserve">rejected.</w:t>
      </w:r>
    </w:p>
    <w:bookmarkEnd w:id="20"/>
    <w:bookmarkStart w:id="21" w:name="s3.2-data-and-method"/>
    <w:p>
      <w:pPr>
        <w:pStyle w:val="Heading2"/>
      </w:pPr>
      <w:r>
        <w:rPr>
          <w:rFonts w:ascii="Arial" w:hAnsi="Arial"/>
        </w:rPr>
        <w:t xml:space="preserve">S3.2 Data and method</w:t>
      </w:r>
    </w:p>
    <w:p>
      <w:pPr/>
      <w:r>
        <w:rPr>
          <w:rFonts w:ascii="Arial" w:hAnsi="Arial"/>
          <w:b/>
          <w:bCs/>
          <w:sz w:val="20"/>
        </w:rPr>
        <w:t xml:space="preserve">Sentinel-1 RTC retrieval.</w:t>
      </w:r>
      <w:r>
        <w:rPr>
          <w:rFonts w:ascii="Arial" w:hAnsi="Arial"/>
          <w:sz w:val="20"/>
        </w:rPr>
        <w:t xml:space="preserve"> </w:t>
      </w:r>
      <w:r>
        <w:rPr>
          <w:rFonts w:ascii="Arial" w:hAnsi="Arial"/>
          <w:sz w:val="20"/>
        </w:rPr>
        <w:t xml:space="preserve">All backscatter signatures in Table S9 and</w:t>
      </w:r>
      <w:r>
        <w:rPr>
          <w:rFonts w:ascii="Arial" w:hAnsi="Arial"/>
          <w:sz w:val="20"/>
        </w:rPr>
        <w:t xml:space="preserve"> </w:t>
      </w:r>
      <w:r>
        <w:rPr>
          <w:rFonts w:ascii="Arial" w:hAnsi="Arial"/>
          <w:sz w:val="20"/>
        </w:rPr>
        <w:t xml:space="preserve">Figure S2 are extracted from the Microsoft Planetary Computer</w:t>
      </w:r>
      <w:r>
        <w:rPr>
          <w:rFonts w:ascii="Arial" w:hAnsi="Arial"/>
          <w:sz w:val="20"/>
        </w:rPr>
        <w:t xml:space="preserve"> </w:t>
      </w:r>
      <w:r>
        <w:rPr>
          <w:rFonts w:ascii="Arial" w:hAnsi="Arial"/>
          <w:sz w:val="20"/>
        </w:rPr>
        <w:t xml:space="preserve">sentinel-1-rtc</w:t>
      </w:r>
      <w:r>
        <w:rPr>
          <w:rFonts w:ascii="Arial" w:hAnsi="Arial"/>
          <w:sz w:val="20"/>
        </w:rPr>
        <w:t xml:space="preserve"> </w:t>
      </w:r>
      <w:r>
        <w:rPr>
          <w:rFonts w:ascii="Arial" w:hAnsi="Arial"/>
          <w:sz w:val="20"/>
        </w:rPr>
        <w:t xml:space="preserve">STAC collection (10 m, Interferometric Wide swath, Ground</w:t>
      </w:r>
      <w:r>
        <w:rPr>
          <w:rFonts w:ascii="Arial" w:hAnsi="Arial"/>
          <w:sz w:val="20"/>
        </w:rPr>
        <w:t xml:space="preserve"> </w:t>
      </w:r>
      <w:r>
        <w:rPr>
          <w:rFonts w:ascii="Arial" w:hAnsi="Arial"/>
          <w:sz w:val="20"/>
        </w:rPr>
        <w:t xml:space="preserve">Range Detected, dual-pol VV+VH, gamma_0 radiometric- and</w:t>
      </w:r>
      <w:r>
        <w:rPr>
          <w:rFonts w:ascii="Arial" w:hAnsi="Arial"/>
          <w:sz w:val="20"/>
        </w:rPr>
        <w:t xml:space="preserve"> </w:t>
      </w:r>
      <w:r>
        <w:rPr>
          <w:rFonts w:ascii="Arial" w:hAnsi="Arial"/>
          <w:sz w:val="20"/>
        </w:rPr>
        <w:t xml:space="preserve">terrain-corrected). Query window 2019-05-01 to 2019-12-15; coverage</w:t>
      </w:r>
      <w:r>
        <w:rPr>
          <w:rFonts w:ascii="Arial" w:hAnsi="Arial"/>
          <w:sz w:val="20"/>
        </w:rPr>
        <w:t xml:space="preserve"> </w:t>
      </w:r>
      <w:r>
        <w:rPr>
          <w:rFonts w:ascii="Arial" w:hAnsi="Arial"/>
          <w:sz w:val="20"/>
        </w:rPr>
        <w:t xml:space="preserve">spans the four paddy-dominant Bulbul probe districts (Boudh, Ganjam,</w:t>
      </w:r>
      <w:r>
        <w:rPr>
          <w:rFonts w:ascii="Arial" w:hAnsi="Arial"/>
          <w:sz w:val="20"/>
        </w:rPr>
        <w:t xml:space="preserve"> </w:t>
      </w:r>
      <w:r>
        <w:rPr>
          <w:rFonts w:ascii="Arial" w:hAnsi="Arial"/>
          <w:sz w:val="20"/>
        </w:rPr>
        <w:t xml:space="preserve">Khordha, Nayagarh) as identified in Note S1 §S1.2. Total = 85</w:t>
      </w:r>
      <w:r>
        <w:rPr>
          <w:rFonts w:ascii="Arial" w:hAnsi="Arial"/>
          <w:sz w:val="20"/>
        </w:rPr>
        <w:t xml:space="preserve"> </w:t>
      </w:r>
      <w:r>
        <w:rPr>
          <w:rFonts w:ascii="Arial" w:hAnsi="Arial"/>
          <w:sz w:val="20"/>
        </w:rPr>
        <w:t xml:space="preserve">district-dekad observations (Boudh 22, Ganjam 22, Khordha 23,</w:t>
      </w:r>
      <w:r>
        <w:rPr>
          <w:rFonts w:ascii="Arial" w:hAnsi="Arial"/>
          <w:sz w:val="20"/>
        </w:rPr>
        <w:t xml:space="preserve"> </w:t>
      </w:r>
      <w:r>
        <w:rPr>
          <w:rFonts w:ascii="Arial" w:hAnsi="Arial"/>
          <w:sz w:val="20"/>
        </w:rPr>
        <w:t xml:space="preserve">Nayagarh 18) drawn from 334 Sentinel-1 scenes.</w:t>
      </w:r>
    </w:p>
    <w:p>
      <w:pPr>
        <w:pStyle w:val="BodyText"/>
      </w:pPr>
      <w:r>
        <w:rPr>
          <w:rFonts w:ascii="Arial" w:hAnsi="Arial"/>
          <w:b/>
          <w:bCs/>
          <w:sz w:val="20"/>
        </w:rPr>
        <w:t xml:space="preserve">Aggregation.</w:t>
      </w:r>
      <w:r>
        <w:rPr>
          <w:rFonts w:ascii="Arial" w:hAnsi="Arial"/>
          <w:sz w:val="20"/>
        </w:rPr>
        <w:t xml:space="preserve"> </w:t>
      </w:r>
      <w:r>
        <w:rPr>
          <w:rFonts w:ascii="Arial" w:hAnsi="Arial"/>
          <w:sz w:val="20"/>
        </w:rPr>
        <w:t xml:space="preserve">Items are loaded with</w:t>
      </w:r>
      <w:r>
        <w:rPr>
          <w:rFonts w:ascii="Arial" w:hAnsi="Arial"/>
          <w:sz w:val="20"/>
        </w:rPr>
        <w:t xml:space="preserve"> </w:t>
      </w:r>
      <w:r>
        <w:rPr>
          <w:rFonts w:ascii="Arial" w:hAnsi="Arial"/>
          <w:sz w:val="20"/>
        </w:rPr>
        <w:t xml:space="preserve">odc.stac.load</w:t>
      </w:r>
      <w:r>
        <w:rPr>
          <w:rFonts w:ascii="Arial" w:hAnsi="Arial"/>
          <w:sz w:val="20"/>
        </w:rPr>
        <w:t xml:space="preserve"> </w:t>
      </w:r>
      <w:r>
        <w:rPr>
          <w:rFonts w:ascii="Arial" w:hAnsi="Arial"/>
          <w:sz w:val="20"/>
        </w:rPr>
        <w:t xml:space="preserve">at 100-m</w:t>
      </w:r>
      <w:r>
        <w:rPr>
          <w:rFonts w:ascii="Arial" w:hAnsi="Arial"/>
          <w:sz w:val="20"/>
        </w:rPr>
        <w:t xml:space="preserve"> </w:t>
      </w:r>
      <w:r>
        <w:rPr>
          <w:rFonts w:ascii="Arial" w:hAnsi="Arial"/>
          <w:sz w:val="20"/>
        </w:rPr>
        <w:t xml:space="preserve">resolution (sufficient for district-mean signatures; the 10 × spatial</w:t>
      </w:r>
      <w:r>
        <w:rPr>
          <w:rFonts w:ascii="Arial" w:hAnsi="Arial"/>
          <w:sz w:val="20"/>
        </w:rPr>
        <w:t xml:space="preserve"> </w:t>
      </w:r>
      <w:r>
        <w:rPr>
          <w:rFonts w:ascii="Arial" w:hAnsi="Arial"/>
          <w:sz w:val="20"/>
        </w:rPr>
        <w:t xml:space="preserve">down-sampling reduces per-scene retrieval cost by ~100× without altering</w:t>
      </w:r>
      <w:r>
        <w:rPr>
          <w:rFonts w:ascii="Arial" w:hAnsi="Arial"/>
          <w:sz w:val="20"/>
        </w:rPr>
        <w:t xml:space="preserve"> </w:t>
      </w:r>
      <w:r>
        <w:rPr>
          <w:rFonts w:ascii="Arial" w:hAnsi="Arial"/>
          <w:sz w:val="20"/>
        </w:rPr>
        <w:t xml:space="preserve">the district aggregate), reprojected to UTM N44 (EPSG:32644), masked</w:t>
      </w:r>
      <w:r>
        <w:rPr>
          <w:rFonts w:ascii="Arial" w:hAnsi="Arial"/>
          <w:sz w:val="20"/>
        </w:rPr>
        <w:t xml:space="preserve"> </w:t>
      </w:r>
      <w:r>
        <w:rPr>
          <w:rFonts w:ascii="Arial" w:hAnsi="Arial"/>
          <w:sz w:val="20"/>
        </w:rPr>
        <w:t xml:space="preserve">to GADM v4.1 L2 district polygons, and aggregated by 10-day dekad of</w:t>
      </w:r>
      <w:r>
        <w:rPr>
          <w:rFonts w:ascii="Arial" w:hAnsi="Arial"/>
          <w:sz w:val="20"/>
        </w:rPr>
        <w:t xml:space="preserve"> </w:t>
      </w:r>
      <w:r>
        <w:rPr>
          <w:rFonts w:ascii="Arial" w:hAnsi="Arial"/>
          <w:sz w:val="20"/>
        </w:rPr>
        <w:t xml:space="preserve">year (DOY-of-year ÷ 10, capped at 36).</w:t>
      </w:r>
    </w:p>
    <w:p>
      <w:pPr>
        <w:pStyle w:val="BodyText"/>
      </w:pPr>
      <w:r>
        <w:rPr>
          <w:rFonts w:ascii="Arial" w:hAnsi="Arial"/>
          <w:b/>
          <w:bCs/>
          <w:sz w:val="20"/>
        </w:rPr>
        <w:t xml:space="preserve">Statistics.</w:t>
      </w:r>
      <w:r>
        <w:rPr>
          <w:rFonts w:ascii="Arial" w:hAnsi="Arial"/>
          <w:sz w:val="20"/>
        </w:rPr>
        <w:t xml:space="preserve"> </w:t>
      </w:r>
      <w:r>
        <w:rPr>
          <w:rFonts w:ascii="Arial" w:hAnsi="Arial"/>
          <w:sz w:val="20"/>
        </w:rPr>
        <w:t xml:space="preserve">Linear gamma_0 backscatter is converted to dB</w:t>
      </w:r>
      <w:r>
        <w:rPr>
          <w:rFonts w:ascii="Arial" w:hAnsi="Arial"/>
          <w:sz w:val="20"/>
        </w:rPr>
        <w:t xml:space="preserve"> </w:t>
      </w:r>
      <w:r>
        <w:rPr>
          <w:rFonts w:ascii="Arial" w:hAnsi="Arial"/>
          <w:sz w:val="20"/>
        </w:rPr>
        <w:t xml:space="preserve">(</w:t>
      </w:r>
      <w:r>
        <w:rPr>
          <w:rFonts w:ascii="Arial" w:hAnsi="Arial"/>
          <w:sz w:val="20"/>
        </w:rPr>
        <w:t xml:space="preserve">dB = 10 · log10(linear)</w:t>
      </w:r>
      <w:r>
        <w:rPr>
          <w:rFonts w:ascii="Arial" w:hAnsi="Arial"/>
          <w:sz w:val="20"/>
        </w:rPr>
        <w:t xml:space="preserve">). The cross-ratio CR is computed in linear</w:t>
      </w:r>
      <w:r>
        <w:rPr>
          <w:rFonts w:ascii="Arial" w:hAnsi="Arial"/>
          <w:sz w:val="20"/>
        </w:rPr>
        <w:t xml:space="preserve"> </w:t>
      </w:r>
      <w:r>
        <w:rPr>
          <w:rFonts w:ascii="Arial" w:hAnsi="Arial"/>
          <w:sz w:val="20"/>
        </w:rPr>
        <w:t xml:space="preserve">units (</w:t>
      </w:r>
      <w:r>
        <w:rPr>
          <w:rFonts w:ascii="Arial" w:hAnsi="Arial"/>
          <w:sz w:val="20"/>
        </w:rPr>
        <w:t xml:space="preserve">CR = VH_linear / VV_linear</w:t>
      </w:r>
      <w:r>
        <w:rPr>
          <w:rFonts w:ascii="Arial" w:hAnsi="Arial"/>
          <w:sz w:val="20"/>
        </w:rPr>
        <w:t xml:space="preserve">) rather than as a dB difference,</w:t>
      </w:r>
      <w:r>
        <w:rPr>
          <w:rFonts w:ascii="Arial" w:hAnsi="Arial"/>
          <w:sz w:val="20"/>
        </w:rPr>
        <w:t xml:space="preserve"> </w:t>
      </w:r>
      <w:r>
        <w:rPr>
          <w:rFonts w:ascii="Arial" w:hAnsi="Arial"/>
          <w:sz w:val="20"/>
        </w:rPr>
        <w:t xml:space="preserve">following Lee &amp; Pottier (2009). Each district-dekad row in Table S9</w:t>
      </w:r>
      <w:r>
        <w:rPr>
          <w:rFonts w:ascii="Arial" w:hAnsi="Arial"/>
          <w:sz w:val="20"/>
        </w:rPr>
        <w:t xml:space="preserve"> </w:t>
      </w:r>
      <w:r>
        <w:rPr>
          <w:rFonts w:ascii="Arial" w:hAnsi="Arial"/>
          <w:sz w:val="20"/>
        </w:rPr>
        <w:t xml:space="preserve">is the spatial mean over the masked district polygon of the temporal</w:t>
      </w:r>
      <w:r>
        <w:rPr>
          <w:rFonts w:ascii="Arial" w:hAnsi="Arial"/>
          <w:sz w:val="20"/>
        </w:rPr>
        <w:t xml:space="preserve"> </w:t>
      </w:r>
      <w:r>
        <w:rPr>
          <w:rFonts w:ascii="Arial" w:hAnsi="Arial"/>
          <w:sz w:val="20"/>
        </w:rPr>
        <w:t xml:space="preserve">mean over the dekad’s pre-aggregated solar-day scenes.</w:t>
      </w:r>
    </w:p>
    <w:p>
      <w:pPr>
        <w:pStyle w:val="BodyText"/>
      </w:pPr>
      <w:r>
        <w:rPr>
          <w:rFonts w:ascii="Arial" w:hAnsi="Arial"/>
          <w:b/>
          <w:bCs/>
          <w:sz w:val="20"/>
        </w:rPr>
        <w:t xml:space="preserve">Phase definitions</w:t>
      </w:r>
      <w:r>
        <w:rPr>
          <w:rFonts w:ascii="Arial" w:hAnsi="Arial"/>
          <w:sz w:val="20"/>
        </w:rPr>
        <w:t xml:space="preserve"> </w:t>
      </w:r>
      <w:r>
        <w:rPr>
          <w:rFonts w:ascii="Arial" w:hAnsi="Arial"/>
          <w:sz w:val="20"/>
        </w:rPr>
        <w:t xml:space="preserve">(anchored to the Odisha 2019 Kharif calendar):</w:t>
      </w:r>
    </w:p>
    <w:tbl>
      <w:tblPr>
        <w:tblStyle w:val="TableGrid"/>
        <w:tblW w:type="dxa" w:w="9072"/>
        <w:jc w:val="left"/>
        <w:tblLook w:firstRow="1" w:lastRow="0" w:firstColumn="0" w:lastColumn="0" w:noHBand="0" w:noVBand="0" w:val="0020"/>
        <w:tblLayout w:type="autofit"/>
      </w:tblPr>
      <w:tblGrid>
        <w:gridCol w:w="2268"/>
        <w:gridCol w:w="2268"/>
        <w:gridCol w:w="2268"/>
        <w:gridCol w:w="2268"/>
      </w:tblGrid>
      <w:tr>
        <w:trPr>
          <w:tblHeader w:val="on"/>
        </w:trPr>
        <w:tc>
          <w:tcPr>
            <w:tcW w:type="dxa" w:w="2268"/>
          </w:tcPr>
          <w:p>
            <w:pPr>
              <w:pStyle w:val="BodyText"/>
              <w:jc w:val="left"/>
            </w:pPr>
            <w:r>
              <w:rPr>
                <w:rFonts w:ascii="Arial" w:hAnsi="Arial"/>
                <w:sz w:val="18"/>
              </w:rPr>
              <w:t xml:space="preserve">Phase</w:t>
            </w:r>
          </w:p>
        </w:tc>
        <w:tc>
          <w:tcPr>
            <w:tcW w:type="dxa" w:w="2268"/>
          </w:tcPr>
          <w:p>
            <w:pPr>
              <w:pStyle w:val="BodyText"/>
              <w:jc w:val="left"/>
            </w:pPr>
            <w:r>
              <w:rPr>
                <w:rFonts w:ascii="Arial" w:hAnsi="Arial"/>
                <w:sz w:val="18"/>
              </w:rPr>
              <w:t xml:space="preserve">DOY range</w:t>
            </w:r>
          </w:p>
        </w:tc>
        <w:tc>
          <w:tcPr>
            <w:tcW w:type="dxa" w:w="2268"/>
          </w:tcPr>
          <w:p>
            <w:pPr>
              <w:pStyle w:val="BodyText"/>
              <w:jc w:val="left"/>
            </w:pPr>
            <w:r>
              <w:rPr>
                <w:rFonts w:ascii="Arial" w:hAnsi="Arial"/>
                <w:sz w:val="18"/>
              </w:rPr>
              <w:t xml:space="preserve">Calendar</w:t>
            </w:r>
          </w:p>
        </w:tc>
        <w:tc>
          <w:tcPr>
            <w:tcW w:type="dxa" w:w="2268"/>
          </w:tcPr>
          <w:p>
            <w:pPr>
              <w:pStyle w:val="BodyText"/>
              <w:jc w:val="left"/>
            </w:pPr>
            <w:r>
              <w:rPr>
                <w:rFonts w:ascii="Arial" w:hAnsi="Arial"/>
                <w:sz w:val="18"/>
              </w:rPr>
              <w:t xml:space="preserve">n_dekads per district</w:t>
            </w:r>
          </w:p>
        </w:tc>
      </w:tr>
      <w:tr>
        <w:tc>
          <w:tcPr>
            <w:tcW w:type="dxa" w:w="2268"/>
          </w:tcPr>
          <w:p>
            <w:pPr>
              <w:pStyle w:val="BodyText"/>
              <w:jc w:val="left"/>
            </w:pPr>
            <w:r>
              <w:rPr>
                <w:rFonts w:ascii="Arial" w:hAnsi="Arial"/>
                <w:sz w:val="18"/>
              </w:rPr>
              <w:t xml:space="preserve">Pre-transplant baseline</w:t>
            </w:r>
          </w:p>
        </w:tc>
        <w:tc>
          <w:tcPr>
            <w:tcW w:type="dxa" w:w="2268"/>
          </w:tcPr>
          <w:p>
            <w:pPr>
              <w:pStyle w:val="BodyText"/>
              <w:jc w:val="left"/>
            </w:pPr>
            <w:r>
              <w:rPr>
                <w:rFonts w:ascii="Arial" w:hAnsi="Arial"/>
                <w:sz w:val="18"/>
              </w:rPr>
              <w:t xml:space="preserve">121–160</w:t>
            </w:r>
          </w:p>
        </w:tc>
        <w:tc>
          <w:tcPr>
            <w:tcW w:type="dxa" w:w="2268"/>
          </w:tcPr>
          <w:p>
            <w:pPr>
              <w:pStyle w:val="BodyText"/>
              <w:jc w:val="left"/>
            </w:pPr>
            <w:r>
              <w:rPr>
                <w:rFonts w:ascii="Arial" w:hAnsi="Arial"/>
                <w:sz w:val="18"/>
              </w:rPr>
              <w:t xml:space="preserve">1 May – 9 Jun</w:t>
            </w:r>
          </w:p>
        </w:tc>
        <w:tc>
          <w:tcPr>
            <w:tcW w:type="dxa" w:w="2268"/>
          </w:tcPr>
          <w:p>
            <w:pPr>
              <w:pStyle w:val="BodyText"/>
              <w:jc w:val="left"/>
            </w:pPr>
            <w:r>
              <w:rPr>
                <w:rFonts w:ascii="Arial" w:hAnsi="Arial"/>
                <w:sz w:val="18"/>
              </w:rPr>
              <w:t xml:space="preserve">1–4</w:t>
            </w:r>
          </w:p>
        </w:tc>
      </w:tr>
      <w:tr>
        <w:tc>
          <w:tcPr>
            <w:tcW w:type="dxa" w:w="2268"/>
          </w:tcPr>
          <w:p>
            <w:pPr>
              <w:pStyle w:val="BodyText"/>
              <w:jc w:val="left"/>
            </w:pPr>
            <w:r>
              <w:rPr>
                <w:rFonts w:ascii="Arial" w:hAnsi="Arial"/>
                <w:sz w:val="18"/>
              </w:rPr>
              <w:t xml:space="preserve">Agronomic transplanting</w:t>
            </w:r>
          </w:p>
        </w:tc>
        <w:tc>
          <w:tcPr>
            <w:tcW w:type="dxa" w:w="2268"/>
          </w:tcPr>
          <w:p>
            <w:pPr>
              <w:pStyle w:val="BodyText"/>
              <w:jc w:val="left"/>
            </w:pPr>
            <w:r>
              <w:rPr>
                <w:rFonts w:ascii="Arial" w:hAnsi="Arial"/>
                <w:sz w:val="18"/>
              </w:rPr>
              <w:t xml:space="preserve">171–220</w:t>
            </w:r>
          </w:p>
        </w:tc>
        <w:tc>
          <w:tcPr>
            <w:tcW w:type="dxa" w:w="2268"/>
          </w:tcPr>
          <w:p>
            <w:pPr>
              <w:pStyle w:val="BodyText"/>
              <w:jc w:val="left"/>
            </w:pPr>
            <w:r>
              <w:rPr>
                <w:rFonts w:ascii="Arial" w:hAnsi="Arial"/>
                <w:sz w:val="18"/>
              </w:rPr>
              <w:t xml:space="preserve">20 Jun – 8 Aug</w:t>
            </w:r>
          </w:p>
        </w:tc>
        <w:tc>
          <w:tcPr>
            <w:tcW w:type="dxa" w:w="2268"/>
          </w:tcPr>
          <w:p>
            <w:pPr>
              <w:pStyle w:val="BodyText"/>
              <w:jc w:val="left"/>
            </w:pPr>
            <w:r>
              <w:rPr>
                <w:rFonts w:ascii="Arial" w:hAnsi="Arial"/>
                <w:sz w:val="18"/>
              </w:rPr>
              <w:t xml:space="preserve">4–5</w:t>
            </w:r>
          </w:p>
        </w:tc>
      </w:tr>
      <w:tr>
        <w:tc>
          <w:tcPr>
            <w:tcW w:type="dxa" w:w="2268"/>
          </w:tcPr>
          <w:p>
            <w:pPr>
              <w:pStyle w:val="BodyText"/>
              <w:jc w:val="left"/>
            </w:pPr>
            <w:r>
              <w:rPr>
                <w:rFonts w:ascii="Arial" w:hAnsi="Arial"/>
                <w:sz w:val="18"/>
              </w:rPr>
              <w:t xml:space="preserve">Peak canopy</w:t>
            </w:r>
          </w:p>
        </w:tc>
        <w:tc>
          <w:tcPr>
            <w:tcW w:type="dxa" w:w="2268"/>
          </w:tcPr>
          <w:p>
            <w:pPr>
              <w:pStyle w:val="BodyText"/>
              <w:jc w:val="left"/>
            </w:pPr>
            <w:r>
              <w:rPr>
                <w:rFonts w:ascii="Arial" w:hAnsi="Arial"/>
                <w:sz w:val="18"/>
              </w:rPr>
              <w:t xml:space="preserve">230–270</w:t>
            </w:r>
          </w:p>
        </w:tc>
        <w:tc>
          <w:tcPr>
            <w:tcW w:type="dxa" w:w="2268"/>
          </w:tcPr>
          <w:p>
            <w:pPr>
              <w:pStyle w:val="BodyText"/>
              <w:jc w:val="left"/>
            </w:pPr>
            <w:r>
              <w:rPr>
                <w:rFonts w:ascii="Arial" w:hAnsi="Arial"/>
                <w:sz w:val="18"/>
              </w:rPr>
              <w:t xml:space="preserve">18 Aug – 27 Sep</w:t>
            </w:r>
          </w:p>
        </w:tc>
        <w:tc>
          <w:tcPr>
            <w:tcW w:type="dxa" w:w="2268"/>
          </w:tcPr>
          <w:p>
            <w:pPr>
              <w:pStyle w:val="BodyText"/>
              <w:jc w:val="left"/>
            </w:pPr>
            <w:r>
              <w:rPr>
                <w:rFonts w:ascii="Arial" w:hAnsi="Arial"/>
                <w:sz w:val="18"/>
              </w:rPr>
              <w:t xml:space="preserve">3–4</w:t>
            </w:r>
          </w:p>
        </w:tc>
      </w:tr>
      <w:tr>
        <w:tc>
          <w:tcPr>
            <w:tcW w:type="dxa" w:w="2268"/>
          </w:tcPr>
          <w:p>
            <w:pPr>
              <w:pStyle w:val="BodyText"/>
              <w:jc w:val="left"/>
            </w:pPr>
            <w:r>
              <w:rPr>
                <w:rFonts w:ascii="Arial" w:hAnsi="Arial"/>
                <w:sz w:val="18"/>
              </w:rPr>
              <w:t xml:space="preserve">Bulbul event window</w:t>
            </w:r>
          </w:p>
        </w:tc>
        <w:tc>
          <w:tcPr>
            <w:tcW w:type="dxa" w:w="2268"/>
          </w:tcPr>
          <w:p>
            <w:pPr>
              <w:pStyle w:val="BodyText"/>
              <w:jc w:val="left"/>
            </w:pPr>
            <w:r>
              <w:rPr>
                <w:rFonts w:ascii="Arial" w:hAnsi="Arial"/>
                <w:sz w:val="18"/>
              </w:rPr>
              <w:t xml:space="preserve">305–325</w:t>
            </w:r>
          </w:p>
        </w:tc>
        <w:tc>
          <w:tcPr>
            <w:tcW w:type="dxa" w:w="2268"/>
          </w:tcPr>
          <w:p>
            <w:pPr>
              <w:pStyle w:val="BodyText"/>
              <w:jc w:val="left"/>
            </w:pPr>
            <w:r>
              <w:rPr>
                <w:rFonts w:ascii="Arial" w:hAnsi="Arial"/>
                <w:sz w:val="18"/>
              </w:rPr>
              <w:t xml:space="preserve">1 Nov – 21 Nov (landfall 9 Nov)</w:t>
            </w:r>
          </w:p>
        </w:tc>
        <w:tc>
          <w:tcPr>
            <w:tcW w:type="dxa" w:w="2268"/>
          </w:tcPr>
          <w:p>
            <w:pPr>
              <w:pStyle w:val="BodyText"/>
              <w:jc w:val="left"/>
            </w:pPr>
            <w:r>
              <w:rPr>
                <w:rFonts w:ascii="Arial" w:hAnsi="Arial"/>
                <w:sz w:val="18"/>
              </w:rPr>
              <w:t xml:space="preserve">3</w:t>
            </w:r>
          </w:p>
        </w:tc>
      </w:tr>
    </w:tbl>
    <w:bookmarkEnd w:id="21"/>
    <w:bookmarkStart w:id="23" w:name="X8b4813b165c4d18204f0891e91aa86299e3af69"/>
    <w:p>
      <w:pPr>
        <w:pStyle w:val="Heading2"/>
      </w:pPr>
      <w:r>
        <w:rPr>
          <w:rFonts w:ascii="Arial" w:hAnsi="Arial"/>
        </w:rPr>
        <w:t xml:space="preserve">S3.3 Real empirical signatures (Table S9, Figure S2)</w:t>
      </w:r>
    </w:p>
    <w:p>
      <w:pPr/>
      <w:r>
        <w:rPr>
          <w:rFonts w:ascii="Arial" w:hAnsi="Arial"/>
          <w:sz w:val="20"/>
        </w:rPr>
        <w:t xml:space="preserve">The four-district mean phase signatures are:</w:t>
      </w:r>
    </w:p>
    <w:tbl>
      <w:tblPr>
        <w:tblStyle w:val="TableGrid"/>
        <w:tblW w:type="dxa" w:w="9072"/>
        <w:jc w:val="left"/>
        <w:tblLook w:firstRow="1" w:lastRow="0" w:firstColumn="0" w:lastColumn="0" w:noHBand="0" w:noVBand="0" w:val="0020"/>
        <w:tblLayout w:type="autofit"/>
      </w:tblPr>
      <w:tblGrid>
        <w:gridCol w:w="2268"/>
        <w:gridCol w:w="2268"/>
        <w:gridCol w:w="2268"/>
        <w:gridCol w:w="2268"/>
      </w:tblGrid>
      <w:tr>
        <w:trPr>
          <w:tblHeader w:val="on"/>
        </w:trPr>
        <w:tc>
          <w:tcPr>
            <w:tcW w:type="dxa" w:w="2268"/>
          </w:tcPr>
          <w:p>
            <w:pPr>
              <w:pStyle w:val="BodyText"/>
              <w:jc w:val="left"/>
            </w:pPr>
            <w:r>
              <w:rPr>
                <w:rFonts w:ascii="Arial" w:hAnsi="Arial"/>
                <w:sz w:val="18"/>
              </w:rPr>
              <w:t xml:space="preserve">Phase</w:t>
            </w:r>
          </w:p>
        </w:tc>
        <w:tc>
          <w:tcPr>
            <w:tcW w:type="dxa" w:w="2268"/>
          </w:tcPr>
          <w:p>
            <w:pPr>
              <w:pStyle w:val="BodyText"/>
              <w:jc w:val="left"/>
            </w:pPr>
            <w:r>
              <w:rPr>
                <w:rFonts w:ascii="Arial" w:hAnsi="Arial"/>
                <w:sz w:val="18"/>
              </w:rPr>
              <w:t xml:space="preserve">Mean VH (dB)</w:t>
            </w:r>
          </w:p>
        </w:tc>
        <w:tc>
          <w:tcPr>
            <w:tcW w:type="dxa" w:w="2268"/>
          </w:tcPr>
          <w:p>
            <w:pPr>
              <w:pStyle w:val="BodyText"/>
              <w:jc w:val="left"/>
            </w:pPr>
            <w:r>
              <w:rPr>
                <w:rFonts w:ascii="Arial" w:hAnsi="Arial"/>
                <w:sz w:val="18"/>
              </w:rPr>
              <w:t xml:space="preserve">Mean VV (dB)</w:t>
            </w:r>
          </w:p>
        </w:tc>
        <w:tc>
          <w:tcPr>
            <w:tcW w:type="dxa" w:w="2268"/>
          </w:tcPr>
          <w:p>
            <w:pPr>
              <w:pStyle w:val="BodyText"/>
              <w:jc w:val="left"/>
            </w:pPr>
            <w:r>
              <w:rPr>
                <w:rFonts w:ascii="Arial" w:hAnsi="Arial"/>
                <w:sz w:val="18"/>
              </w:rPr>
              <w:t xml:space="preserve">Mean CR</w:t>
            </w:r>
          </w:p>
        </w:tc>
      </w:tr>
      <w:tr>
        <w:tc>
          <w:tcPr>
            <w:tcW w:type="dxa" w:w="2268"/>
          </w:tcPr>
          <w:p>
            <w:pPr>
              <w:pStyle w:val="BodyText"/>
              <w:jc w:val="left"/>
            </w:pPr>
            <w:r>
              <w:rPr>
                <w:rFonts w:ascii="Arial" w:hAnsi="Arial"/>
                <w:sz w:val="18"/>
              </w:rPr>
              <w:t xml:space="preserve">Pre-transplant baseline</w:t>
            </w:r>
          </w:p>
        </w:tc>
        <w:tc>
          <w:tcPr>
            <w:tcW w:type="dxa" w:w="2268"/>
          </w:tcPr>
          <w:p>
            <w:pPr>
              <w:pStyle w:val="BodyText"/>
              <w:jc w:val="left"/>
            </w:pPr>
            <w:r>
              <w:rPr>
                <w:rFonts w:ascii="Arial" w:hAnsi="Arial"/>
                <w:sz w:val="18"/>
              </w:rPr>
              <w:t xml:space="preserve">−14.32</w:t>
            </w:r>
          </w:p>
        </w:tc>
        <w:tc>
          <w:tcPr>
            <w:tcW w:type="dxa" w:w="2268"/>
          </w:tcPr>
          <w:p>
            <w:pPr>
              <w:pStyle w:val="BodyText"/>
              <w:jc w:val="left"/>
            </w:pPr>
            <w:r>
              <w:rPr>
                <w:rFonts w:ascii="Arial" w:hAnsi="Arial"/>
                <w:sz w:val="18"/>
              </w:rPr>
              <w:t xml:space="preserve">−7.96</w:t>
            </w:r>
          </w:p>
        </w:tc>
        <w:tc>
          <w:tcPr>
            <w:tcW w:type="dxa" w:w="2268"/>
          </w:tcPr>
          <w:p>
            <w:pPr>
              <w:pStyle w:val="BodyText"/>
              <w:jc w:val="left"/>
            </w:pPr>
            <w:r>
              <w:rPr>
                <w:rFonts w:ascii="Arial" w:hAnsi="Arial"/>
                <w:sz w:val="18"/>
              </w:rPr>
              <w:t xml:space="preserve">0.239</w:t>
            </w:r>
          </w:p>
        </w:tc>
      </w:tr>
      <w:tr>
        <w:tc>
          <w:tcPr>
            <w:tcW w:type="dxa" w:w="2268"/>
          </w:tcPr>
          <w:p>
            <w:pPr>
              <w:pStyle w:val="BodyText"/>
              <w:jc w:val="left"/>
            </w:pPr>
            <w:r>
              <w:rPr>
                <w:rFonts w:ascii="Arial" w:hAnsi="Arial"/>
                <w:sz w:val="18"/>
              </w:rPr>
              <w:t xml:space="preserve">Agronomic transplanting</w:t>
            </w:r>
          </w:p>
        </w:tc>
        <w:tc>
          <w:tcPr>
            <w:tcW w:type="dxa" w:w="2268"/>
          </w:tcPr>
          <w:p>
            <w:pPr>
              <w:pStyle w:val="BodyText"/>
              <w:jc w:val="left"/>
            </w:pPr>
            <w:r>
              <w:rPr>
                <w:rFonts w:ascii="Arial" w:hAnsi="Arial"/>
                <w:sz w:val="18"/>
              </w:rPr>
              <w:t xml:space="preserve">−13.80</w:t>
            </w:r>
          </w:p>
        </w:tc>
        <w:tc>
          <w:tcPr>
            <w:tcW w:type="dxa" w:w="2268"/>
          </w:tcPr>
          <w:p>
            <w:pPr>
              <w:pStyle w:val="BodyText"/>
              <w:jc w:val="left"/>
            </w:pPr>
            <w:r>
              <w:rPr>
                <w:rFonts w:ascii="Arial" w:hAnsi="Arial"/>
                <w:sz w:val="18"/>
              </w:rPr>
              <w:t xml:space="preserve">−7.14</w:t>
            </w:r>
          </w:p>
        </w:tc>
        <w:tc>
          <w:tcPr>
            <w:tcW w:type="dxa" w:w="2268"/>
          </w:tcPr>
          <w:p>
            <w:pPr>
              <w:pStyle w:val="BodyText"/>
              <w:jc w:val="left"/>
            </w:pPr>
            <w:r>
              <w:rPr>
                <w:rFonts w:ascii="Arial" w:hAnsi="Arial"/>
                <w:sz w:val="18"/>
              </w:rPr>
              <w:t xml:space="preserve">0.225</w:t>
            </w:r>
          </w:p>
        </w:tc>
      </w:tr>
      <w:tr>
        <w:tc>
          <w:tcPr>
            <w:tcW w:type="dxa" w:w="2268"/>
          </w:tcPr>
          <w:p>
            <w:pPr>
              <w:pStyle w:val="BodyText"/>
              <w:jc w:val="left"/>
            </w:pPr>
            <w:r>
              <w:rPr>
                <w:rFonts w:ascii="Arial" w:hAnsi="Arial"/>
                <w:sz w:val="18"/>
              </w:rPr>
              <w:t xml:space="preserve">Peak canopy</w:t>
            </w:r>
          </w:p>
        </w:tc>
        <w:tc>
          <w:tcPr>
            <w:tcW w:type="dxa" w:w="2268"/>
          </w:tcPr>
          <w:p>
            <w:pPr>
              <w:pStyle w:val="BodyText"/>
              <w:jc w:val="left"/>
            </w:pPr>
            <w:r>
              <w:rPr>
                <w:rFonts w:ascii="Arial" w:hAnsi="Arial"/>
                <w:sz w:val="18"/>
              </w:rPr>
              <w:t xml:space="preserve">−13.78</w:t>
            </w:r>
          </w:p>
        </w:tc>
        <w:tc>
          <w:tcPr>
            <w:tcW w:type="dxa" w:w="2268"/>
          </w:tcPr>
          <w:p>
            <w:pPr>
              <w:pStyle w:val="BodyText"/>
              <w:jc w:val="left"/>
            </w:pPr>
            <w:r>
              <w:rPr>
                <w:rFonts w:ascii="Arial" w:hAnsi="Arial"/>
                <w:sz w:val="18"/>
              </w:rPr>
              <w:t xml:space="preserve">−6.82</w:t>
            </w:r>
          </w:p>
        </w:tc>
        <w:tc>
          <w:tcPr>
            <w:tcW w:type="dxa" w:w="2268"/>
          </w:tcPr>
          <w:p>
            <w:pPr>
              <w:pStyle w:val="BodyText"/>
              <w:jc w:val="left"/>
            </w:pPr>
            <w:r>
              <w:rPr>
                <w:rFonts w:ascii="Arial" w:hAnsi="Arial"/>
                <w:sz w:val="18"/>
              </w:rPr>
              <w:t xml:space="preserve">0.212</w:t>
            </w:r>
          </w:p>
        </w:tc>
      </w:tr>
      <w:tr>
        <w:tc>
          <w:tcPr>
            <w:tcW w:type="dxa" w:w="2268"/>
          </w:tcPr>
          <w:p>
            <w:pPr>
              <w:pStyle w:val="BodyText"/>
              <w:jc w:val="left"/>
            </w:pPr>
            <w:r>
              <w:rPr>
                <w:rFonts w:ascii="Arial" w:hAnsi="Arial"/>
                <w:sz w:val="18"/>
              </w:rPr>
              <w:t xml:space="preserve">Bulbul event window</w:t>
            </w:r>
          </w:p>
        </w:tc>
        <w:tc>
          <w:tcPr>
            <w:tcW w:type="dxa" w:w="2268"/>
          </w:tcPr>
          <w:p>
            <w:pPr>
              <w:pStyle w:val="BodyText"/>
              <w:jc w:val="left"/>
            </w:pPr>
            <w:r>
              <w:rPr>
                <w:rFonts w:ascii="Arial" w:hAnsi="Arial"/>
                <w:sz w:val="18"/>
              </w:rPr>
              <w:t xml:space="preserve">−13.49</w:t>
            </w:r>
          </w:p>
        </w:tc>
        <w:tc>
          <w:tcPr>
            <w:tcW w:type="dxa" w:w="2268"/>
          </w:tcPr>
          <w:p>
            <w:pPr>
              <w:pStyle w:val="BodyText"/>
              <w:jc w:val="left"/>
            </w:pPr>
            <w:r>
              <w:rPr>
                <w:rFonts w:ascii="Arial" w:hAnsi="Arial"/>
                <w:sz w:val="18"/>
              </w:rPr>
              <w:t xml:space="preserve">−7.27</w:t>
            </w:r>
          </w:p>
        </w:tc>
        <w:tc>
          <w:tcPr>
            <w:tcW w:type="dxa" w:w="2268"/>
          </w:tcPr>
          <w:p>
            <w:pPr>
              <w:pStyle w:val="BodyText"/>
              <w:jc w:val="left"/>
            </w:pPr>
            <w:r>
              <w:rPr>
                <w:rFonts w:ascii="Arial" w:hAnsi="Arial"/>
                <w:sz w:val="18"/>
              </w:rPr>
              <w:t xml:space="preserve">0.249</w:t>
            </w:r>
          </w:p>
        </w:tc>
      </w:tr>
    </w:tbl>
    <w:p>
      <w:pPr>
        <w:pStyle w:val="BodyText"/>
      </w:pPr>
      <w:r>
        <w:rPr>
          <w:rFonts w:ascii="Arial" w:hAnsi="Arial"/>
          <w:sz w:val="20"/>
        </w:rPr>
        <w:t xml:space="preserve">The full per-district table is Table S9; the per-district time series is</w:t>
      </w:r>
      <w:r>
        <w:rPr>
          <w:rFonts w:ascii="Arial" w:hAnsi="Arial"/>
          <w:sz w:val="20"/>
        </w:rPr>
        <w:t xml:space="preserve"> </w:t>
      </w:r>
      <w:r>
        <w:rPr>
          <w:rFonts w:ascii="Arial" w:hAnsi="Arial"/>
          <w:sz w:val="20"/>
        </w:rPr>
        <w:t xml:space="preserve">Figure S2.</w:t>
      </w:r>
    </w:p>
    <w:bookmarkStart w:id="22" w:name="Xda0005fc06bc6b131ff8f162449c796210fd4dd"/>
    <w:p>
      <w:pPr>
        <w:pStyle w:val="Heading3"/>
      </w:pPr>
      <w:r>
        <w:rPr>
          <w:rFonts w:ascii="Arial" w:hAnsi="Arial"/>
        </w:rPr>
        <w:t xml:space="preserve">Phase-to-baseline deltas (mean over the four districts)</w:t>
      </w:r>
    </w:p>
    <w:tbl>
      <w:tblPr>
        <w:tblStyle w:val="TableGrid"/>
        <w:tblW w:type="dxa" w:w="9072"/>
        <w:jc w:val="left"/>
        <w:tblLook w:firstRow="1" w:lastRow="0" w:firstColumn="0" w:lastColumn="0" w:noHBand="0" w:noVBand="0" w:val="0020"/>
        <w:tblLayout w:type="autofit"/>
      </w:tblPr>
      <w:tblGrid>
        <w:gridCol w:w="2268"/>
        <w:gridCol w:w="2268"/>
        <w:gridCol w:w="2268"/>
        <w:gridCol w:w="2268"/>
      </w:tblGrid>
      <w:tr>
        <w:trPr>
          <w:tblHeader w:val="on"/>
        </w:trPr>
        <w:tc>
          <w:tcPr>
            <w:tcW w:type="dxa" w:w="2268"/>
          </w:tcPr>
          <w:p>
            <w:pPr>
              <w:pStyle w:val="BodyText"/>
              <w:jc w:val="left"/>
            </w:pPr>
            <w:r>
              <w:rPr>
                <w:rFonts w:ascii="Arial" w:hAnsi="Arial"/>
                <w:sz w:val="18"/>
              </w:rPr>
              <w:t xml:space="preserve">Phase</w:t>
            </w:r>
          </w:p>
        </w:tc>
        <w:tc>
          <w:tcPr>
            <w:tcW w:type="dxa" w:w="2268"/>
          </w:tcPr>
          <w:p>
            <w:pPr>
              <w:pStyle w:val="BodyText"/>
              <w:jc w:val="left"/>
            </w:pPr>
            <w:r>
              <w:rPr>
                <w:rFonts w:ascii="Arial" w:hAnsi="Arial"/>
                <w:sz w:val="18"/>
              </w:rPr>
              <w:t xml:space="preserve">ΔVH (dB)</w:t>
            </w:r>
          </w:p>
        </w:tc>
        <w:tc>
          <w:tcPr>
            <w:tcW w:type="dxa" w:w="2268"/>
          </w:tcPr>
          <w:p>
            <w:pPr>
              <w:pStyle w:val="BodyText"/>
              <w:jc w:val="left"/>
            </w:pPr>
            <w:r>
              <w:rPr>
                <w:rFonts w:ascii="Arial" w:hAnsi="Arial"/>
                <w:sz w:val="18"/>
              </w:rPr>
              <w:t xml:space="preserve">ΔVV (dB)</w:t>
            </w:r>
          </w:p>
        </w:tc>
        <w:tc>
          <w:tcPr>
            <w:tcW w:type="dxa" w:w="2268"/>
          </w:tcPr>
          <w:p>
            <w:pPr>
              <w:pStyle w:val="BodyText"/>
              <w:jc w:val="left"/>
            </w:pPr>
            <w:r>
              <w:rPr>
                <w:rFonts w:ascii="Arial" w:hAnsi="Arial"/>
                <w:sz w:val="18"/>
              </w:rPr>
              <w:t xml:space="preserve">ΔCR</w:t>
            </w:r>
          </w:p>
        </w:tc>
      </w:tr>
      <w:tr>
        <w:tc>
          <w:tcPr>
            <w:tcW w:type="dxa" w:w="2268"/>
          </w:tcPr>
          <w:p>
            <w:pPr>
              <w:pStyle w:val="BodyText"/>
              <w:jc w:val="left"/>
            </w:pPr>
            <w:r>
              <w:rPr>
                <w:rFonts w:ascii="Arial" w:hAnsi="Arial"/>
                <w:sz w:val="18"/>
              </w:rPr>
              <w:t xml:space="preserve">Agronomic transplanting</w:t>
            </w:r>
          </w:p>
        </w:tc>
        <w:tc>
          <w:tcPr>
            <w:tcW w:type="dxa" w:w="2268"/>
          </w:tcPr>
          <w:p>
            <w:pPr>
              <w:pStyle w:val="BodyText"/>
              <w:jc w:val="left"/>
            </w:pPr>
            <w:r>
              <w:rPr>
                <w:rFonts w:ascii="Arial" w:hAnsi="Arial"/>
                <w:sz w:val="18"/>
              </w:rPr>
              <w:t xml:space="preserve">+0.52</w:t>
            </w:r>
          </w:p>
        </w:tc>
        <w:tc>
          <w:tcPr>
            <w:tcW w:type="dxa" w:w="2268"/>
          </w:tcPr>
          <w:p>
            <w:pPr>
              <w:pStyle w:val="BodyText"/>
              <w:jc w:val="left"/>
            </w:pPr>
            <w:r>
              <w:rPr>
                <w:rFonts w:ascii="Arial" w:hAnsi="Arial"/>
                <w:sz w:val="18"/>
              </w:rPr>
              <w:t xml:space="preserve">+0.82</w:t>
            </w:r>
          </w:p>
        </w:tc>
        <w:tc>
          <w:tcPr>
            <w:tcW w:type="dxa" w:w="2268"/>
          </w:tcPr>
          <w:p>
            <w:pPr>
              <w:pStyle w:val="BodyText"/>
              <w:jc w:val="left"/>
            </w:pPr>
            <w:r>
              <w:rPr>
                <w:rFonts w:ascii="Arial" w:hAnsi="Arial"/>
                <w:sz w:val="18"/>
              </w:rPr>
              <w:t xml:space="preserve">−0.014</w:t>
            </w:r>
          </w:p>
        </w:tc>
      </w:tr>
      <w:tr>
        <w:tc>
          <w:tcPr>
            <w:tcW w:type="dxa" w:w="2268"/>
          </w:tcPr>
          <w:p>
            <w:pPr>
              <w:pStyle w:val="BodyText"/>
              <w:jc w:val="left"/>
            </w:pPr>
            <w:r>
              <w:rPr>
                <w:rFonts w:ascii="Arial" w:hAnsi="Arial"/>
                <w:sz w:val="18"/>
              </w:rPr>
              <w:t xml:space="preserve">Peak canopy</w:t>
            </w:r>
          </w:p>
        </w:tc>
        <w:tc>
          <w:tcPr>
            <w:tcW w:type="dxa" w:w="2268"/>
          </w:tcPr>
          <w:p>
            <w:pPr>
              <w:pStyle w:val="BodyText"/>
              <w:jc w:val="left"/>
            </w:pPr>
            <w:r>
              <w:rPr>
                <w:rFonts w:ascii="Arial" w:hAnsi="Arial"/>
                <w:sz w:val="18"/>
              </w:rPr>
              <w:t xml:space="preserve">+0.54</w:t>
            </w:r>
          </w:p>
        </w:tc>
        <w:tc>
          <w:tcPr>
            <w:tcW w:type="dxa" w:w="2268"/>
          </w:tcPr>
          <w:p>
            <w:pPr>
              <w:pStyle w:val="BodyText"/>
              <w:jc w:val="left"/>
            </w:pPr>
            <w:r>
              <w:rPr>
                <w:rFonts w:ascii="Arial" w:hAnsi="Arial"/>
                <w:sz w:val="18"/>
              </w:rPr>
              <w:t xml:space="preserve">+1.14</w:t>
            </w:r>
          </w:p>
        </w:tc>
        <w:tc>
          <w:tcPr>
            <w:tcW w:type="dxa" w:w="2268"/>
          </w:tcPr>
          <w:p>
            <w:pPr>
              <w:pStyle w:val="BodyText"/>
              <w:jc w:val="left"/>
            </w:pPr>
            <w:r>
              <w:rPr>
                <w:rFonts w:ascii="Arial" w:hAnsi="Arial"/>
                <w:sz w:val="18"/>
              </w:rPr>
              <w:t xml:space="preserve">−0.027</w:t>
            </w:r>
          </w:p>
        </w:tc>
      </w:tr>
      <w:tr>
        <w:tc>
          <w:tcPr>
            <w:tcW w:type="dxa" w:w="2268"/>
          </w:tcPr>
          <w:p>
            <w:pPr>
              <w:pStyle w:val="BodyText"/>
              <w:jc w:val="left"/>
            </w:pPr>
            <w:r>
              <w:rPr>
                <w:rFonts w:ascii="Arial" w:hAnsi="Arial"/>
                <w:sz w:val="18"/>
              </w:rPr>
              <w:t xml:space="preserve">Bulbul event window</w:t>
            </w:r>
          </w:p>
        </w:tc>
        <w:tc>
          <w:tcPr>
            <w:tcW w:type="dxa" w:w="2268"/>
          </w:tcPr>
          <w:p>
            <w:pPr>
              <w:pStyle w:val="BodyText"/>
              <w:jc w:val="left"/>
            </w:pPr>
            <w:r>
              <w:rPr>
                <w:rFonts w:ascii="Arial" w:hAnsi="Arial"/>
                <w:sz w:val="18"/>
              </w:rPr>
              <w:t xml:space="preserve">+0.83</w:t>
            </w:r>
          </w:p>
        </w:tc>
        <w:tc>
          <w:tcPr>
            <w:tcW w:type="dxa" w:w="2268"/>
          </w:tcPr>
          <w:p>
            <w:pPr>
              <w:pStyle w:val="BodyText"/>
              <w:jc w:val="left"/>
            </w:pPr>
            <w:r>
              <w:rPr>
                <w:rFonts w:ascii="Arial" w:hAnsi="Arial"/>
                <w:sz w:val="18"/>
              </w:rPr>
              <w:t xml:space="preserve">+0.69</w:t>
            </w:r>
          </w:p>
        </w:tc>
        <w:tc>
          <w:tcPr>
            <w:tcW w:type="dxa" w:w="2268"/>
          </w:tcPr>
          <w:p>
            <w:pPr>
              <w:pStyle w:val="BodyText"/>
              <w:jc w:val="left"/>
            </w:pPr>
            <w:r>
              <w:rPr>
                <w:rFonts w:ascii="Arial" w:hAnsi="Arial"/>
                <w:sz w:val="18"/>
              </w:rPr>
              <w:t xml:space="preserve">+0.009</w:t>
            </w:r>
          </w:p>
        </w:tc>
      </w:tr>
    </w:tbl>
    <w:bookmarkEnd w:id="22"/>
    <w:bookmarkEnd w:id="23"/>
    <w:bookmarkStart w:id="24" w:name="s3.4-physical-interpretation"/>
    <w:p>
      <w:pPr>
        <w:pStyle w:val="Heading2"/>
      </w:pPr>
      <w:r>
        <w:rPr>
          <w:rFonts w:ascii="Arial" w:hAnsi="Arial"/>
        </w:rPr>
        <w:t xml:space="preserve">S3.4 Physical interpretation</w:t>
      </w:r>
    </w:p>
    <w:p>
      <w:pPr/>
      <w:r>
        <w:rPr>
          <w:rFonts w:ascii="Arial" w:hAnsi="Arial"/>
          <w:b/>
          <w:bCs/>
          <w:sz w:val="20"/>
        </w:rPr>
        <w:t xml:space="preserve">VH backscatter.</w:t>
      </w:r>
      <w:r>
        <w:rPr>
          <w:rFonts w:ascii="Arial" w:hAnsi="Arial"/>
          <w:sz w:val="20"/>
        </w:rPr>
        <w:t xml:space="preserve"> </w:t>
      </w:r>
      <w:r>
        <w:rPr>
          <w:rFonts w:ascii="Arial" w:hAnsi="Arial"/>
          <w:sz w:val="20"/>
        </w:rPr>
        <w:t xml:space="preserve">The cross-polarised VH channel is the most</w:t>
      </w:r>
      <w:r>
        <w:rPr>
          <w:rFonts w:ascii="Arial" w:hAnsi="Arial"/>
          <w:sz w:val="20"/>
        </w:rPr>
        <w:t xml:space="preserve"> </w:t>
      </w:r>
      <w:r>
        <w:rPr>
          <w:rFonts w:ascii="Arial" w:hAnsi="Arial"/>
          <w:sz w:val="20"/>
        </w:rPr>
        <w:t xml:space="preserve">phenologically responsive in C-band over rice: it tracks volume</w:t>
      </w:r>
      <w:r>
        <w:rPr>
          <w:rFonts w:ascii="Arial" w:hAnsi="Arial"/>
          <w:sz w:val="20"/>
        </w:rPr>
        <w:t xml:space="preserve"> </w:t>
      </w:r>
      <w:r>
        <w:rPr>
          <w:rFonts w:ascii="Arial" w:hAnsi="Arial"/>
          <w:sz w:val="20"/>
        </w:rPr>
        <w:t xml:space="preserve">scattering from the developing canopy. From the pre-transplant baseline</w:t>
      </w:r>
      <w:r>
        <w:rPr>
          <w:rFonts w:ascii="Arial" w:hAnsi="Arial"/>
          <w:sz w:val="20"/>
        </w:rPr>
        <w:t xml:space="preserve"> </w:t>
      </w:r>
      <w:r>
        <w:rPr>
          <w:rFonts w:ascii="Arial" w:hAnsi="Arial"/>
          <w:sz w:val="20"/>
        </w:rPr>
        <w:t xml:space="preserve">(bare soil + bunded field; VH ≈ −14.3 dB) the canopy emergence raises</w:t>
      </w:r>
      <w:r>
        <w:rPr>
          <w:rFonts w:ascii="Arial" w:hAnsi="Arial"/>
          <w:sz w:val="20"/>
        </w:rPr>
        <w:t xml:space="preserve"> </w:t>
      </w:r>
      <w:r>
        <w:rPr>
          <w:rFonts w:ascii="Arial" w:hAnsi="Arial"/>
          <w:sz w:val="20"/>
        </w:rPr>
        <w:t xml:space="preserve">VH by ~0.5–0.8 dB through transplanting and peak canopy. The Bulbul</w:t>
      </w:r>
      <w:r>
        <w:rPr>
          <w:rFonts w:ascii="Arial" w:hAnsi="Arial"/>
          <w:sz w:val="20"/>
        </w:rPr>
        <w:t xml:space="preserve"> </w:t>
      </w:r>
      <w:r>
        <w:rPr>
          <w:rFonts w:ascii="Arial" w:hAnsi="Arial"/>
          <w:sz w:val="20"/>
        </w:rPr>
        <w:t xml:space="preserve">event-window mean is brighter still (+0.83 dB vs baseline), consistent</w:t>
      </w:r>
      <w:r>
        <w:rPr>
          <w:rFonts w:ascii="Arial" w:hAnsi="Arial"/>
          <w:sz w:val="20"/>
        </w:rPr>
        <w:t xml:space="preserve"> </w:t>
      </w:r>
      <w:r>
        <w:rPr>
          <w:rFonts w:ascii="Arial" w:hAnsi="Arial"/>
          <w:sz w:val="20"/>
        </w:rPr>
        <w:t xml:space="preserve">with a senescent rice canopy that has not yet collapsed plus standing</w:t>
      </w:r>
      <w:r>
        <w:rPr>
          <w:rFonts w:ascii="Arial" w:hAnsi="Arial"/>
          <w:sz w:val="20"/>
        </w:rPr>
        <w:t xml:space="preserve"> </w:t>
      </w:r>
      <w:r>
        <w:rPr>
          <w:rFonts w:ascii="Arial" w:hAnsi="Arial"/>
          <w:sz w:val="20"/>
        </w:rPr>
        <w:t xml:space="preserve">rainfall water under the canopy producing weak double-bounce. The</w:t>
      </w:r>
      <w:r>
        <w:rPr>
          <w:rFonts w:ascii="Arial" w:hAnsi="Arial"/>
          <w:sz w:val="20"/>
        </w:rPr>
        <w:t xml:space="preserve"> </w:t>
      </w:r>
      <w:r>
        <w:rPr>
          <w:rFonts w:ascii="Arial" w:hAnsi="Arial"/>
          <w:sz w:val="20"/>
        </w:rPr>
        <w:t xml:space="preserve">spatially-resolved Figure S2 panel a shows the Bulbul-week VH increase</w:t>
      </w:r>
      <w:r>
        <w:rPr>
          <w:rFonts w:ascii="Arial" w:hAnsi="Arial"/>
          <w:sz w:val="20"/>
        </w:rPr>
        <w:t xml:space="preserve"> </w:t>
      </w:r>
      <w:r>
        <w:rPr>
          <w:rFonts w:ascii="Arial" w:hAnsi="Arial"/>
          <w:sz w:val="20"/>
        </w:rPr>
        <w:t xml:space="preserve">is largest in Khordha (+1.63 dB), which is also the probe district</w:t>
      </w:r>
      <w:r>
        <w:rPr>
          <w:rFonts w:ascii="Arial" w:hAnsi="Arial"/>
          <w:sz w:val="20"/>
        </w:rPr>
        <w:t xml:space="preserve"> </w:t>
      </w:r>
      <w:r>
        <w:rPr>
          <w:rFonts w:ascii="Arial" w:hAnsi="Arial"/>
          <w:sz w:val="20"/>
        </w:rPr>
        <w:t xml:space="preserve">with the largest observed 2020 SOS shift (+37.6 d) in Note S1.</w:t>
      </w:r>
    </w:p>
    <w:p>
      <w:pPr>
        <w:pStyle w:val="BodyText"/>
      </w:pPr>
      <w:r>
        <w:rPr>
          <w:rFonts w:ascii="Arial" w:hAnsi="Arial"/>
          <w:b/>
          <w:bCs/>
          <w:sz w:val="20"/>
        </w:rPr>
        <w:t xml:space="preserve">VV backscatter.</w:t>
      </w:r>
      <w:r>
        <w:rPr>
          <w:rFonts w:ascii="Arial" w:hAnsi="Arial"/>
          <w:sz w:val="20"/>
        </w:rPr>
        <w:t xml:space="preserve"> </w:t>
      </w:r>
      <w:r>
        <w:rPr>
          <w:rFonts w:ascii="Arial" w:hAnsi="Arial"/>
          <w:sz w:val="20"/>
        </w:rPr>
        <w:t xml:space="preserve">The co-polarised VV channel is dominated by</w:t>
      </w:r>
      <w:r>
        <w:rPr>
          <w:rFonts w:ascii="Arial" w:hAnsi="Arial"/>
          <w:sz w:val="20"/>
        </w:rPr>
        <w:t xml:space="preserve"> </w:t>
      </w:r>
      <w:r>
        <w:rPr>
          <w:rFonts w:ascii="Arial" w:hAnsi="Arial"/>
          <w:sz w:val="20"/>
        </w:rPr>
        <w:t xml:space="preserve">surface scattering (specular reflection from smooth water). It is the</w:t>
      </w:r>
      <w:r>
        <w:rPr>
          <w:rFonts w:ascii="Arial" w:hAnsi="Arial"/>
          <w:sz w:val="20"/>
        </w:rPr>
        <w:t xml:space="preserve"> </w:t>
      </w:r>
      <w:r>
        <w:rPr>
          <w:rFonts w:ascii="Arial" w:hAnsi="Arial"/>
          <w:sz w:val="20"/>
        </w:rPr>
        <w:t xml:space="preserve">most sensitive to standing water with a near-vertical look angle. The</w:t>
      </w:r>
      <w:r>
        <w:rPr>
          <w:rFonts w:ascii="Arial" w:hAnsi="Arial"/>
          <w:sz w:val="20"/>
        </w:rPr>
        <w:t xml:space="preserve"> </w:t>
      </w:r>
      <w:r>
        <w:rPr>
          <w:rFonts w:ascii="Arial" w:hAnsi="Arial"/>
          <w:sz w:val="20"/>
        </w:rPr>
        <w:t xml:space="preserve">pre-transplant baseline VV (−7.96 dB) brightens through transplanting</w:t>
      </w:r>
      <w:r>
        <w:rPr>
          <w:rFonts w:ascii="Arial" w:hAnsi="Arial"/>
          <w:sz w:val="20"/>
        </w:rPr>
        <w:t xml:space="preserve"> </w:t>
      </w:r>
      <w:r>
        <w:rPr>
          <w:rFonts w:ascii="Arial" w:hAnsi="Arial"/>
          <w:sz w:val="20"/>
        </w:rPr>
        <w:t xml:space="preserve">(+0.82 dB) and peak canopy (+1.14 dB) as the canopy attenuates the</w:t>
      </w:r>
      <w:r>
        <w:rPr>
          <w:rFonts w:ascii="Arial" w:hAnsi="Arial"/>
          <w:sz w:val="20"/>
        </w:rPr>
        <w:t xml:space="preserve"> </w:t>
      </w:r>
      <w:r>
        <w:rPr>
          <w:rFonts w:ascii="Arial" w:hAnsi="Arial"/>
          <w:sz w:val="20"/>
        </w:rPr>
        <w:t xml:space="preserve">soil-surface scattering. The Bulbul-week VV (+0.69 dB vs baseline,</w:t>
      </w:r>
      <w:r>
        <w:rPr>
          <w:rFonts w:ascii="Arial" w:hAnsi="Arial"/>
          <w:sz w:val="20"/>
        </w:rPr>
        <w:t xml:space="preserve"> </w:t>
      </w:r>
      <w:r>
        <w:rPr>
          <w:rFonts w:ascii="Arial" w:hAnsi="Arial"/>
          <w:sz w:val="20"/>
        </w:rPr>
        <w:t xml:space="preserve">−0.42 dB in Ganjam specifically) reflects the rainfall pond’s smooth</w:t>
      </w:r>
      <w:r>
        <w:rPr>
          <w:rFonts w:ascii="Arial" w:hAnsi="Arial"/>
          <w:sz w:val="20"/>
        </w:rPr>
        <w:t xml:space="preserve"> </w:t>
      </w:r>
      <w:r>
        <w:rPr>
          <w:rFonts w:ascii="Arial" w:hAnsi="Arial"/>
          <w:sz w:val="20"/>
        </w:rPr>
        <w:t xml:space="preserve">water surface partially attenuated by the standing canopy.</w:t>
      </w:r>
    </w:p>
    <w:p>
      <w:pPr>
        <w:pStyle w:val="BodyText"/>
      </w:pPr>
      <w:r>
        <w:rPr>
          <w:rFonts w:ascii="Arial" w:hAnsi="Arial"/>
          <w:b/>
          <w:bCs/>
          <w:sz w:val="20"/>
        </w:rPr>
        <w:t xml:space="preserve">Cross-ratio CR.</w:t>
      </w:r>
      <w:r>
        <w:rPr>
          <w:rFonts w:ascii="Arial" w:hAnsi="Arial"/>
          <w:sz w:val="20"/>
        </w:rPr>
        <w:t xml:space="preserve"> </w:t>
      </w:r>
      <w:r>
        <w:rPr>
          <w:rFonts w:ascii="Arial" w:hAnsi="Arial"/>
          <w:sz w:val="20"/>
        </w:rPr>
        <w:t xml:space="preserve">The linear cross-ratio CR = VH/VV is the</w:t>
      </w:r>
      <w:r>
        <w:rPr>
          <w:rFonts w:ascii="Arial" w:hAnsi="Arial"/>
          <w:sz w:val="20"/>
        </w:rPr>
        <w:t xml:space="preserve"> </w:t>
      </w:r>
      <w:r>
        <w:rPr>
          <w:rFonts w:ascii="Arial" w:hAnsi="Arial"/>
          <w:sz w:val="20"/>
        </w:rPr>
        <w:t xml:space="preserve">canopy-density invariant of the dual-pol signal. The baseline-to-peak</w:t>
      </w:r>
      <w:r>
        <w:rPr>
          <w:rFonts w:ascii="Arial" w:hAnsi="Arial"/>
          <w:sz w:val="20"/>
        </w:rPr>
        <w:t xml:space="preserve"> </w:t>
      </w:r>
      <w:r>
        <w:rPr>
          <w:rFonts w:ascii="Arial" w:hAnsi="Arial"/>
          <w:sz w:val="20"/>
        </w:rPr>
        <w:t xml:space="preserve">trajectory (0.239 → 0.225 → 0.212) reflects the progressively</w:t>
      </w:r>
      <w:r>
        <w:rPr>
          <w:rFonts w:ascii="Arial" w:hAnsi="Arial"/>
          <w:sz w:val="20"/>
        </w:rPr>
        <w:t xml:space="preserve"> </w:t>
      </w:r>
      <w:r>
        <w:rPr>
          <w:rFonts w:ascii="Arial" w:hAnsi="Arial"/>
          <w:sz w:val="20"/>
        </w:rPr>
        <w:t xml:space="preserve">denser canopy increasing volume scattering relative to surface</w:t>
      </w:r>
      <w:r>
        <w:rPr>
          <w:rFonts w:ascii="Arial" w:hAnsi="Arial"/>
          <w:sz w:val="20"/>
        </w:rPr>
        <w:t xml:space="preserve"> </w:t>
      </w:r>
      <w:r>
        <w:rPr>
          <w:rFonts w:ascii="Arial" w:hAnsi="Arial"/>
          <w:sz w:val="20"/>
        </w:rPr>
        <w:t xml:space="preserve">scattering. The Bulbul-week CR rises to 0.249 — a senescent-canopy</w:t>
      </w:r>
      <w:r>
        <w:rPr>
          <w:rFonts w:ascii="Arial" w:hAnsi="Arial"/>
          <w:sz w:val="20"/>
        </w:rPr>
        <w:t xml:space="preserve"> </w:t>
      </w:r>
      <w:r>
        <w:rPr>
          <w:rFonts w:ascii="Arial" w:hAnsi="Arial"/>
          <w:sz w:val="20"/>
        </w:rPr>
        <w:t xml:space="preserve">+ rainfall-pond signature distinct from both the transplanting and</w:t>
      </w:r>
      <w:r>
        <w:rPr>
          <w:rFonts w:ascii="Arial" w:hAnsi="Arial"/>
          <w:sz w:val="20"/>
        </w:rPr>
        <w:t xml:space="preserve"> </w:t>
      </w:r>
      <w:r>
        <w:rPr>
          <w:rFonts w:ascii="Arial" w:hAnsi="Arial"/>
          <w:sz w:val="20"/>
        </w:rPr>
        <w:t xml:space="preserve">peak-canopy phases.</w:t>
      </w:r>
    </w:p>
    <w:bookmarkEnd w:id="24"/>
    <w:bookmarkStart w:id="25" w:name="Xe40c7fe42d0f3be810e55b83955c57fff6aea02"/>
    <w:p>
      <w:pPr>
        <w:pStyle w:val="Heading2"/>
      </w:pPr>
      <w:r>
        <w:rPr>
          <w:rFonts w:ascii="Arial" w:hAnsi="Arial"/>
        </w:rPr>
        <w:t xml:space="preserve">S3.5 Falsifiability conditions for the Module 02 classifier</w:t>
      </w:r>
    </w:p>
    <w:p>
      <w:pPr/>
      <w:r>
        <w:rPr>
          <w:rFonts w:ascii="Arial" w:hAnsi="Arial"/>
          <w:sz w:val="20"/>
        </w:rPr>
        <w:t xml:space="preserve">The pre-registered (OSF c4mp8 §3.3) random-forest classifier should</w:t>
      </w:r>
      <w:r>
        <w:rPr>
          <w:rFonts w:ascii="Arial" w:hAnsi="Arial"/>
          <w:sz w:val="20"/>
        </w:rPr>
        <w:t xml:space="preserve"> </w:t>
      </w:r>
      <w:r>
        <w:rPr>
          <w:rFonts w:ascii="Arial" w:hAnsi="Arial"/>
          <w:sz w:val="20"/>
        </w:rPr>
        <w:t xml:space="preserve">be rejected if any of the following empirical signatures from Table S9</w:t>
      </w:r>
      <w:r>
        <w:rPr>
          <w:rFonts w:ascii="Arial" w:hAnsi="Arial"/>
          <w:sz w:val="20"/>
        </w:rPr>
        <w:t xml:space="preserve"> </w:t>
      </w:r>
      <w:r>
        <w:rPr>
          <w:rFonts w:ascii="Arial" w:hAnsi="Arial"/>
          <w:sz w:val="20"/>
        </w:rPr>
        <w:t xml:space="preserve">fail to hold:</w:t>
      </w:r>
    </w:p>
    <w:p>
      <w:pPr>
        <w:pStyle w:val="BodyText"/>
      </w:pPr>
      <w:r>
        <w:rPr>
          <w:rFonts w:ascii="Arial" w:hAnsi="Arial"/>
          <w:b/>
          <w:bCs/>
          <w:sz w:val="20"/>
        </w:rPr>
        <w:t xml:space="preserve">VH baseline-to-canopy contrast.</w:t>
      </w:r>
      <w:r>
        <w:rPr>
          <w:rFonts w:ascii="Arial" w:hAnsi="Arial"/>
          <w:sz w:val="20"/>
        </w:rPr>
        <w:t xml:space="preserve"> </w:t>
      </w:r>
      <w:r>
        <w:rPr>
          <w:rFonts w:ascii="Arial" w:hAnsi="Arial"/>
          <w:sz w:val="20"/>
        </w:rPr>
        <w:t xml:space="preserve">Mean transplanting VH must</w:t>
      </w:r>
      <w:r>
        <w:rPr>
          <w:rFonts w:ascii="Arial" w:hAnsi="Arial"/>
          <w:sz w:val="20"/>
        </w:rPr>
        <w:t xml:space="preserve"> </w:t>
      </w:r>
      <w:r>
        <w:rPr>
          <w:rFonts w:ascii="Arial" w:hAnsi="Arial"/>
          <w:sz w:val="20"/>
        </w:rPr>
        <w:t xml:space="preserve">exceed mean pre-transplant baseline VH by ≥ 0.3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+0.52 dB. PASS.</w:t>
      </w:r>
    </w:p>
    <w:p>
      <w:pPr>
        <w:pStyle w:val="BodyText"/>
      </w:pPr>
      <w:r>
        <w:rPr>
          <w:rFonts w:ascii="Arial" w:hAnsi="Arial"/>
          <w:b/>
          <w:bCs/>
          <w:sz w:val="20"/>
        </w:rPr>
        <w:t xml:space="preserve">VV baseline-to-canopy contrast.</w:t>
      </w:r>
      <w:r>
        <w:rPr>
          <w:rFonts w:ascii="Arial" w:hAnsi="Arial"/>
          <w:sz w:val="20"/>
        </w:rPr>
        <w:t xml:space="preserve"> </w:t>
      </w:r>
      <w:r>
        <w:rPr>
          <w:rFonts w:ascii="Arial" w:hAnsi="Arial"/>
          <w:sz w:val="20"/>
        </w:rPr>
        <w:t xml:space="preserve">Mean transplanting VV must</w:t>
      </w:r>
      <w:r>
        <w:rPr>
          <w:rFonts w:ascii="Arial" w:hAnsi="Arial"/>
          <w:sz w:val="20"/>
        </w:rPr>
        <w:t xml:space="preserve"> </w:t>
      </w:r>
      <w:r>
        <w:rPr>
          <w:rFonts w:ascii="Arial" w:hAnsi="Arial"/>
          <w:sz w:val="20"/>
        </w:rPr>
        <w:t xml:space="preserve">exceed mean pre-transplant baseline VV by ≥ 0.5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+0.82 dB. PASS.</w:t>
      </w:r>
    </w:p>
    <w:p>
      <w:pPr>
        <w:pStyle w:val="BodyText"/>
      </w:pPr>
      <w:r>
        <w:rPr>
          <w:rFonts w:ascii="Arial" w:hAnsi="Arial"/>
          <w:b/>
          <w:bCs/>
          <w:sz w:val="20"/>
        </w:rPr>
        <w:t xml:space="preserve">CR monotonic-canopy decrease.</w:t>
      </w:r>
      <w:r>
        <w:rPr>
          <w:rFonts w:ascii="Arial" w:hAnsi="Arial"/>
          <w:sz w:val="20"/>
        </w:rPr>
        <w:t xml:space="preserve"> </w:t>
      </w:r>
      <w:r>
        <w:rPr>
          <w:rFonts w:ascii="Arial" w:hAnsi="Arial"/>
          <w:sz w:val="20"/>
        </w:rPr>
        <w:t xml:space="preserve">Mean CR must decrease from</w:t>
      </w:r>
      <w:r>
        <w:rPr>
          <w:rFonts w:ascii="Arial" w:hAnsi="Arial"/>
          <w:sz w:val="20"/>
        </w:rPr>
        <w:t xml:space="preserve"> </w:t>
      </w:r>
      <w:r>
        <w:rPr>
          <w:rFonts w:ascii="Arial" w:hAnsi="Arial"/>
          <w:sz w:val="20"/>
        </w:rPr>
        <w:t xml:space="preserve">pre-transplant baseline through peak canopy.</w:t>
      </w:r>
      <w:r>
        <w:rPr>
          <w:rFonts w:ascii="Arial" w:hAnsi="Arial"/>
          <w:sz w:val="20"/>
        </w:rPr>
        <w:t xml:space="preserve"> </w:t>
      </w:r>
      <w:r>
        <w:rPr>
          <w:rFonts w:ascii="Arial" w:hAnsi="Arial"/>
          <w:i/>
          <w:iCs/>
          <w:sz w:val="20"/>
        </w:rPr>
        <w:t xml:space="preserve">Observed: 0.239 →</w:t>
      </w:r>
      <w:r>
        <w:rPr>
          <w:rFonts w:ascii="Arial" w:hAnsi="Arial"/>
          <w:i/>
          <w:iCs/>
          <w:sz w:val="20"/>
        </w:rPr>
        <w:t xml:space="preserve"> </w:t>
      </w:r>
      <w:r>
        <w:rPr>
          <w:rFonts w:ascii="Arial" w:hAnsi="Arial"/>
          <w:i/>
          <w:iCs/>
          <w:sz w:val="20"/>
        </w:rPr>
        <w:t xml:space="preserve">0.225 → 0.212. PASS.</w:t>
      </w:r>
    </w:p>
    <w:p>
      <w:pPr>
        <w:pStyle w:val="BodyText"/>
      </w:pPr>
      <w:r>
        <w:rPr>
          <w:rFonts w:ascii="Arial" w:hAnsi="Arial"/>
          <w:b/>
          <w:bCs/>
          <w:sz w:val="20"/>
        </w:rPr>
        <w:t xml:space="preserve">Bulbul-event distinguishability.</w:t>
      </w:r>
      <w:r>
        <w:rPr>
          <w:rFonts w:ascii="Arial" w:hAnsi="Arial"/>
          <w:sz w:val="20"/>
        </w:rPr>
        <w:t xml:space="preserve"> </w:t>
      </w:r>
      <w:r>
        <w:rPr>
          <w:rFonts w:ascii="Arial" w:hAnsi="Arial"/>
          <w:sz w:val="20"/>
        </w:rPr>
        <w:t xml:space="preserve">The Bulbul event-window CR</w:t>
      </w:r>
      <w:r>
        <w:rPr>
          <w:rFonts w:ascii="Arial" w:hAnsi="Arial"/>
          <w:sz w:val="20"/>
        </w:rPr>
        <w:t xml:space="preserve"> </w:t>
      </w:r>
      <w:r>
        <w:rPr>
          <w:rFonts w:ascii="Arial" w:hAnsi="Arial"/>
          <w:sz w:val="20"/>
        </w:rPr>
        <w:t xml:space="preserve">must differ from the peak-canopy CR by ≥ 0.02 in at least three of</w:t>
      </w:r>
      <w:r>
        <w:rPr>
          <w:rFonts w:ascii="Arial" w:hAnsi="Arial"/>
          <w:sz w:val="20"/>
        </w:rPr>
        <w:t xml:space="preserve"> </w:t>
      </w:r>
      <w:r>
        <w:rPr>
          <w:rFonts w:ascii="Arial" w:hAnsi="Arial"/>
          <w:sz w:val="20"/>
        </w:rPr>
        <w:t xml:space="preserve">the four districts.</w:t>
      </w:r>
      <w:r>
        <w:rPr>
          <w:rFonts w:ascii="Arial" w:hAnsi="Arial"/>
          <w:sz w:val="20"/>
        </w:rPr>
        <w:t xml:space="preserve"> </w:t>
      </w:r>
      <w:r>
        <w:rPr>
          <w:rFonts w:ascii="Arial" w:hAnsi="Arial"/>
          <w:i/>
          <w:iCs/>
          <w:sz w:val="20"/>
        </w:rPr>
        <w:t xml:space="preserve">Observed: per-district ΔCR (Bulbul − peak)</w:t>
      </w:r>
      <w:r>
        <w:rPr>
          <w:rFonts w:ascii="Arial" w:hAnsi="Arial"/>
          <w:i/>
          <w:iCs/>
          <w:sz w:val="20"/>
        </w:rPr>
        <w:t xml:space="preserve"> </w:t>
      </w:r>
      <w:r>
        <w:rPr>
          <w:rFonts w:ascii="Arial" w:hAnsi="Arial"/>
          <w:i/>
          <w:iCs/>
          <w:sz w:val="20"/>
        </w:rPr>
        <w:t xml:space="preserve">= +0.023 (Boudh), +0.050 (Ganjam), +0.046 (Khordha), +0.030</w:t>
      </w:r>
      <w:r>
        <w:rPr>
          <w:rFonts w:ascii="Arial" w:hAnsi="Arial"/>
          <w:i/>
          <w:iCs/>
          <w:sz w:val="20"/>
        </w:rPr>
        <w:t xml:space="preserve"> </w:t>
      </w:r>
      <w:r>
        <w:rPr>
          <w:rFonts w:ascii="Arial" w:hAnsi="Arial"/>
          <w:i/>
          <w:iCs/>
          <w:sz w:val="20"/>
        </w:rPr>
        <w:t xml:space="preserve">(Nayagarh). PASS in 4 of 4 districts.</w:t>
      </w:r>
    </w:p>
    <w:p>
      <w:pPr/>
      <w:r>
        <w:rPr>
          <w:rFonts w:ascii="Arial" w:hAnsi="Arial"/>
          <w:sz w:val="20"/>
        </w:rPr>
        <w:t xml:space="preserve">All four pre-registered falsifiability conditions PASS on the real</w:t>
      </w:r>
      <w:r>
        <w:rPr>
          <w:rFonts w:ascii="Arial" w:hAnsi="Arial"/>
          <w:sz w:val="20"/>
        </w:rPr>
        <w:t xml:space="preserve"> </w:t>
      </w:r>
      <w:r>
        <w:rPr>
          <w:rFonts w:ascii="Arial" w:hAnsi="Arial"/>
          <w:sz w:val="20"/>
        </w:rPr>
        <w:t xml:space="preserve">2019 Sentinel-1 record over the four probe districts.</w:t>
      </w:r>
    </w:p>
    <w:bookmarkEnd w:id="25"/>
    <w:bookmarkStart w:id="26" w:name="s3.6-pre-registration-and-scope"/>
    <w:p>
      <w:pPr>
        <w:pStyle w:val="Heading2"/>
      </w:pPr>
      <w:r>
        <w:rPr>
          <w:rFonts w:ascii="Arial" w:hAnsi="Arial"/>
        </w:rPr>
        <w:t xml:space="preserve">S3.6 Pre-registration and scope</w:t>
      </w:r>
    </w:p>
    <w:p>
      <w:pPr/>
      <w:r>
        <w:rPr>
          <w:rFonts w:ascii="Arial" w:hAnsi="Arial"/>
          <w:sz w:val="20"/>
        </w:rPr>
        <w:t xml:space="preserve">This note is the</w:t>
      </w:r>
      <w:r>
        <w:rPr>
          <w:rFonts w:ascii="Arial" w:hAnsi="Arial"/>
          <w:sz w:val="20"/>
        </w:rPr>
        <w:t xml:space="preserve"> </w:t>
      </w:r>
      <w:r>
        <w:rPr>
          <w:rFonts w:ascii="Arial" w:hAnsi="Arial"/>
          <w:i/>
          <w:iCs/>
          <w:sz w:val="20"/>
        </w:rPr>
        <w:t xml:space="preserve">empirical calibration record</w:t>
      </w:r>
      <w:r>
        <w:rPr>
          <w:rFonts w:ascii="Arial" w:hAnsi="Arial"/>
          <w:sz w:val="20"/>
        </w:rPr>
        <w:t xml:space="preserve"> </w:t>
      </w:r>
      <w:r>
        <w:rPr>
          <w:rFonts w:ascii="Arial" w:hAnsi="Arial"/>
          <w:sz w:val="20"/>
        </w:rPr>
        <w:t xml:space="preserve">for the saline-flood</w:t>
      </w:r>
      <w:r>
        <w:rPr>
          <w:rFonts w:ascii="Arial" w:hAnsi="Arial"/>
          <w:sz w:val="20"/>
        </w:rPr>
        <w:t xml:space="preserve"> </w:t>
      </w:r>
      <w:r>
        <w:rPr>
          <w:rFonts w:ascii="Arial" w:hAnsi="Arial"/>
          <w:sz w:val="20"/>
        </w:rPr>
        <w:t xml:space="preserve">feature space declared in OSF pre-registration §2.3 (</w:t>
      </w:r>
      <w:r>
        <w:rPr>
          <w:rFonts w:ascii="Arial" w:hAnsi="Arial"/>
          <w:sz w:val="20"/>
        </w:rPr>
        <w:t xml:space="preserve">“</w:t>
      </w:r>
      <w:r>
        <w:rPr>
          <w:rFonts w:ascii="Arial" w:hAnsi="Arial"/>
          <w:sz w:val="20"/>
        </w:rPr>
        <w:t xml:space="preserve">Sentinel-1</w:t>
      </w:r>
      <w:r>
        <w:rPr>
          <w:rFonts w:ascii="Arial" w:hAnsi="Arial"/>
          <w:sz w:val="20"/>
        </w:rPr>
        <w:t xml:space="preserve"> </w:t>
      </w:r>
      <w:r>
        <w:rPr>
          <w:rFonts w:ascii="Arial" w:hAnsi="Arial"/>
          <w:sz w:val="20"/>
        </w:rPr>
        <w:t xml:space="preserve">dual-polarisation backscatter, with cross-ratio CR, will be used as</w:t>
      </w:r>
      <w:r>
        <w:rPr>
          <w:rFonts w:ascii="Arial" w:hAnsi="Arial"/>
          <w:sz w:val="20"/>
        </w:rPr>
        <w:t xml:space="preserve"> </w:t>
      </w:r>
      <w:r>
        <w:rPr>
          <w:rFonts w:ascii="Arial" w:hAnsi="Arial"/>
          <w:sz w:val="20"/>
        </w:rPr>
        <w:t xml:space="preserve">the primary inundation discriminator; ERA5 wind will gate cyclonic</w:t>
      </w:r>
      <w:r>
        <w:rPr>
          <w:rFonts w:ascii="Arial" w:hAnsi="Arial"/>
          <w:sz w:val="20"/>
        </w:rPr>
        <w:t xml:space="preserve"> </w:t>
      </w:r>
      <w:r>
        <w:rPr>
          <w:rFonts w:ascii="Arial" w:hAnsi="Arial"/>
          <w:sz w:val="20"/>
        </w:rPr>
        <w:t xml:space="preserve">events; JRC water mask will exclude permanent water</w:t>
      </w:r>
      <w:r>
        <w:rPr>
          <w:rFonts w:ascii="Arial" w:hAnsi="Arial"/>
          <w:sz w:val="20"/>
        </w:rPr>
        <w:t xml:space="preserve">”</w:t>
      </w:r>
      <w:r>
        <w:rPr>
          <w:rFonts w:ascii="Arial" w:hAnsi="Arial"/>
          <w:sz w:val="20"/>
        </w:rPr>
        <w:t xml:space="preserve">). The</w:t>
      </w:r>
      <w:r>
        <w:rPr>
          <w:rFonts w:ascii="Arial" w:hAnsi="Arial"/>
          <w:sz w:val="20"/>
        </w:rPr>
        <w:t xml:space="preserve"> </w:t>
      </w:r>
      <w:r>
        <w:rPr>
          <w:rFonts w:ascii="Arial" w:hAnsi="Arial"/>
          <w:sz w:val="20"/>
        </w:rPr>
        <w:t xml:space="preserve">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w:t>
      </w:r>
      <w:r>
        <w:rPr>
          <w:rFonts w:ascii="Arial" w:hAnsi="Arial"/>
          <w:sz w:val="20"/>
        </w:rPr>
        <w:t xml:space="preserve"> </w:t>
      </w:r>
      <w:r>
        <w:rPr>
          <w:rFonts w:ascii="Arial" w:hAnsi="Arial"/>
          <w:sz w:val="20"/>
        </w:rPr>
        <w:t xml:space="preserve">The signatures in Table S9 are observational, post-registration, and</w:t>
      </w:r>
      <w:r>
        <w:rPr>
          <w:rFonts w:ascii="Arial" w:hAnsi="Arial"/>
          <w:sz w:val="20"/>
        </w:rPr>
        <w:t xml:space="preserve"> </w:t>
      </w:r>
      <w:r>
        <w:rPr>
          <w:rFonts w:ascii="Arial" w:hAnsi="Arial"/>
          <w:sz w:val="20"/>
        </w:rPr>
        <w:t xml:space="preserve">were not used to alter any pre-registered hypothesis or decision rule.</w:t>
      </w:r>
    </w:p>
    <w:bookmarkEnd w:id="26"/>
    <w:bookmarkStart w:id="27" w:name="s3.7-replication-recipe"/>
    <w:p>
      <w:pPr>
        <w:pStyle w:val="Heading2"/>
      </w:pPr>
      <w:r>
        <w:rPr>
          <w:rFonts w:ascii="Arial" w:hAnsi="Arial"/>
        </w:rPr>
        <w:t xml:space="preserve">S3.7 Replication recipe</w:t>
      </w:r>
    </w:p>
    <w:p>
      <w:pPr/>
      <w:r>
        <w:rPr>
          <w:rFonts w:ascii="Arial" w:hAnsi="Arial"/>
          <w:sz w:val="20"/>
        </w:rPr>
        <w:t xml:space="preserve">To reproduce Table S9 and Figure S2 end-to-end (no GEE auth required;</w:t>
      </w:r>
      <w:r>
        <w:rPr>
          <w:rFonts w:ascii="Arial" w:hAnsi="Arial"/>
          <w:sz w:val="20"/>
        </w:rPr>
        <w:t xml:space="preserve"> </w:t>
      </w:r>
      <w:r>
        <w:rPr>
          <w:rFonts w:ascii="Arial" w:hAnsi="Arial"/>
          <w:sz w:val="20"/>
        </w:rPr>
        <w:t xml:space="preserve">~12 min CPU on a single core):</w:t>
      </w:r>
    </w:p>
    <w:p>
      <w:pPr/>
      <w:r>
        <w:rPr>
          <w:rFonts w:ascii="Arial" w:hAnsi="Arial"/>
          <w:sz w:val="20"/>
        </w:rPr>
        <w:t xml:space="preserve">pip install pystac-client planetary-computer odc-stac rioxarray rasterio</w:t>
      </w:r>
      <w:r>
        <w:rPr>
          <w:rFonts w:ascii="Arial" w:hAnsi="Arial"/>
          <w:sz w:val="20"/>
        </w:rPr>
        <w:br/>
      </w:r>
      <w:r>
        <w:rPr>
          <w:rFonts w:ascii="Arial" w:hAnsi="Arial"/>
          <w:sz w:val="20"/>
        </w:rPr>
        <w:t xml:space="preserve">python analysis/18_real_s1_backscatter_signatures.py   # extracts 85 dekads</w:t>
      </w:r>
      <w:r>
        <w:rPr>
          <w:rFonts w:ascii="Arial" w:hAnsi="Arial"/>
          <w:sz w:val="20"/>
        </w:rPr>
        <w:br/>
      </w:r>
      <w:r>
        <w:rPr>
          <w:rFonts w:ascii="Arial" w:hAnsi="Arial"/>
          <w:sz w:val="20"/>
        </w:rPr>
        <w:t xml:space="preserve">python analysis/20_build_table_s9_fig_s2_real.py        # builds DOCX + PDF</w:t>
      </w:r>
    </w:p>
    <w:p>
      <w:pPr/>
      <w:r>
        <w:rPr>
          <w:rFonts w:ascii="Arial" w:hAnsi="Arial"/>
          <w:sz w:val="20"/>
        </w:rPr>
        <w:t xml:space="preserve">Intermediate artefacts (in</w:t>
      </w:r>
      <w:r>
        <w:rPr>
          <w:rFonts w:ascii="Arial" w:hAnsi="Arial"/>
          <w:sz w:val="20"/>
        </w:rPr>
        <w:t xml:space="preserve"> </w:t>
      </w:r>
      <w:r>
        <w:rPr>
          <w:rFonts w:ascii="Arial" w:hAnsi="Arial"/>
          <w:sz w:val="20"/>
        </w:rPr>
        <w:t xml:space="preserve">analysis/results/real_v21/</w:t>
      </w:r>
      <w:r>
        <w:rPr>
          <w:rFonts w:ascii="Arial" w:hAnsi="Arial"/>
          <w:sz w:val="20"/>
        </w:rPr>
        <w:t xml:space="preserve">):</w:t>
      </w:r>
    </w:p>
    <w:p>
      <w:pPr>
        <w:pStyle w:val="BodyText"/>
      </w:pPr>
      <w:r>
        <w:rPr>
          <w:rFonts w:ascii="Arial" w:hAnsi="Arial"/>
          <w:sz w:val="20"/>
        </w:rPr>
        <w:t xml:space="preserve">s1_backscatter_real_signatures.csv</w:t>
      </w:r>
      <w:r>
        <w:rPr>
          <w:rFonts w:ascii="Arial" w:hAnsi="Arial"/>
          <w:sz w:val="20"/>
        </w:rPr>
        <w:t xml:space="preserve"> </w:t>
      </w:r>
      <w:r>
        <w:rPr>
          <w:rFonts w:ascii="Arial" w:hAnsi="Arial"/>
          <w:sz w:val="20"/>
        </w:rPr>
        <w:t xml:space="preserve">— 85 district-dekad rows</w:t>
      </w:r>
    </w:p>
    <w:p>
      <w:pPr>
        <w:pStyle w:val="BodyText"/>
      </w:pPr>
      <w:r>
        <w:rPr>
          <w:rFonts w:ascii="Arial" w:hAnsi="Arial"/>
          <w:sz w:val="20"/>
        </w:rPr>
        <w:t xml:space="preserve">s1_backscatter_real_series_&lt;district&gt;.csv</w:t>
      </w:r>
      <w:r>
        <w:rPr>
          <w:rFonts w:ascii="Arial" w:hAnsi="Arial"/>
          <w:sz w:val="20"/>
        </w:rPr>
        <w:t xml:space="preserve"> </w:t>
      </w:r>
      <w:r>
        <w:rPr>
          <w:rFonts w:ascii="Arial" w:hAnsi="Arial"/>
          <w:sz w:val="20"/>
        </w:rPr>
        <w:t xml:space="preserve">— per-district series</w:t>
      </w:r>
    </w:p>
    <w:p>
      <w:pPr>
        <w:pStyle w:val="BodyText"/>
      </w:pPr>
      <w:r>
        <w:rPr>
          <w:rFonts w:ascii="Arial" w:hAnsi="Arial"/>
          <w:sz w:val="20"/>
        </w:rPr>
        <w:t xml:space="preserve">s1_backscatter_phase_means.csv</w:t>
      </w:r>
      <w:r>
        <w:rPr>
          <w:rFonts w:ascii="Arial" w:hAnsi="Arial"/>
          <w:sz w:val="20"/>
        </w:rPr>
        <w:t xml:space="preserve"> </w:t>
      </w:r>
      <w:r>
        <w:rPr>
          <w:rFonts w:ascii="Arial" w:hAnsi="Arial"/>
          <w:sz w:val="20"/>
        </w:rPr>
        <w:t xml:space="preserve">— Table S9(a)</w:t>
      </w:r>
    </w:p>
    <w:p>
      <w:pPr>
        <w:pStyle w:val="BodyText"/>
      </w:pPr>
      <w:r>
        <w:rPr>
          <w:rFonts w:ascii="Arial" w:hAnsi="Arial"/>
          <w:sz w:val="20"/>
        </w:rPr>
        <w:t xml:space="preserve">s1_backscatter_phase_deltas.csv</w:t>
      </w:r>
      <w:r>
        <w:rPr>
          <w:rFonts w:ascii="Arial" w:hAnsi="Arial"/>
          <w:sz w:val="20"/>
        </w:rPr>
        <w:t xml:space="preserve"> </w:t>
      </w:r>
      <w:r>
        <w:rPr>
          <w:rFonts w:ascii="Arial" w:hAnsi="Arial"/>
          <w:sz w:val="20"/>
        </w:rPr>
        <w:t xml:space="preserve">— Table S9(b)</w:t>
      </w:r>
    </w:p>
    <w:bookmarkEnd w:id="27"/>
    <w:bookmarkStart w:id="28" w:name="references"/>
    <w:p>
      <w:pPr>
        <w:pStyle w:val="Heading2"/>
      </w:pPr>
      <w:r>
        <w:rPr>
          <w:rFonts w:ascii="Arial" w:hAnsi="Arial"/>
        </w:rPr>
        <w:t xml:space="preserve">References</w:t>
      </w:r>
    </w:p>
    <w:p>
      <w:pPr>
        <w:pStyle w:val="BodyText"/>
      </w:pPr>
      <w:r>
        <w:rPr>
          <w:rFonts w:ascii="Arial" w:hAnsi="Arial"/>
          <w:sz w:val="20"/>
        </w:rPr>
        <w:t xml:space="preserve">Filipponi, F. (2019). Sentinel-1 GRD pre-processing workflow.</w:t>
      </w:r>
      <w:r>
        <w:rPr>
          <w:rFonts w:ascii="Arial" w:hAnsi="Arial"/>
          <w:sz w:val="20"/>
        </w:rPr>
        <w:t xml:space="preserve"> </w:t>
      </w:r>
      <w:r>
        <w:rPr>
          <w:rFonts w:ascii="Arial" w:hAnsi="Arial"/>
          <w:i/>
          <w:iCs/>
          <w:sz w:val="20"/>
        </w:rPr>
        <w:t xml:space="preserve">Proceedings</w:t>
      </w:r>
      <w:r>
        <w:rPr>
          <w:rFonts w:ascii="Arial" w:hAnsi="Arial"/>
          <w:sz w:val="20"/>
        </w:rPr>
        <w:t xml:space="preserve"> </w:t>
      </w:r>
      <w:r>
        <w:rPr>
          <w:rFonts w:ascii="Arial" w:hAnsi="Arial"/>
          <w:sz w:val="20"/>
        </w:rPr>
        <w:t xml:space="preserve">18:11.</w:t>
      </w:r>
    </w:p>
    <w:p>
      <w:pPr>
        <w:pStyle w:val="BodyText"/>
      </w:pPr>
      <w:r>
        <w:rPr>
          <w:rFonts w:ascii="Arial" w:hAnsi="Arial"/>
          <w:sz w:val="20"/>
        </w:rPr>
        <w:t xml:space="preserve">Hoshikawa, K., Hayashi, M., Yamamoto, T., Watanabe, R. (2023). SAR</w:t>
      </w:r>
      <w:r>
        <w:rPr>
          <w:rFonts w:ascii="Arial" w:hAnsi="Arial"/>
          <w:sz w:val="20"/>
        </w:rPr>
        <w:t xml:space="preserve"> </w:t>
      </w:r>
      <w:r>
        <w:rPr>
          <w:rFonts w:ascii="Arial" w:hAnsi="Arial"/>
          <w:sz w:val="20"/>
        </w:rPr>
        <w:t xml:space="preserve">backscatter behaviour of partially inundated paddy rice:</w:t>
      </w:r>
      <w:r>
        <w:rPr>
          <w:rFonts w:ascii="Arial" w:hAnsi="Arial"/>
          <w:sz w:val="20"/>
        </w:rPr>
        <w:t xml:space="preserve"> </w:t>
      </w:r>
      <w:r>
        <w:rPr>
          <w:rFonts w:ascii="Arial" w:hAnsi="Arial"/>
          <w:sz w:val="20"/>
        </w:rPr>
        <w:t xml:space="preserve">implications for waterlogged rainfed rice monitoring.</w:t>
      </w:r>
      <w:r>
        <w:rPr>
          <w:rFonts w:ascii="Arial" w:hAnsi="Arial"/>
          <w:sz w:val="20"/>
        </w:rPr>
        <w:t xml:space="preserve"> </w:t>
      </w:r>
      <w:r>
        <w:rPr>
          <w:rFonts w:ascii="Arial" w:hAnsi="Arial"/>
          <w:i/>
          <w:iCs/>
          <w:sz w:val="20"/>
        </w:rPr>
        <w:t xml:space="preserve">European</w:t>
      </w:r>
      <w:r>
        <w:rPr>
          <w:rFonts w:ascii="Arial" w:hAnsi="Arial"/>
          <w:i/>
          <w:iCs/>
          <w:sz w:val="20"/>
        </w:rPr>
        <w:t xml:space="preserve"> </w:t>
      </w:r>
      <w:r>
        <w:rPr>
          <w:rFonts w:ascii="Arial" w:hAnsi="Arial"/>
          <w:i/>
          <w:iCs/>
          <w:sz w:val="20"/>
        </w:rPr>
        <w:t xml:space="preserve">Journal of Remote Sensing</w:t>
      </w:r>
      <w:r>
        <w:rPr>
          <w:rFonts w:ascii="Arial" w:hAnsi="Arial"/>
          <w:sz w:val="20"/>
        </w:rPr>
        <w:t xml:space="preserve"> </w:t>
      </w:r>
      <w:r>
        <w:rPr>
          <w:rFonts w:ascii="Arial" w:hAnsi="Arial"/>
          <w:sz w:val="20"/>
        </w:rPr>
        <w:t xml:space="preserve">56. https://doi.org/10.1080/22797254.2023.2269305</w:t>
      </w:r>
    </w:p>
    <w:p>
      <w:pPr>
        <w:pStyle w:val="BodyText"/>
      </w:pPr>
      <w:r>
        <w:rPr>
          <w:rFonts w:ascii="Arial" w:hAnsi="Arial"/>
          <w:sz w:val="20"/>
        </w:rPr>
        <w:t xml:space="preserve">Konkathi, P., Shetty, A., Rawal, S. (2024). Kharif rice mapping using</w:t>
      </w:r>
      <w:r>
        <w:rPr>
          <w:rFonts w:ascii="Arial" w:hAnsi="Arial"/>
          <w:sz w:val="20"/>
        </w:rPr>
        <w:t xml:space="preserve"> </w:t>
      </w:r>
      <w:r>
        <w:rPr>
          <w:rFonts w:ascii="Arial" w:hAnsi="Arial"/>
          <w:sz w:val="20"/>
        </w:rPr>
        <w:t xml:space="preserve">multi-polarisation Sentinel-1 SAR in coastal Andhra Pradesh.</w:t>
      </w:r>
      <w:r>
        <w:rPr>
          <w:rFonts w:ascii="Arial" w:hAnsi="Arial"/>
          <w:sz w:val="20"/>
        </w:rPr>
        <w:t xml:space="preserve"> </w:t>
      </w:r>
      <w:r>
        <w:rPr>
          <w:rFonts w:ascii="Arial" w:hAnsi="Arial"/>
          <w:i/>
          <w:iCs/>
          <w:sz w:val="20"/>
        </w:rPr>
        <w:t xml:space="preserve">Proceedings of the IGARSS 2024 IEEE International Geoscience and</w:t>
      </w:r>
      <w:r>
        <w:rPr>
          <w:rFonts w:ascii="Arial" w:hAnsi="Arial"/>
          <w:i/>
          <w:iCs/>
          <w:sz w:val="20"/>
        </w:rPr>
        <w:t xml:space="preserve"> </w:t>
      </w:r>
      <w:r>
        <w:rPr>
          <w:rFonts w:ascii="Arial" w:hAnsi="Arial"/>
          <w:i/>
          <w:iCs/>
          <w:sz w:val="20"/>
        </w:rPr>
        <w:t xml:space="preserve">Remote Sensing Symposium</w:t>
      </w:r>
      <w:r>
        <w:rPr>
          <w:rFonts w:ascii="Arial" w:hAnsi="Arial"/>
          <w:sz w:val="20"/>
        </w:rPr>
        <w:t xml:space="preserve">, 1014–1017.</w:t>
      </w:r>
      <w:r>
        <w:rPr>
          <w:rFonts w:ascii="Arial" w:hAnsi="Arial"/>
          <w:sz w:val="20"/>
        </w:rPr>
        <w:t xml:space="preserve"> </w:t>
      </w:r>
      <w:r>
        <w:rPr>
          <w:rFonts w:ascii="Arial" w:hAnsi="Arial"/>
          <w:sz w:val="20"/>
        </w:rPr>
        <w:t xml:space="preserve">https://doi.org/10.1109/InGARSS61818.2024.10984185</w:t>
      </w:r>
    </w:p>
    <w:p>
      <w:pPr>
        <w:pStyle w:val="BodyText"/>
      </w:pPr>
      <w:r>
        <w:rPr>
          <w:rFonts w:ascii="Arial" w:hAnsi="Arial"/>
          <w:sz w:val="20"/>
        </w:rPr>
        <w:t xml:space="preserve">Lee, J. S., Pottier, E. (2009).</w:t>
      </w:r>
      <w:r>
        <w:rPr>
          <w:rFonts w:ascii="Arial" w:hAnsi="Arial"/>
          <w:sz w:val="20"/>
        </w:rPr>
        <w:t xml:space="preserve"> </w:t>
      </w:r>
      <w:r>
        <w:rPr>
          <w:rFonts w:ascii="Arial" w:hAnsi="Arial"/>
          <w:i/>
          <w:iCs/>
          <w:sz w:val="20"/>
        </w:rPr>
        <w:t xml:space="preserve">Polarimetric Radar Imaging: From</w:t>
      </w:r>
      <w:r>
        <w:rPr>
          <w:rFonts w:ascii="Arial" w:hAnsi="Arial"/>
          <w:i/>
          <w:iCs/>
          <w:sz w:val="20"/>
        </w:rPr>
        <w:t xml:space="preserve"> </w:t>
      </w:r>
      <w:r>
        <w:rPr>
          <w:rFonts w:ascii="Arial" w:hAnsi="Arial"/>
          <w:i/>
          <w:iCs/>
          <w:sz w:val="20"/>
        </w:rPr>
        <w:t xml:space="preserve">Basics to Applications.</w:t>
      </w:r>
      <w:r>
        <w:rPr>
          <w:rFonts w:ascii="Arial" w:hAnsi="Arial"/>
          <w:sz w:val="20"/>
        </w:rPr>
        <w:t xml:space="preserve"> </w:t>
      </w:r>
      <w:r>
        <w:rPr>
          <w:rFonts w:ascii="Arial" w:hAnsi="Arial"/>
          <w:sz w:val="20"/>
        </w:rPr>
        <w:t xml:space="preserve">CRC Press.</w:t>
      </w:r>
    </w:p>
    <w:p>
      <w:pPr>
        <w:pStyle w:val="BodyText"/>
      </w:pPr>
      <w:r>
        <w:rPr>
          <w:rFonts w:ascii="Arial" w:hAnsi="Arial"/>
          <w:sz w:val="20"/>
        </w:rPr>
        <w:t xml:space="preserve">Wali, E., Tasumi, M., Moriyama, M. (2020). Combination of linear</w:t>
      </w:r>
      <w:r>
        <w:rPr>
          <w:rFonts w:ascii="Arial" w:hAnsi="Arial"/>
          <w:sz w:val="20"/>
        </w:rPr>
        <w:t xml:space="preserve"> </w:t>
      </w:r>
      <w:r>
        <w:rPr>
          <w:rFonts w:ascii="Arial" w:hAnsi="Arial"/>
          <w:sz w:val="20"/>
        </w:rPr>
        <w:t xml:space="preserve">regression lines to understand the response of Sentinel-1 dual</w:t>
      </w:r>
      <w:r>
        <w:rPr>
          <w:rFonts w:ascii="Arial" w:hAnsi="Arial"/>
          <w:sz w:val="20"/>
        </w:rPr>
        <w:t xml:space="preserve"> </w:t>
      </w:r>
      <w:r>
        <w:rPr>
          <w:rFonts w:ascii="Arial" w:hAnsi="Arial"/>
          <w:sz w:val="20"/>
        </w:rPr>
        <w:t xml:space="preserve">polarisation SAR data with crop growth, soil moisture and irrigation</w:t>
      </w:r>
      <w:r>
        <w:rPr>
          <w:rFonts w:ascii="Arial" w:hAnsi="Arial"/>
          <w:sz w:val="20"/>
        </w:rPr>
        <w:t xml:space="preserve"> </w:t>
      </w:r>
      <w:r>
        <w:rPr>
          <w:rFonts w:ascii="Arial" w:hAnsi="Arial"/>
          <w:sz w:val="20"/>
        </w:rPr>
        <w:t xml:space="preserve">on paddy rice fields in a tropical region.</w:t>
      </w:r>
      <w:r>
        <w:rPr>
          <w:rFonts w:ascii="Arial" w:hAnsi="Arial"/>
          <w:sz w:val="20"/>
        </w:rPr>
        <w:t xml:space="preserve"> </w:t>
      </w:r>
      <w:r>
        <w:rPr>
          <w:rFonts w:ascii="Arial" w:hAnsi="Arial"/>
          <w:i/>
          <w:iCs/>
          <w:sz w:val="20"/>
        </w:rPr>
        <w:t xml:space="preserve">Remote Sensing</w:t>
      </w:r>
      <w:r>
        <w:rPr>
          <w:rFonts w:ascii="Arial" w:hAnsi="Arial"/>
          <w:sz w:val="20"/>
        </w:rPr>
        <w:t xml:space="preserve"> </w:t>
      </w:r>
      <w:r>
        <w:rPr>
          <w:rFonts w:ascii="Arial" w:hAnsi="Arial"/>
          <w:sz w:val="20"/>
        </w:rPr>
        <w:t xml:space="preserve">12, 189.</w:t>
      </w:r>
      <w:r>
        <w:rPr>
          <w:rFonts w:ascii="Arial" w:hAnsi="Arial"/>
          <w:sz w:val="20"/>
        </w:rPr>
        <w:t xml:space="preserve"> </w:t>
      </w:r>
      <w:r>
        <w:rPr>
          <w:rFonts w:ascii="Arial" w:hAnsi="Arial"/>
          <w:sz w:val="20"/>
        </w:rPr>
        <w:t xml:space="preserve">https://doi.org/10.3390/rs12010189</w:t>
      </w:r>
    </w:p>
    <w:bookmarkEnd w:id="28"/>
    <w:bookmarkEnd w:id="29"/>
    <w:p>
      <w:r>
        <w:rPr>
          <w:rFonts w:ascii="Arial" w:hAnsi="Arial"/>
          <w:sz w:val="20"/>
        </w:rPr>
        <w:br w:type="page"/>
      </w:r>
    </w:p>
    <w:p>
      <w:pPr>
        <w:keepNext/>
        <w:spacing w:before="240" w:after="120"/>
      </w:pPr>
      <w:bookmarkStart w:id="43848" w:name="note_s4"/>
      <w:r>
        <w:rPr>
          <w:rFonts w:ascii="Arial" w:hAnsi="Arial"/>
          <w:b/>
          <w:color w:val="1F3A5F"/>
          <w:sz w:val="32"/>
        </w:rPr>
        <w:t>Note S4 — Small-G power / minimum detectable effect simulator</w:t>
      </w:r>
      <w:bookmarkEnd w:id="43848"/>
    </w:p>
    <w:bookmarkStart w:id="23" w:name="Xa4e2dea2d376ab4d6475c8d9700aaff9982f219"/>
    <w:p>
      <w:pPr>
        <w:pStyle w:val="Heading1"/>
      </w:pPr>
      <w:r>
        <w:rPr>
          <w:rFonts w:ascii="Arial" w:hAnsi="Arial"/>
        </w:rPr>
        <w:t xml:space="preserve">Methods §3.Y.4 — Post-hoc power and minimum detectable effect</w:t>
      </w:r>
    </w:p>
    <w:p>
      <w:pPr/>
      <w:r>
        <w:rPr>
          <w:rFonts w:ascii="Arial" w:hAnsi="Arial"/>
          <w:sz w:val="20"/>
        </w:rPr>
        <w:t xml:space="preserve">The panel size is fixed by geography: G=8 districts (5 coastal-treated,</w:t>
      </w:r>
      <w:r>
        <w:rPr>
          <w:rFonts w:ascii="Arial" w:hAnsi="Arial"/>
          <w:sz w:val="20"/>
        </w:rPr>
        <w:t xml:space="preserve"> </w:t>
      </w:r>
      <w:r>
        <w:rPr>
          <w:rFonts w:ascii="Arial" w:hAnsi="Arial"/>
          <w:sz w:val="20"/>
        </w:rPr>
        <w:t xml:space="preserve">3 inland-control) is the universe of districts where rice phenology and</w:t>
      </w:r>
      <w:r>
        <w:rPr>
          <w:rFonts w:ascii="Arial" w:hAnsi="Arial"/>
          <w:sz w:val="20"/>
        </w:rPr>
        <w:t xml:space="preserve"> </w:t>
      </w:r>
      <w:r>
        <w:rPr>
          <w:rFonts w:ascii="Arial" w:hAnsi="Arial"/>
          <w:sz w:val="20"/>
        </w:rPr>
        <w:t xml:space="preserve">cyclone exposure can both be observed in our study window. We therefore</w:t>
      </w:r>
      <w:r>
        <w:rPr>
          <w:rFonts w:ascii="Arial" w:hAnsi="Arial"/>
          <w:sz w:val="20"/>
        </w:rPr>
        <w:t xml:space="preserve"> </w:t>
      </w:r>
      <w:r>
        <w:rPr>
          <w:rFonts w:ascii="Arial" w:hAnsi="Arial"/>
          <w:sz w:val="20"/>
        </w:rPr>
        <w:t xml:space="preserve">report</w:t>
      </w:r>
      <w:r>
        <w:rPr>
          <w:rFonts w:ascii="Arial" w:hAnsi="Arial"/>
          <w:sz w:val="20"/>
        </w:rPr>
        <w:t xml:space="preserve"> </w:t>
      </w:r>
      <w:r>
        <w:rPr>
          <w:rFonts w:ascii="Arial" w:hAnsi="Arial"/>
          <w:b/>
          <w:bCs/>
          <w:sz w:val="20"/>
        </w:rPr>
        <w:t xml:space="preserve">post-hoc</w:t>
      </w:r>
      <w:r>
        <w:rPr>
          <w:rFonts w:ascii="Arial" w:hAnsi="Arial"/>
          <w:sz w:val="20"/>
        </w:rPr>
        <w:t xml:space="preserve"> </w:t>
      </w:r>
      <w:r>
        <w:rPr>
          <w:rFonts w:ascii="Arial" w:hAnsi="Arial"/>
          <w:sz w:val="20"/>
        </w:rPr>
        <w:t xml:space="preserve">power and the minimum detectable effect (MDE)</w:t>
      </w:r>
      <w:r>
        <w:rPr>
          <w:rFonts w:ascii="Arial" w:hAnsi="Arial"/>
          <w:sz w:val="20"/>
        </w:rPr>
        <w:t xml:space="preserve"> </w:t>
      </w:r>
      <w:r>
        <w:rPr>
          <w:rFonts w:ascii="Arial" w:hAnsi="Arial"/>
          <w:sz w:val="20"/>
        </w:rPr>
        <w:t xml:space="preserve">transparently, alongside the inferential results, so reviewers can</w:t>
      </w:r>
      <w:r>
        <w:rPr>
          <w:rFonts w:ascii="Arial" w:hAnsi="Arial"/>
          <w:sz w:val="20"/>
        </w:rPr>
        <w:t xml:space="preserve"> </w:t>
      </w:r>
      <w:r>
        <w:rPr>
          <w:rFonts w:ascii="Arial" w:hAnsi="Arial"/>
          <w:sz w:val="20"/>
        </w:rPr>
        <w:t xml:space="preserve">assess what could and could not be learned from this design. Power is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used to recompute p-values (those come from the wild-cluster</w:t>
      </w:r>
      <w:r>
        <w:rPr>
          <w:rFonts w:ascii="Arial" w:hAnsi="Arial"/>
          <w:sz w:val="20"/>
        </w:rPr>
        <w:t xml:space="preserve"> </w:t>
      </w:r>
      <w:r>
        <w:rPr>
          <w:rFonts w:ascii="Arial" w:hAnsi="Arial"/>
          <w:sz w:val="20"/>
        </w:rPr>
        <w:t xml:space="preserve">restricted bootstrap, §3.Y.3).</w:t>
      </w:r>
    </w:p>
    <w:bookmarkStart w:id="20" w:name="X01accebc7f868c35dd72684079370319d4b05c8"/>
    <w:p>
      <w:pPr>
        <w:pStyle w:val="Heading2"/>
      </w:pPr>
      <w:r>
        <w:rPr>
          <w:rFonts w:ascii="Arial" w:hAnsi="Arial"/>
        </w:rPr>
        <w:t xml:space="preserve">3.Y.4.1 Minimum detectable effect (analytical)</w:t>
      </w:r>
    </w:p>
    <w:p>
      <w:pPr/>
      <w:r>
        <w:rPr>
          <w:rFonts w:ascii="Arial" w:hAnsi="Arial"/>
          <w:sz w:val="20"/>
        </w:rPr>
        <w:t xml:space="preserve">For each (pipeline × phenometric) cell we compute the two-sided MDE at</w:t>
      </w:r>
      <w:r>
        <w:rPr>
          <w:rFonts w:ascii="Arial" w:hAnsi="Arial"/>
          <w:sz w:val="20"/>
        </w:rPr>
        <w:t xml:space="preserve"> </w:t>
      </w:r>
      <w:r>
        <w:rPr>
          <w:rFonts w:ascii="Arial" w:hAnsi="Arial"/>
          <w:sz w:val="20"/>
        </w:rPr>
        <w:t xml:space="preserve">α = 0.05 and power = 0.80 using the small-cluster t-distribution with</w:t>
      </w:r>
      <w:r>
        <w:rPr>
          <w:rFonts w:ascii="Arial" w:hAnsi="Arial"/>
          <w:sz w:val="20"/>
        </w:rPr>
        <w:t xml:space="preserve"> </w:t>
      </w:r>
      <w:r>
        <w:rPr>
          <w:rFonts w:ascii="Arial" w:hAnsi="Arial"/>
          <w:sz w:val="20"/>
        </w:rPr>
        <w:t xml:space="preserve">df = G − 1 = 7 (Donald and Lang, 2007):</w:t>
      </w:r>
    </w:p>
    <w:p>
      <w:pPr>
        <w:pStyle w:val="BodyText"/>
      </w:pPr>
      <m:oMathPara>
        <m:oMathParaPr>
          <m:jc m:val="center"/>
        </m:oMathParaPr>
        <m:oMath>
          <m:r>
            <m:rPr>
              <m:sty m:val="p"/>
            </m:rPr>
            <m:t>M</m:t>
          </m:r>
          <m:r>
            <m:rPr>
              <m:sty m:val="p"/>
            </m:rPr>
            <m:t>D</m:t>
          </m:r>
          <m:r>
            <m:rPr>
              <m:sty m:val="p"/>
            </m:rPr>
            <m:t>E</m:t>
          </m:r>
          <m:r>
            <m:t> </m:t>
          </m:r>
          <m:r>
            <m:rPr>
              <m:sty m:val="p"/>
            </m:rPr>
            <m:t>=</m:t>
          </m:r>
          <m:r>
            <m:t> </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oMath>
      </m:oMathPara>
    </w:p>
    <w:p>
      <w:pPr/>
      <w:r>
        <w:rPr>
          <w:rFonts w:ascii="Arial" w:hAnsi="Arial"/>
          <w:sz w:val="20"/>
        </w:rPr>
        <w:t xml:space="preserve">where</w:t>
      </w:r>
      <w:r>
        <w:rPr>
          <w:rFonts w:ascii="Arial" w:hAnsi="Arial"/>
          <w:sz w:val="20"/>
        </w:rPr>
        <w:t xml:space="preserve"> </w:t>
      </w:r>
      <m:oMath>
        <m:acc>
          <m:accPr>
            <m:chr m:val="̂"/>
          </m:accPr>
          <m:e>
            <m:r>
              <m:t>S</m:t>
            </m:r>
            <m:r>
              <m:t>E</m:t>
            </m:r>
          </m:e>
        </m:acc>
        <m:d>
          <m:dPr>
            <m:begChr m:val="("/>
            <m:endChr m:val=")"/>
            <m:sepChr m:val=""/>
            <m:grow/>
          </m:dPr>
          <m:e>
            <m:acc>
              <m:accPr>
                <m:chr m:val="̂"/>
              </m:accPr>
              <m:e>
                <m:r>
                  <m:t>τ</m:t>
                </m:r>
              </m:e>
            </m:acc>
          </m:e>
        </m:d>
      </m:oMath>
      <w:r>
        <w:rPr>
          <w:rFonts w:ascii="Arial" w:hAnsi="Arial"/>
          <w:sz w:val="20"/>
        </w:rPr>
        <w:t xml:space="preserve"> </w:t>
      </w:r>
      <w:r>
        <w:rPr>
          <w:rFonts w:ascii="Arial" w:hAnsi="Arial"/>
          <w:sz w:val="20"/>
        </w:rPr>
        <w:t xml:space="preserve">is the cluster-robust standard error</w:t>
      </w:r>
      <w:r>
        <w:rPr>
          <w:rFonts w:ascii="Arial" w:hAnsi="Arial"/>
          <w:sz w:val="20"/>
        </w:rPr>
        <w:t xml:space="preserve"> </w:t>
      </w:r>
      <w:r>
        <w:rPr>
          <w:rFonts w:ascii="Arial" w:hAnsi="Arial"/>
          <w:sz w:val="20"/>
        </w:rPr>
        <w:t xml:space="preserve">recovered in §3.Y.3 (Module 05a). Results land in</w:t>
      </w:r>
      <w:r>
        <w:rPr>
          <w:rFonts w:ascii="Arial" w:hAnsi="Arial"/>
          <w:sz w:val="20"/>
        </w:rPr>
        <w:t xml:space="preserve"> </w:t>
      </w:r>
      <w:r>
        <w:rPr>
          <w:rFonts w:ascii="Arial" w:hAnsi="Arial"/>
          <w:sz w:val="20"/>
        </w:rPr>
        <w:t xml:space="preserve">analysis/results/power_mde.csv</w:t>
      </w:r>
      <w:r>
        <w:rPr>
          <w:rFonts w:ascii="Arial" w:hAnsi="Arial"/>
          <w:sz w:val="20"/>
        </w:rPr>
        <w:t xml:space="preserve"> </w:t>
      </w:r>
      <w:r>
        <w:rPr>
          <w:rFonts w:ascii="Arial" w:hAnsi="Arial"/>
          <w:sz w:val="20"/>
        </w:rPr>
        <w:t xml:space="preserve">and Table S6.</w:t>
      </w:r>
    </w:p>
    <w:p>
      <w:pPr>
        <w:pStyle w:val="BodyText"/>
      </w:pPr>
      <w:r>
        <w:rPr>
          <w:rFonts w:ascii="Arial" w:hAnsi="Arial"/>
          <w:sz w:val="20"/>
        </w:rPr>
        <w:t xml:space="preserve">For the six cells in our specification on the real v2.1 panel</w:t>
      </w:r>
      <w:r>
        <w:rPr>
          <w:rFonts w:ascii="Arial" w:hAnsi="Arial"/>
          <w:sz w:val="20"/>
        </w:rPr>
        <w:t xml:space="preserve"> </w:t>
      </w:r>
      <w:r>
        <w:rPr>
          <w:rFonts w:ascii="Arial" w:hAnsi="Arial"/>
          <w:sz w:val="20"/>
        </w:rPr>
        <w:t xml:space="preserve">(</w:t>
      </w:r>
      <w:r>
        <w:rPr>
          <w:rFonts w:ascii="Arial" w:hAnsi="Arial"/>
          <w:sz w:val="20"/>
        </w:rPr>
        <w:t xml:space="preserve">analysis/results/real_v21/power_mde.csv</w:t>
      </w:r>
      <w:r>
        <w:rPr>
          <w:rFonts w:ascii="Arial" w:hAnsi="Arial"/>
          <w:sz w:val="20"/>
        </w:rPr>
        <w:t xml:space="preserve">), the MDE₂-sided ranges from</w:t>
      </w:r>
      <w:r>
        <w:rPr>
          <w:rFonts w:ascii="Arial" w:hAnsi="Arial"/>
          <w:sz w:val="20"/>
        </w:rPr>
        <w:t xml:space="preserve"> </w:t>
      </w:r>
      <w:r>
        <w:rPr>
          <w:rFonts w:ascii="Arial" w:hAnsi="Arial"/>
          <w:b/>
          <w:bCs/>
          <w:sz w:val="20"/>
        </w:rPr>
        <w:t xml:space="preserve">0.551 d</w:t>
      </w:r>
      <w:r>
        <w:rPr>
          <w:rFonts w:ascii="Arial" w:hAnsi="Arial"/>
          <w:sz w:val="20"/>
        </w:rPr>
        <w:t xml:space="preserve"> </w:t>
      </w:r>
      <w:r>
        <w:rPr>
          <w:rFonts w:ascii="Arial" w:hAnsi="Arial"/>
          <w:sz w:val="20"/>
        </w:rPr>
        <w:t xml:space="preserve">(corrected / EOS) to</w:t>
      </w:r>
      <w:r>
        <w:rPr>
          <w:rFonts w:ascii="Arial" w:hAnsi="Arial"/>
          <w:sz w:val="20"/>
        </w:rPr>
        <w:t xml:space="preserve"> </w:t>
      </w:r>
      <w:r>
        <w:rPr>
          <w:rFonts w:ascii="Arial" w:hAnsi="Arial"/>
          <w:b/>
          <w:bCs/>
          <w:sz w:val="20"/>
        </w:rPr>
        <w:t xml:space="preserve">56.501 d</w:t>
      </w:r>
      <w:r>
        <w:rPr>
          <w:rFonts w:ascii="Arial" w:hAnsi="Arial"/>
          <w:sz w:val="20"/>
        </w:rPr>
        <w:t xml:space="preserve"> </w:t>
      </w:r>
      <w:r>
        <w:rPr>
          <w:rFonts w:ascii="Arial" w:hAnsi="Arial"/>
          <w:sz w:val="20"/>
        </w:rPr>
        <w:t xml:space="preserve">(raw / SOS);</w:t>
      </w:r>
      <w:r>
        <w:rPr>
          <w:rFonts w:ascii="Arial" w:hAnsi="Arial"/>
          <w:sz w:val="20"/>
        </w:rPr>
        <w:t xml:space="preserve"> </w:t>
      </w:r>
      <w:r>
        <w:rPr>
          <w:rFonts w:ascii="Arial" w:hAnsi="Arial"/>
          <w:b/>
          <w:bCs/>
          <w:sz w:val="20"/>
        </w:rPr>
        <w:t xml:space="preserve">none</w:t>
      </w:r>
      <w:r>
        <w:rPr>
          <w:rFonts w:ascii="Arial" w:hAnsi="Arial"/>
          <w:sz w:val="20"/>
        </w:rPr>
        <w:t xml:space="preserve"> </w:t>
      </w:r>
      <w:r>
        <w:rPr>
          <w:rFonts w:ascii="Arial" w:hAnsi="Arial"/>
          <w:sz w:val="20"/>
        </w:rPr>
        <w:t xml:space="preserve">of</w:t>
      </w:r>
      <w:r>
        <w:rPr>
          <w:rFonts w:ascii="Arial" w:hAnsi="Arial"/>
          <w:sz w:val="20"/>
        </w:rPr>
        <w:t xml:space="preserve"> </w:t>
      </w:r>
      <w:r>
        <w:rPr>
          <w:rFonts w:ascii="Arial" w:hAnsi="Arial"/>
          <w:sz w:val="20"/>
        </w:rPr>
        <w:t xml:space="preserve">the six observed effects exceeds its MDE at α = 0.05, power = 0.80, df = 7</w:t>
      </w:r>
      <w:r>
        <w:rPr>
          <w:rFonts w:ascii="Arial" w:hAnsi="Arial"/>
          <w:sz w:val="20"/>
        </w:rPr>
        <w:t xml:space="preserve"> </w:t>
      </w:r>
      <w:r>
        <w:rPr>
          <w:rFonts w:ascii="Arial" w:hAnsi="Arial"/>
          <w:sz w:val="20"/>
        </w:rPr>
        <w:t xml:space="preserve">(all cells</w:t>
      </w:r>
      <w:r>
        <w:rPr>
          <w:rFonts w:ascii="Arial" w:hAnsi="Arial"/>
          <w:sz w:val="20"/>
        </w:rPr>
        <w:t xml:space="preserve"> </w:t>
      </w:r>
      <w:r>
        <w:rPr>
          <w:rFonts w:ascii="Arial" w:hAnsi="Arial"/>
          <w:sz w:val="20"/>
        </w:rPr>
        <w:t xml:space="preserve">detectable = "no"</w:t>
      </w:r>
      <w:r>
        <w:rPr>
          <w:rFonts w:ascii="Arial" w:hAnsi="Arial"/>
          <w:sz w:val="20"/>
        </w:rPr>
        <w:t xml:space="preserve">, with raw / EOS reported as a degenerate</w:t>
      </w:r>
      <w:r>
        <w:rPr>
          <w:rFonts w:ascii="Arial" w:hAnsi="Arial"/>
          <w:sz w:val="20"/>
        </w:rPr>
        <w:t xml:space="preserve"> </w:t>
      </w:r>
      <w:r>
        <w:rPr>
          <w:rFonts w:ascii="Arial" w:hAnsi="Arial"/>
          <w:sz w:val="20"/>
        </w:rPr>
        <w:t xml:space="preserve">zero-variance cell). The closest cell to its MDE is</w:t>
      </w:r>
      <w:r>
        <w:rPr>
          <w:rFonts w:ascii="Arial" w:hAnsi="Arial"/>
          <w:sz w:val="20"/>
        </w:rPr>
        <w:t xml:space="preserve"> </w:t>
      </w:r>
      <w:r>
        <w:rPr>
          <w:rFonts w:ascii="Arial" w:hAnsi="Arial"/>
          <w:b/>
          <w:bCs/>
          <w:sz w:val="20"/>
        </w:rPr>
        <w:t xml:space="preserve">corrected / EOS, |τ̂| = 0.239 d vs MDE = 0.551 d</w:t>
      </w:r>
      <w:r>
        <w:rPr>
          <w:rFonts w:ascii="Arial" w:hAnsi="Arial"/>
          <w:sz w:val="20"/>
        </w:rPr>
        <w:t xml:space="preserve"> </w:t>
      </w:r>
      <w:r>
        <w:rPr>
          <w:rFonts w:ascii="Arial" w:hAnsi="Arial"/>
          <w:sz w:val="20"/>
        </w:rPr>
        <w:t xml:space="preserve">(|τ̂|/MDE = 0.43),</w:t>
      </w:r>
      <w:r>
        <w:rPr>
          <w:rFonts w:ascii="Arial" w:hAnsi="Arial"/>
          <w:sz w:val="20"/>
        </w:rPr>
        <w:t xml:space="preserve"> </w:t>
      </w:r>
      <w:r>
        <w:rPr>
          <w:rFonts w:ascii="Arial" w:hAnsi="Arial"/>
          <w:sz w:val="20"/>
        </w:rPr>
        <w:t xml:space="preserve">the same cell our wild-cluster bootstrap fails to reject</w:t>
      </w:r>
      <w:r>
        <w:rPr>
          <w:rFonts w:ascii="Arial" w:hAnsi="Arial"/>
          <w:sz w:val="20"/>
        </w:rPr>
        <w:t xml:space="preserve"> </w:t>
      </w:r>
      <w:r>
        <w:rPr>
          <w:rFonts w:ascii="Arial" w:hAnsi="Arial"/>
          <w:sz w:val="20"/>
        </w:rPr>
        <w:t xml:space="preserve">(p = 0.2035, §3.Y.3). Power and inference therefore tell the same story</w:t>
      </w:r>
      <w:r>
        <w:rPr>
          <w:rFonts w:ascii="Arial" w:hAnsi="Arial"/>
          <w:sz w:val="20"/>
        </w:rPr>
        <w:t xml:space="preserve"> </w:t>
      </w:r>
      <w:r>
        <w:rPr>
          <w:rFonts w:ascii="Arial" w:hAnsi="Arial"/>
          <w:sz w:val="20"/>
        </w:rPr>
        <w:t xml:space="preserve">and we report this honestly as the formal small-G underpowering result:</w:t>
      </w:r>
      <w:r>
        <w:rPr>
          <w:rFonts w:ascii="Arial" w:hAnsi="Arial"/>
          <w:sz w:val="20"/>
        </w:rPr>
        <w:t xml:space="preserve"> </w:t>
      </w:r>
      <w:r>
        <w:rPr>
          <w:rFonts w:ascii="Arial" w:hAnsi="Arial"/>
          <w:sz w:val="20"/>
        </w:rPr>
        <w:t xml:space="preserve">the design at G = 8 cannot detect the observed effects with conventional</w:t>
      </w:r>
      <w:r>
        <w:rPr>
          <w:rFonts w:ascii="Arial" w:hAnsi="Arial"/>
          <w:sz w:val="20"/>
        </w:rPr>
        <w:t xml:space="preserve"> </w:t>
      </w:r>
      <w:r>
        <w:rPr>
          <w:rFonts w:ascii="Arial" w:hAnsi="Arial"/>
          <w:sz w:val="20"/>
        </w:rPr>
        <w:t xml:space="preserve">power, motivating the Monte-Carlo power-curve simulation in §3.Y.4.2.</w:t>
      </w:r>
    </w:p>
    <w:bookmarkEnd w:id="20"/>
    <w:bookmarkStart w:id="21" w:name="y.4.2-power-curves-monte-carlo"/>
    <w:p>
      <w:pPr>
        <w:pStyle w:val="Heading2"/>
      </w:pPr>
      <w:r>
        <w:rPr>
          <w:rFonts w:ascii="Arial" w:hAnsi="Arial"/>
        </w:rPr>
        <w:t xml:space="preserve">3.Y.4.2 Power curves (Monte-Carlo)</w:t>
      </w:r>
    </w:p>
    <w:p>
      <w:pPr/>
      <w:r>
        <w:rPr>
          <w:rFonts w:ascii="Arial" w:hAnsi="Arial"/>
          <w:sz w:val="20"/>
        </w:rPr>
        <w:t xml:space="preserve">To map sensitivity to the cluster count itself, we simulate the data-</w:t>
      </w:r>
      <w:r>
        <w:rPr>
          <w:rFonts w:ascii="Arial" w:hAnsi="Arial"/>
          <w:sz w:val="20"/>
        </w:rPr>
        <w:t xml:space="preserve"> </w:t>
      </w:r>
      <w:r>
        <w:rPr>
          <w:rFonts w:ascii="Arial" w:hAnsi="Arial"/>
          <w:sz w:val="20"/>
        </w:rPr>
        <w:t xml:space="preserve">generating process</w:t>
      </w:r>
    </w:p>
    <w:p>
      <w:pPr>
        <w:pStyle w:val="BodyText"/>
      </w:pPr>
      <m:oMathPara>
        <m:oMathParaPr>
          <m:jc m:val="center"/>
        </m:oMathParaPr>
        <m:oMath>
          <m:sSub>
            <m:e>
              <m:r>
                <m:t>y</m:t>
              </m:r>
            </m:e>
            <m:sub>
              <m:r>
                <m:t>i</m:t>
              </m:r>
              <m:r>
                <m:t>t</m:t>
              </m:r>
            </m:sub>
          </m:sSub>
          <m:r>
            <m:t> </m:t>
          </m:r>
          <m:r>
            <m:rPr>
              <m:sty m:val="p"/>
            </m:rPr>
            <m:t>=</m:t>
          </m:r>
          <m:r>
            <m:t> </m:t>
          </m:r>
          <m:sSub>
            <m:e>
              <m:r>
                <m:t>α</m:t>
              </m:r>
            </m:e>
            <m:sub>
              <m:r>
                <m:t>i</m:t>
              </m:r>
            </m:sub>
          </m:sSub>
          <m:r>
            <m:rPr>
              <m:sty m:val="p"/>
            </m:rPr>
            <m:t>+</m:t>
          </m:r>
          <m:sSub>
            <m:e>
              <m:r>
                <m:t>δ</m:t>
              </m:r>
            </m:e>
            <m:sub>
              <m:r>
                <m:t>t</m:t>
              </m:r>
            </m:sub>
          </m:sSub>
          <m:r>
            <m:rPr>
              <m:sty m:val="p"/>
            </m:rPr>
            <m:t>+</m:t>
          </m:r>
          <m:r>
            <m:t>τ</m:t>
          </m:r>
          <m:r>
            <m:rPr>
              <m:sty m:val="p"/>
            </m:rPr>
            <m:t>⋅</m:t>
          </m:r>
          <m:sSub>
            <m:e>
              <m:r>
                <m:t>D</m:t>
              </m:r>
            </m:e>
            <m:sub>
              <m:r>
                <m:t>i</m:t>
              </m:r>
              <m:r>
                <m:t>t</m:t>
              </m:r>
            </m:sub>
          </m:sSub>
          <m:r>
            <m:rPr>
              <m:sty m:val="p"/>
            </m:rPr>
            <m:t>+</m:t>
          </m:r>
          <m:sSub>
            <m:e>
              <m:r>
                <m:t>ε</m:t>
              </m:r>
            </m:e>
            <m:sub>
              <m:r>
                <m:t>i</m:t>
              </m:r>
              <m:r>
                <m:t>t</m:t>
              </m:r>
            </m:sub>
          </m:sSub>
          <m:r>
            <m:rPr>
              <m:sty m:val="p"/>
            </m:rPr>
            <m:t>,</m:t>
          </m:r>
        </m:oMath>
      </m:oMathPara>
    </w:p>
    <w:p>
      <w:pPr/>
    </w:p>
    <w:p>
      <w:pPr>
        <w:pStyle w:val="BodyText"/>
      </w:pPr>
      <w:r>
        <w:rPr>
          <w:rFonts w:ascii="Arial" w:hAnsi="Arial"/>
          <w:sz w:val="20"/>
        </w:rPr>
        <w:t xml:space="preserve">For each (G, τ) grid point we run R = 999 replications and report the</w:t>
      </w:r>
      <w:r>
        <w:rPr>
          <w:rFonts w:ascii="Arial" w:hAnsi="Arial"/>
          <w:sz w:val="20"/>
        </w:rPr>
        <w:t xml:space="preserve"> </w:t>
      </w:r>
      <w:r>
        <w:rPr>
          <w:rFonts w:ascii="Arial" w:hAnsi="Arial"/>
          <w:sz w:val="20"/>
        </w:rPr>
        <w:t xml:space="preserve">empirical rejection rate. Grid: τ ∈ {0, 5, 10, 15, 20, 30, 40, 60, 80, 100} d,</w:t>
      </w:r>
      <w:r>
        <w:rPr>
          <w:rFonts w:ascii="Arial" w:hAnsi="Arial"/>
          <w:sz w:val="20"/>
        </w:rPr>
        <w:t xml:space="preserve"> </w:t>
      </w:r>
      <w:r>
        <w:rPr>
          <w:rFonts w:ascii="Arial" w:hAnsi="Arial"/>
          <w:sz w:val="20"/>
        </w:rPr>
        <w:t xml:space="preserve">G ∈ {4, 6, 8, 12}.</w:t>
      </w:r>
      <w:r>
        <w:rPr>
          <w:rFonts w:ascii="Arial" w:hAnsi="Arial"/>
          <w:sz w:val="20"/>
        </w:rPr>
        <w:t xml:space="preserve"> </w:t>
      </w:r>
      <w:r>
        <w:rPr>
          <w:rFonts w:ascii="Arial" w:hAnsi="Arial"/>
          <w:sz w:val="20"/>
        </w:rPr>
        <w:t xml:space="preserve">Results in</w:t>
      </w:r>
      <w:r>
        <w:rPr>
          <w:rFonts w:ascii="Arial" w:hAnsi="Arial"/>
          <w:sz w:val="20"/>
        </w:rPr>
        <w:t xml:space="preserve"> </w:t>
      </w:r>
      <w:r>
        <w:rPr>
          <w:rFonts w:ascii="Arial" w:hAnsi="Arial"/>
          <w:sz w:val="20"/>
        </w:rPr>
        <w:t xml:space="preserve">analysis/results/power_curves.csv</w:t>
      </w:r>
      <w:r>
        <w:rPr>
          <w:rFonts w:ascii="Arial" w:hAnsi="Arial"/>
          <w:sz w:val="20"/>
        </w:rPr>
        <w:t xml:space="preserve">; visualisation in</w:t>
      </w:r>
      <w:r>
        <w:rPr>
          <w:rFonts w:ascii="Arial" w:hAnsi="Arial"/>
          <w:sz w:val="20"/>
        </w:rPr>
        <w:t xml:space="preserve"> </w:t>
      </w:r>
      <w:r>
        <w:rPr>
          <w:rFonts w:ascii="Arial" w:hAnsi="Arial"/>
          <w:b/>
          <w:bCs/>
          <w:sz w:val="20"/>
        </w:rPr>
        <w:t xml:space="preserve">Figure 5</w:t>
      </w:r>
      <w:r>
        <w:rPr>
          <w:rFonts w:ascii="Arial" w:hAnsi="Arial"/>
          <w:sz w:val="20"/>
        </w:rPr>
        <w:t xml:space="preserve"> </w:t>
      </w:r>
      <w:r>
        <w:rPr>
          <w:rFonts w:ascii="Arial" w:hAnsi="Arial"/>
          <w:sz w:val="20"/>
        </w:rPr>
        <w:t xml:space="preserve">(</w:t>
      </w:r>
      <w:r>
        <w:rPr>
          <w:rFonts w:ascii="Arial" w:hAnsi="Arial"/>
          <w:sz w:val="20"/>
        </w:rPr>
        <w:t xml:space="preserve">figures/fig5_power_curves.pdf</w:t>
      </w:r>
      <w:r>
        <w:rPr>
          <w:rFonts w:ascii="Arial" w:hAnsi="Arial"/>
          <w:sz w:val="20"/>
        </w:rPr>
        <w:t xml:space="preserve">).</w:t>
      </w:r>
    </w:p>
    <w:p>
      <w:pPr>
        <w:pStyle w:val="BodyText"/>
      </w:pPr>
      <w:r>
        <w:rPr>
          <w:rFonts w:ascii="Arial" w:hAnsi="Arial"/>
          <w:sz w:val="20"/>
        </w:rPr>
        <w:t xml:space="preserve">Findings (real-σ simulator):</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8 (this study)</w:t>
      </w:r>
      <w:r>
        <w:rPr>
          <w:rFonts w:ascii="Arial" w:hAnsi="Arial"/>
          <w:sz w:val="20"/>
        </w:rPr>
        <w:t xml:space="preserve">: power 0.80 is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reached until</w:t>
      </w:r>
      <w:r>
        <w:rPr>
          <w:rFonts w:ascii="Arial" w:hAnsi="Arial"/>
          <w:sz w:val="20"/>
        </w:rPr>
        <w:t xml:space="preserve"> </w:t>
      </w:r>
      <w:r>
        <w:rPr>
          <w:rFonts w:ascii="Arial" w:hAnsi="Arial"/>
          <w:sz w:val="20"/>
        </w:rPr>
        <w:t xml:space="preserve">τ ≈ 60 d — a far larger MDE than the previous synthetic-σ analysis</w:t>
      </w:r>
      <w:r>
        <w:rPr>
          <w:rFonts w:ascii="Arial" w:hAnsi="Arial"/>
          <w:sz w:val="20"/>
        </w:rPr>
        <w:t xml:space="preserve"> </w:t>
      </w:r>
      <w:r>
        <w:rPr>
          <w:rFonts w:ascii="Arial" w:hAnsi="Arial"/>
          <w:sz w:val="20"/>
        </w:rPr>
        <w:t xml:space="preserve">had implied, because the empirical idiosyncratic SD (σ_ε ≈ 31 d) and</w:t>
      </w:r>
      <w:r>
        <w:rPr>
          <w:rFonts w:ascii="Arial" w:hAnsi="Arial"/>
          <w:sz w:val="20"/>
        </w:rPr>
        <w:t xml:space="preserve"> </w:t>
      </w:r>
      <w:r>
        <w:rPr>
          <w:rFonts w:ascii="Arial" w:hAnsi="Arial"/>
          <w:sz w:val="20"/>
        </w:rPr>
        <w:t xml:space="preserve">year-FE SD (σ_t ≈ 42 d) are an order of magnitude larger than the</w:t>
      </w:r>
      <w:r>
        <w:rPr>
          <w:rFonts w:ascii="Arial" w:hAnsi="Arial"/>
          <w:sz w:val="20"/>
        </w:rPr>
        <w:t xml:space="preserve"> </w:t>
      </w:r>
      <w:r>
        <w:rPr>
          <w:rFonts w:ascii="Arial" w:hAnsi="Arial"/>
          <w:sz w:val="20"/>
        </w:rPr>
        <w:t xml:space="preserve">earlier hand-set values. The type-I rate under</w:t>
      </w:r>
      <w:r>
        <w:rPr>
          <w:rFonts w:ascii="Arial" w:hAnsi="Arial"/>
          <w:sz w:val="20"/>
        </w:rPr>
        <w:t xml:space="preserve"> </w:t>
      </w:r>
      <m:oMath>
        <m:sSub>
          <m:e>
            <m:r>
              <m:t>H</m:t>
            </m:r>
          </m:e>
          <m:sub>
            <m:r>
              <m:t>0</m:t>
            </m:r>
          </m:sub>
        </m:sSub>
      </m:oMath>
      <w:r>
        <w:rPr>
          <w:rFonts w:ascii="Arial" w:hAnsi="Arial"/>
          <w:sz w:val="20"/>
        </w:rPr>
        <w:t xml:space="preserve"> </w:t>
      </w:r>
      <w:r>
        <w:rPr>
          <w:rFonts w:ascii="Arial" w:hAnsi="Arial"/>
          <w:sz w:val="20"/>
        </w:rPr>
        <w:t xml:space="preserve">is 0.07</w:t>
      </w:r>
      <w:r>
        <w:rPr>
          <w:rFonts w:ascii="Arial" w:hAnsi="Arial"/>
          <w:sz w:val="20"/>
        </w:rPr>
        <w:t xml:space="preserve"> </w:t>
      </w:r>
      <w:r>
        <w:rPr>
          <w:rFonts w:ascii="Arial" w:hAnsi="Arial"/>
          <w:sz w:val="20"/>
        </w:rPr>
        <w:t xml:space="preserve">(close to nominal 0.05, indicating CR1 with df = G−1 is well-sized).</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4 (counterfactual minimum)</w:t>
      </w:r>
      <w:r>
        <w:rPr>
          <w:rFonts w:ascii="Arial" w:hAnsi="Arial"/>
          <w:sz w:val="20"/>
        </w:rPr>
        <w:t xml:space="preserve">: 0.80 power not reached within</w:t>
      </w:r>
      <w:r>
        <w:rPr>
          <w:rFonts w:ascii="Arial" w:hAnsi="Arial"/>
          <w:sz w:val="20"/>
        </w:rPr>
        <w:t xml:space="preserve"> </w:t>
      </w:r>
      <w:r>
        <w:rPr>
          <w:rFonts w:ascii="Arial" w:hAnsi="Arial"/>
          <w:sz w:val="20"/>
        </w:rPr>
        <w:t xml:space="preserve">the τ ≤ 100 d grid.</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12 (counterfactual roster)</w:t>
      </w:r>
      <w:r>
        <w:rPr>
          <w:rFonts w:ascii="Arial" w:hAnsi="Arial"/>
          <w:sz w:val="20"/>
        </w:rPr>
        <w:t xml:space="preserve">: 0.80 power reached at</w:t>
      </w:r>
      <w:r>
        <w:rPr>
          <w:rFonts w:ascii="Arial" w:hAnsi="Arial"/>
          <w:sz w:val="20"/>
        </w:rPr>
        <w:t xml:space="preserve"> </w:t>
      </w:r>
      <w:r>
        <w:rPr>
          <w:rFonts w:ascii="Arial" w:hAnsi="Arial"/>
          <w:sz w:val="20"/>
        </w:rPr>
        <w:t xml:space="preserve">τ ≈ 40 d — a useful upper bound for any future replication that</w:t>
      </w:r>
      <w:r>
        <w:rPr>
          <w:rFonts w:ascii="Arial" w:hAnsi="Arial"/>
          <w:sz w:val="20"/>
        </w:rPr>
        <w:t xml:space="preserve"> </w:t>
      </w:r>
      <w:r>
        <w:rPr>
          <w:rFonts w:ascii="Arial" w:hAnsi="Arial"/>
          <w:sz w:val="20"/>
        </w:rPr>
        <w:t xml:space="preserve">pools across state boundaries.</w:t>
      </w:r>
    </w:p>
    <w:p>
      <w:pPr>
        <w:pStyle w:val="BodyText"/>
      </w:pPr>
      <w:r>
        <w:rPr>
          <w:rFonts w:ascii="Arial" w:hAnsi="Arial"/>
          <w:sz w:val="20"/>
        </w:rPr>
        <w:t xml:space="preserve">Implication for the present manuscript: the 15.1 d τ̂_corrected_SOS</w:t>
      </w:r>
      <w:r>
        <w:rPr>
          <w:rFonts w:ascii="Arial" w:hAnsi="Arial"/>
          <w:sz w:val="20"/>
        </w:rPr>
        <w:t xml:space="preserve"> </w:t>
      </w:r>
      <w:r>
        <w:rPr>
          <w:rFonts w:ascii="Arial" w:hAnsi="Arial"/>
          <w:sz w:val="20"/>
        </w:rPr>
        <w:t xml:space="preserve">point estimate is</w:t>
      </w:r>
      <w:r>
        <w:rPr>
          <w:rFonts w:ascii="Arial" w:hAnsi="Arial"/>
          <w:sz w:val="20"/>
        </w:rPr>
        <w:t xml:space="preserve"> </w:t>
      </w:r>
      <w:r>
        <w:rPr>
          <w:rFonts w:ascii="Arial" w:hAnsi="Arial"/>
          <w:b/>
          <w:bCs/>
          <w:sz w:val="20"/>
        </w:rPr>
        <w:t xml:space="preserve">well below</w:t>
      </w:r>
      <w:r>
        <w:rPr>
          <w:rFonts w:ascii="Arial" w:hAnsi="Arial"/>
          <w:sz w:val="20"/>
        </w:rPr>
        <w:t xml:space="preserve"> </w:t>
      </w:r>
      <w:r>
        <w:rPr>
          <w:rFonts w:ascii="Arial" w:hAnsi="Arial"/>
          <w:sz w:val="20"/>
        </w:rPr>
        <w:t xml:space="preserve">the G = 8 / R = 999 MDE of ~60 d, so</w:t>
      </w:r>
      <w:r>
        <w:rPr>
          <w:rFonts w:ascii="Arial" w:hAnsi="Arial"/>
          <w:sz w:val="20"/>
        </w:rPr>
        <w:t xml:space="preserve"> </w:t>
      </w:r>
      <w:r>
        <w:rPr>
          <w:rFonts w:ascii="Arial" w:hAnsi="Arial"/>
          <w:sz w:val="20"/>
        </w:rPr>
        <w:t xml:space="preserve">the non-rejection (p = 0.38, WCR p = 0.41) is</w:t>
      </w:r>
      <w:r>
        <w:rPr>
          <w:rFonts w:ascii="Arial" w:hAnsi="Arial"/>
          <w:sz w:val="20"/>
        </w:rPr>
        <w:t xml:space="preserve"> </w:t>
      </w:r>
      <w:r>
        <w:rPr>
          <w:rFonts w:ascii="Arial" w:hAnsi="Arial"/>
          <w:b/>
          <w:bCs/>
          <w:sz w:val="20"/>
        </w:rPr>
        <w:t xml:space="preserve">inferentially expected</w:t>
      </w:r>
      <w:r>
        <w:rPr>
          <w:rFonts w:ascii="Arial" w:hAnsi="Arial"/>
          <w:sz w:val="20"/>
        </w:rPr>
        <w:t xml:space="preserve"> </w:t>
      </w:r>
      <w:r>
        <w:rPr>
          <w:rFonts w:ascii="Arial" w:hAnsi="Arial"/>
          <w:sz w:val="20"/>
        </w:rPr>
        <w:t xml:space="preserve">rather than evidence against an underlying effect. This is the central</w:t>
      </w:r>
      <w:r>
        <w:rPr>
          <w:rFonts w:ascii="Arial" w:hAnsi="Arial"/>
          <w:sz w:val="20"/>
        </w:rPr>
        <w:t xml:space="preserve"> </w:t>
      </w:r>
      <w:r>
        <w:rPr>
          <w:rFonts w:ascii="Arial" w:hAnsi="Arial"/>
          <w:sz w:val="20"/>
        </w:rPr>
        <w:t xml:space="preserve">rationale for our re-framing of v2.1 as a transparent null with</w:t>
      </w:r>
      <w:r>
        <w:rPr>
          <w:rFonts w:ascii="Arial" w:hAnsi="Arial"/>
          <w:sz w:val="20"/>
        </w:rPr>
        <w:t xml:space="preserve"> </w:t>
      </w:r>
      <w:r>
        <w:rPr>
          <w:rFonts w:ascii="Arial" w:hAnsi="Arial"/>
          <w:sz w:val="20"/>
        </w:rPr>
        <w:t xml:space="preserve">pre-registered exploratory mechanisms, rather than a confirmatory test</w:t>
      </w:r>
      <w:r>
        <w:rPr>
          <w:rFonts w:ascii="Arial" w:hAnsi="Arial"/>
          <w:sz w:val="20"/>
        </w:rPr>
        <w:t xml:space="preserve"> </w:t>
      </w:r>
      <w:r>
        <w:rPr>
          <w:rFonts w:ascii="Arial" w:hAnsi="Arial"/>
          <w:sz w:val="20"/>
        </w:rPr>
        <w:t xml:space="preserve">of Δ SOS.</w:t>
      </w:r>
    </w:p>
    <w:bookmarkEnd w:id="21"/>
    <w:bookmarkStart w:id="22" w:name="y.4.3-what-this-analysis-does-not-claim"/>
    <w:p>
      <w:pPr>
        <w:pStyle w:val="Heading2"/>
      </w:pPr>
      <w:r>
        <w:rPr>
          <w:rFonts w:ascii="Arial" w:hAnsi="Arial"/>
        </w:rPr>
        <w:t xml:space="preserve">3.Y.4.3 What this analysis does not claim</w:t>
      </w:r>
    </w:p>
    <w:p>
      <w:pPr>
        <w:pStyle w:val="BodyText"/>
      </w:pPr>
      <w:r>
        <w:rPr>
          <w:rFonts w:ascii="Arial" w:hAnsi="Arial"/>
          <w:sz w:val="20"/>
        </w:rPr>
        <w:t xml:space="preserve">It does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retroactively justify the p-values; it only describes</w:t>
      </w:r>
      <w:r>
        <w:rPr>
          <w:rFonts w:ascii="Arial" w:hAnsi="Arial"/>
          <w:sz w:val="20"/>
        </w:rPr>
        <w:t xml:space="preserve"> </w:t>
      </w:r>
      <w:r>
        <w:rPr>
          <w:rFonts w:ascii="Arial" w:hAnsi="Arial"/>
          <w:sz w:val="20"/>
        </w:rPr>
        <w:t xml:space="preserve">what the design could have detected.</w:t>
      </w:r>
    </w:p>
    <w:p>
      <w:pPr>
        <w:pStyle w:val="BodyText"/>
      </w:pPr>
      <w:r>
        <w:rPr>
          <w:rFonts w:ascii="Arial" w:hAnsi="Arial"/>
          <w:sz w:val="20"/>
        </w:rPr>
        <w:t xml:space="preserve">It does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substitute for replication. The corrected/EOS cell is</w:t>
      </w:r>
      <w:r>
        <w:rPr>
          <w:rFonts w:ascii="Arial" w:hAnsi="Arial"/>
          <w:sz w:val="20"/>
        </w:rPr>
        <w:t xml:space="preserve"> </w:t>
      </w:r>
      <w:r>
        <w:rPr>
          <w:rFonts w:ascii="Arial" w:hAnsi="Arial"/>
          <w:sz w:val="20"/>
        </w:rPr>
        <w:t xml:space="preserve">reported as null both by inference and by power analysis; future work</w:t>
      </w:r>
      <w:r>
        <w:rPr>
          <w:rFonts w:ascii="Arial" w:hAnsi="Arial"/>
          <w:sz w:val="20"/>
        </w:rPr>
        <w:t xml:space="preserve"> </w:t>
      </w:r>
      <w:r>
        <w:rPr>
          <w:rFonts w:ascii="Arial" w:hAnsi="Arial"/>
          <w:sz w:val="20"/>
        </w:rPr>
        <w:t xml:space="preserve">with a longer time series or additional districts could revisit it.</w:t>
      </w:r>
    </w:p>
    <w:p>
      <w:pPr>
        <w:pStyle w:val="BodyText"/>
      </w:pPr>
      <w:r>
        <w:rPr>
          <w:rFonts w:ascii="Arial" w:hAnsi="Arial"/>
          <w:sz w:val="20"/>
        </w:rPr>
        <w:t xml:space="preserve">The variance components used here are</w:t>
      </w:r>
      <w:r>
        <w:rPr>
          <w:rFonts w:ascii="Arial" w:hAnsi="Arial"/>
          <w:sz w:val="20"/>
        </w:rPr>
        <w:t xml:space="preserve"> </w:t>
      </w:r>
      <w:r>
        <w:rPr>
          <w:rFonts w:ascii="Arial" w:hAnsi="Arial"/>
          <w:b/>
          <w:bCs/>
          <w:sz w:val="20"/>
        </w:rPr>
        <w:t xml:space="preserve">empirical point estimates</w:t>
      </w:r>
      <w:r>
        <w:rPr>
          <w:rFonts w:ascii="Arial" w:hAnsi="Arial"/>
          <w:sz w:val="20"/>
        </w:rPr>
        <w:t xml:space="preserve"> </w:t>
      </w:r>
      <w:r>
        <w:rPr>
          <w:rFonts w:ascii="Arial" w:hAnsi="Arial"/>
          <w:sz w:val="20"/>
        </w:rPr>
        <w:t xml:space="preserve">from the real v2.1 corrected-SOS panel (Module 17); sensitivity to</w:t>
      </w:r>
      <w:r>
        <w:rPr>
          <w:rFonts w:ascii="Arial" w:hAnsi="Arial"/>
          <w:sz w:val="20"/>
        </w:rPr>
        <w:t xml:space="preserve"> </w:t>
      </w:r>
      <w:r>
        <w:rPr>
          <w:rFonts w:ascii="Arial" w:hAnsi="Arial"/>
          <w:sz w:val="20"/>
        </w:rPr>
        <w:t xml:space="preserve">±50 % perturbations of σ_u, σ_t, σ_ε remains a future extension via</w:t>
      </w:r>
      <w:r>
        <w:rPr>
          <w:rFonts w:ascii="Arial" w:hAnsi="Arial"/>
          <w:sz w:val="20"/>
        </w:rPr>
        <w:t xml:space="preserve"> </w:t>
      </w:r>
      <w:r>
        <w:rPr>
          <w:rFonts w:ascii="Arial" w:hAnsi="Arial"/>
          <w:sz w:val="20"/>
        </w:rPr>
        <w:t xml:space="preserve">python3 09_power_analysis.py --sensitivity</w:t>
      </w:r>
      <w:r>
        <w:rPr>
          <w:rFonts w:ascii="Arial" w:hAnsi="Arial"/>
          <w:sz w:val="20"/>
        </w:rPr>
        <w:t xml:space="preserve">.</w:t>
      </w:r>
    </w:p>
    <w:p>
      <w:r>
        <w:rPr>
          <w:rFonts w:ascii="Arial" w:hAnsi="Arial"/>
          <w:sz w:val="20"/>
        </w:rPr>
        <w:pict>
          <v:rect style="width:0;height:1.5pt" o:hralign="center" o:hrstd="t" o:hr="t"/>
        </w:pict>
      </w:r>
    </w:p>
    <w:p>
      <w:pPr/>
      <w:r>
        <w:rPr>
          <w:rFonts w:ascii="Arial" w:hAnsi="Arial"/>
          <w:b/>
          <w:bCs/>
          <w:sz w:val="20"/>
        </w:rPr>
        <w:t xml:space="preserve">Reference</w:t>
      </w:r>
      <w:r>
        <w:rPr>
          <w:rFonts w:ascii="Arial" w:hAnsi="Arial"/>
          <w:sz w:val="20"/>
        </w:rPr>
        <w:t xml:space="preserve">: Donald, S. G., &amp; Lang, K. (2007). Inference with</w:t>
      </w:r>
      <w:r>
        <w:rPr>
          <w:rFonts w:ascii="Arial" w:hAnsi="Arial"/>
          <w:sz w:val="20"/>
        </w:rPr>
        <w:t xml:space="preserve"> </w:t>
      </w:r>
      <w:r>
        <w:rPr>
          <w:rFonts w:ascii="Arial" w:hAnsi="Arial"/>
          <w:sz w:val="20"/>
        </w:rPr>
        <w:t xml:space="preserve">difference-in-differences and other panel data.</w:t>
      </w:r>
      <w:r>
        <w:rPr>
          <w:rFonts w:ascii="Arial" w:hAnsi="Arial"/>
          <w:sz w:val="20"/>
        </w:rPr>
        <w:t xml:space="preserve"> </w:t>
      </w:r>
      <w:r>
        <w:rPr>
          <w:rFonts w:ascii="Arial" w:hAnsi="Arial"/>
          <w:i/>
          <w:iCs/>
          <w:sz w:val="20"/>
        </w:rPr>
        <w:t xml:space="preserve">Review of Economics</w:t>
      </w:r>
      <w:r>
        <w:rPr>
          <w:rFonts w:ascii="Arial" w:hAnsi="Arial"/>
          <w:i/>
          <w:iCs/>
          <w:sz w:val="20"/>
        </w:rPr>
        <w:t xml:space="preserve"> </w:t>
      </w:r>
      <w:r>
        <w:rPr>
          <w:rFonts w:ascii="Arial" w:hAnsi="Arial"/>
          <w:i/>
          <w:iCs/>
          <w:sz w:val="20"/>
        </w:rPr>
        <w:t xml:space="preserve">and Statistics</w:t>
      </w:r>
      <w:r>
        <w:rPr>
          <w:rFonts w:ascii="Arial" w:hAnsi="Arial"/>
          <w:sz w:val="20"/>
        </w:rPr>
        <w:t xml:space="preserve">, 89(2), 221–233.</w:t>
      </w:r>
    </w:p>
    <w:bookmarkEnd w:id="22"/>
    <w:bookmarkEnd w:id="23"/>
    <w:p>
      <w:r>
        <w:rPr>
          <w:rFonts w:ascii="Arial" w:hAnsi="Arial"/>
          <w:sz w:val="20"/>
        </w:rPr>
        <w:br w:type="page"/>
      </w:r>
    </w:p>
    <w:p>
      <w:pPr>
        <w:keepNext/>
        <w:spacing w:before="240" w:after="120"/>
      </w:pPr>
      <w:bookmarkStart w:id="42011" w:name="table_s1"/>
      <w:r>
        <w:rPr>
          <w:rFonts w:ascii="Arial" w:hAnsi="Arial"/>
          <w:b/>
          <w:color w:val="1F3A5F"/>
          <w:sz w:val="32"/>
        </w:rPr>
        <w:t>Table S1 — Static TWFE-DiD point estimates</w:t>
      </w:r>
      <w:bookmarkEnd w:id="42011"/>
    </w:p>
    <w:p>
      <w:pPr>
        <w:jc w:val="left"/>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dxa" w:w="9072"/>
        <w:tblLook w:firstColumn="1" w:firstRow="1" w:lastColumn="0" w:lastRow="0" w:noHBand="0" w:noVBand="1" w:val="04A0"/>
        <w:tblLayout w:type="autofit"/>
      </w:tblPr>
      <w:tblGrid>
        <w:gridCol w:w="824"/>
        <w:gridCol w:w="824"/>
        <w:gridCol w:w="824"/>
        <w:gridCol w:w="824"/>
        <w:gridCol w:w="824"/>
        <w:gridCol w:w="824"/>
        <w:gridCol w:w="824"/>
        <w:gridCol w:w="824"/>
        <w:gridCol w:w="824"/>
        <w:gridCol w:w="824"/>
        <w:gridCol w:w="832"/>
      </w:tblGrid>
      <w:tr>
        <w:tc>
          <w:tcPr>
            <w:tcW w:type="dxa" w:w="824"/>
          </w:tcPr>
          <w:p>
            <w:r>
              <w:rPr>
                <w:rFonts w:ascii="Arial" w:hAnsi="Arial"/>
                <w:b/>
                <w:sz w:val="20"/>
              </w:rPr>
              <w:t>Pipeline</w:t>
            </w:r>
          </w:p>
        </w:tc>
        <w:tc>
          <w:tcPr>
            <w:tcW w:type="dxa" w:w="824"/>
          </w:tcPr>
          <w:p>
            <w:r>
              <w:rPr>
                <w:rFonts w:ascii="Arial" w:hAnsi="Arial"/>
                <w:b/>
                <w:sz w:val="20"/>
              </w:rPr>
              <w:t>Metric</w:t>
            </w:r>
          </w:p>
        </w:tc>
        <w:tc>
          <w:tcPr>
            <w:tcW w:type="dxa" w:w="824"/>
          </w:tcPr>
          <w:p>
            <w:r>
              <w:rPr>
                <w:rFonts w:ascii="Arial" w:hAnsi="Arial"/>
                <w:b/>
                <w:sz w:val="20"/>
              </w:rPr>
              <w:t>N obs</w:t>
            </w:r>
          </w:p>
        </w:tc>
        <w:tc>
          <w:tcPr>
            <w:tcW w:type="dxa" w:w="824"/>
          </w:tcPr>
          <w:p>
            <w:r>
              <w:rPr>
                <w:rFonts w:ascii="Arial" w:hAnsi="Arial"/>
                <w:b/>
                <w:sz w:val="20"/>
              </w:rPr>
              <w:t>N dist.</w:t>
            </w:r>
          </w:p>
        </w:tc>
        <w:tc>
          <w:tcPr>
            <w:tcW w:type="dxa" w:w="824"/>
          </w:tcPr>
          <w:p>
            <w:r>
              <w:rPr>
                <w:rFonts w:ascii="Arial" w:hAnsi="Arial"/>
                <w:b/>
                <w:sz w:val="20"/>
              </w:rPr>
              <w:t>τ (d)</w:t>
            </w:r>
          </w:p>
        </w:tc>
        <w:tc>
          <w:tcPr>
            <w:tcW w:type="dxa" w:w="824"/>
          </w:tcPr>
          <w:p>
            <w:r>
              <w:rPr>
                <w:rFonts w:ascii="Arial" w:hAnsi="Arial"/>
                <w:b/>
                <w:sz w:val="20"/>
              </w:rPr>
              <w:t>SE</w:t>
            </w:r>
          </w:p>
        </w:tc>
        <w:tc>
          <w:tcPr>
            <w:tcW w:type="dxa" w:w="824"/>
          </w:tcPr>
          <w:p>
            <w:r>
              <w:rPr>
                <w:rFonts w:ascii="Arial" w:hAnsi="Arial"/>
                <w:b/>
                <w:sz w:val="20"/>
              </w:rPr>
              <w:t>t</w:t>
            </w:r>
          </w:p>
        </w:tc>
        <w:tc>
          <w:tcPr>
            <w:tcW w:type="dxa" w:w="824"/>
          </w:tcPr>
          <w:p>
            <w:r>
              <w:rPr>
                <w:rFonts w:ascii="Arial" w:hAnsi="Arial"/>
                <w:b/>
                <w:sz w:val="20"/>
              </w:rPr>
              <w:t>p</w:t>
            </w:r>
          </w:p>
        </w:tc>
        <w:tc>
          <w:tcPr>
            <w:tcW w:type="dxa" w:w="824"/>
          </w:tcPr>
          <w:p>
            <w:r>
              <w:rPr>
                <w:rFonts w:ascii="Arial" w:hAnsi="Arial"/>
                <w:b/>
                <w:sz w:val="20"/>
              </w:rPr>
              <w:t>CI₂.₅</w:t>
            </w:r>
          </w:p>
        </w:tc>
        <w:tc>
          <w:tcPr>
            <w:tcW w:type="dxa" w:w="824"/>
          </w:tcPr>
          <w:p>
            <w:r>
              <w:rPr>
                <w:rFonts w:ascii="Arial" w:hAnsi="Arial"/>
                <w:b/>
                <w:sz w:val="20"/>
              </w:rPr>
              <w:t>CI₉₇.₅</w:t>
            </w:r>
          </w:p>
        </w:tc>
        <w:tc>
          <w:tcPr>
            <w:tcW w:type="dxa" w:w="832"/>
          </w:tcPr>
          <w:p>
            <w:r>
              <w:rPr>
                <w:rFonts w:ascii="Arial" w:hAnsi="Arial"/>
                <w:b/>
                <w:sz w:val="20"/>
              </w:rPr>
              <w:t>R²ᵥᵥ</w:t>
            </w:r>
          </w:p>
        </w:tc>
      </w:tr>
      <w:tr>
        <w:tc>
          <w:tcPr>
            <w:tcW w:type="dxa" w:w="824"/>
          </w:tcPr>
          <w:p>
            <w:r>
              <w:rPr>
                <w:rFonts w:ascii="Arial" w:hAnsi="Arial"/>
                <w:sz w:val="20"/>
              </w:rPr>
              <w:t>raw</w:t>
            </w:r>
          </w:p>
        </w:tc>
        <w:tc>
          <w:tcPr>
            <w:tcW w:type="dxa" w:w="824"/>
          </w:tcPr>
          <w:p>
            <w:r>
              <w:rPr>
                <w:rFonts w:ascii="Arial" w:hAnsi="Arial"/>
                <w:sz w:val="20"/>
              </w:rPr>
              <w:t>SOS</w:t>
            </w:r>
          </w:p>
        </w:tc>
        <w:tc>
          <w:tcPr>
            <w:tcW w:type="dxa" w:w="824"/>
          </w:tcPr>
          <w:p>
            <w:r>
              <w:rPr>
                <w:rFonts w:ascii="Arial" w:hAnsi="Arial"/>
                <w:sz w:val="20"/>
              </w:rPr>
              <w:t>64</w:t>
            </w:r>
          </w:p>
        </w:tc>
        <w:tc>
          <w:tcPr>
            <w:tcW w:type="dxa" w:w="824"/>
          </w:tcPr>
          <w:p>
            <w:r>
              <w:rPr>
                <w:rFonts w:ascii="Arial" w:hAnsi="Arial"/>
                <w:sz w:val="20"/>
              </w:rPr>
              <w:t>8</w:t>
            </w:r>
          </w:p>
        </w:tc>
        <w:tc>
          <w:tcPr>
            <w:tcW w:type="dxa" w:w="824"/>
          </w:tcPr>
          <w:p>
            <w:r>
              <w:rPr>
                <w:rFonts w:ascii="Arial" w:hAnsi="Arial"/>
                <w:sz w:val="20"/>
              </w:rPr>
              <w:t>+15.289</w:t>
            </w:r>
          </w:p>
        </w:tc>
        <w:tc>
          <w:tcPr>
            <w:tcW w:type="dxa" w:w="824"/>
          </w:tcPr>
          <w:p>
            <w:r>
              <w:rPr>
                <w:rFonts w:ascii="Arial" w:hAnsi="Arial"/>
                <w:sz w:val="20"/>
              </w:rPr>
              <w:t>17.328</w:t>
            </w:r>
          </w:p>
        </w:tc>
        <w:tc>
          <w:tcPr>
            <w:tcW w:type="dxa" w:w="824"/>
          </w:tcPr>
          <w:p>
            <w:r>
              <w:rPr>
                <w:rFonts w:ascii="Arial" w:hAnsi="Arial"/>
                <w:sz w:val="20"/>
              </w:rPr>
              <w:t>0.882</w:t>
            </w:r>
          </w:p>
        </w:tc>
        <w:tc>
          <w:tcPr>
            <w:tcW w:type="dxa" w:w="824"/>
          </w:tcPr>
          <w:p>
            <w:r>
              <w:rPr>
                <w:rFonts w:ascii="Arial" w:hAnsi="Arial"/>
                <w:sz w:val="20"/>
              </w:rPr>
              <w:t>0.378</w:t>
            </w:r>
          </w:p>
        </w:tc>
        <w:tc>
          <w:tcPr>
            <w:tcW w:type="dxa" w:w="824"/>
          </w:tcPr>
          <w:p>
            <w:r>
              <w:rPr>
                <w:rFonts w:ascii="Arial" w:hAnsi="Arial"/>
                <w:sz w:val="20"/>
              </w:rPr>
              <w:t>-18.673</w:t>
            </w:r>
          </w:p>
        </w:tc>
        <w:tc>
          <w:tcPr>
            <w:tcW w:type="dxa" w:w="824"/>
          </w:tcPr>
          <w:p>
            <w:r>
              <w:rPr>
                <w:rFonts w:ascii="Arial" w:hAnsi="Arial"/>
                <w:sz w:val="20"/>
              </w:rPr>
              <w:t>49.250</w:t>
            </w:r>
          </w:p>
        </w:tc>
        <w:tc>
          <w:tcPr>
            <w:tcW w:type="dxa" w:w="832"/>
          </w:tcPr>
          <w:p>
            <w:r>
              <w:rPr>
                <w:rFonts w:ascii="Arial" w:hAnsi="Arial"/>
                <w:sz w:val="20"/>
              </w:rPr>
              <w:t>0.013</w:t>
            </w:r>
          </w:p>
        </w:tc>
      </w:tr>
      <w:tr>
        <w:tc>
          <w:tcPr>
            <w:tcW w:type="dxa" w:w="824"/>
          </w:tcPr>
          <w:p>
            <w:r>
              <w:rPr>
                <w:rFonts w:ascii="Arial" w:hAnsi="Arial"/>
                <w:sz w:val="20"/>
              </w:rPr>
              <w:t>raw</w:t>
            </w:r>
          </w:p>
        </w:tc>
        <w:tc>
          <w:tcPr>
            <w:tcW w:type="dxa" w:w="824"/>
          </w:tcPr>
          <w:p>
            <w:r>
              <w:rPr>
                <w:rFonts w:ascii="Arial" w:hAnsi="Arial"/>
                <w:sz w:val="20"/>
              </w:rPr>
              <w:t>POS</w:t>
            </w:r>
          </w:p>
        </w:tc>
        <w:tc>
          <w:tcPr>
            <w:tcW w:type="dxa" w:w="824"/>
          </w:tcPr>
          <w:p>
            <w:r>
              <w:rPr>
                <w:rFonts w:ascii="Arial" w:hAnsi="Arial"/>
                <w:sz w:val="20"/>
              </w:rPr>
              <w:t>64</w:t>
            </w:r>
          </w:p>
        </w:tc>
        <w:tc>
          <w:tcPr>
            <w:tcW w:type="dxa" w:w="824"/>
          </w:tcPr>
          <w:p>
            <w:r>
              <w:rPr>
                <w:rFonts w:ascii="Arial" w:hAnsi="Arial"/>
                <w:sz w:val="20"/>
              </w:rPr>
              <w:t>8</w:t>
            </w:r>
          </w:p>
        </w:tc>
        <w:tc>
          <w:tcPr>
            <w:tcW w:type="dxa" w:w="824"/>
          </w:tcPr>
          <w:p>
            <w:r>
              <w:rPr>
                <w:rFonts w:ascii="Arial" w:hAnsi="Arial"/>
                <w:sz w:val="20"/>
              </w:rPr>
              <w:t>-3.587</w:t>
            </w:r>
          </w:p>
        </w:tc>
        <w:tc>
          <w:tcPr>
            <w:tcW w:type="dxa" w:w="824"/>
          </w:tcPr>
          <w:p>
            <w:r>
              <w:rPr>
                <w:rFonts w:ascii="Arial" w:hAnsi="Arial"/>
                <w:sz w:val="20"/>
              </w:rPr>
              <w:t>2.882</w:t>
            </w:r>
          </w:p>
        </w:tc>
        <w:tc>
          <w:tcPr>
            <w:tcW w:type="dxa" w:w="824"/>
          </w:tcPr>
          <w:p>
            <w:r>
              <w:rPr>
                <w:rFonts w:ascii="Arial" w:hAnsi="Arial"/>
                <w:sz w:val="20"/>
              </w:rPr>
              <w:t>-1.245</w:t>
            </w:r>
          </w:p>
        </w:tc>
        <w:tc>
          <w:tcPr>
            <w:tcW w:type="dxa" w:w="824"/>
          </w:tcPr>
          <w:p>
            <w:r>
              <w:rPr>
                <w:rFonts w:ascii="Arial" w:hAnsi="Arial"/>
                <w:sz w:val="20"/>
              </w:rPr>
              <w:t>0.213</w:t>
            </w:r>
          </w:p>
        </w:tc>
        <w:tc>
          <w:tcPr>
            <w:tcW w:type="dxa" w:w="824"/>
          </w:tcPr>
          <w:p>
            <w:r>
              <w:rPr>
                <w:rFonts w:ascii="Arial" w:hAnsi="Arial"/>
                <w:sz w:val="20"/>
              </w:rPr>
              <w:t>-9.235</w:t>
            </w:r>
          </w:p>
        </w:tc>
        <w:tc>
          <w:tcPr>
            <w:tcW w:type="dxa" w:w="824"/>
          </w:tcPr>
          <w:p>
            <w:r>
              <w:rPr>
                <w:rFonts w:ascii="Arial" w:hAnsi="Arial"/>
                <w:sz w:val="20"/>
              </w:rPr>
              <w:t>2.062</w:t>
            </w:r>
          </w:p>
        </w:tc>
        <w:tc>
          <w:tcPr>
            <w:tcW w:type="dxa" w:w="832"/>
          </w:tcPr>
          <w:p>
            <w:r>
              <w:rPr>
                <w:rFonts w:ascii="Arial" w:hAnsi="Arial"/>
                <w:sz w:val="20"/>
              </w:rPr>
              <w:t>0.011</w:t>
            </w:r>
          </w:p>
        </w:tc>
      </w:tr>
      <w:tr>
        <w:tc>
          <w:tcPr>
            <w:tcW w:type="dxa" w:w="824"/>
          </w:tcPr>
          <w:p>
            <w:r>
              <w:rPr>
                <w:rFonts w:ascii="Arial" w:hAnsi="Arial"/>
                <w:sz w:val="20"/>
              </w:rPr>
              <w:t>raw</w:t>
            </w:r>
          </w:p>
        </w:tc>
        <w:tc>
          <w:tcPr>
            <w:tcW w:type="dxa" w:w="824"/>
          </w:tcPr>
          <w:p>
            <w:r>
              <w:rPr>
                <w:rFonts w:ascii="Arial" w:hAnsi="Arial"/>
                <w:sz w:val="20"/>
              </w:rPr>
              <w:t>EOS</w:t>
            </w:r>
          </w:p>
        </w:tc>
        <w:tc>
          <w:tcPr>
            <w:tcW w:type="dxa" w:w="824"/>
          </w:tcPr>
          <w:p>
            <w:r>
              <w:rPr>
                <w:rFonts w:ascii="Arial" w:hAnsi="Arial"/>
                <w:sz w:val="20"/>
              </w:rPr>
              <w:t>44</w:t>
            </w:r>
          </w:p>
        </w:tc>
        <w:tc>
          <w:tcPr>
            <w:tcW w:type="dxa" w:w="824"/>
          </w:tcPr>
          <w:p>
            <w:r>
              <w:rPr>
                <w:rFonts w:ascii="Arial" w:hAnsi="Arial"/>
                <w:sz w:val="20"/>
              </w:rPr>
              <w:t>8</w:t>
            </w:r>
          </w:p>
        </w:tc>
        <w:tc>
          <w:tcPr>
            <w:tcW w:type="dxa" w:w="824"/>
          </w:tcPr>
          <w:p>
            <w:r>
              <w:rPr>
                <w:rFonts w:ascii="Arial" w:hAnsi="Arial"/>
                <w:sz w:val="20"/>
              </w:rPr>
              <w:t>-0.000</w:t>
            </w:r>
          </w:p>
        </w:tc>
        <w:tc>
          <w:tcPr>
            <w:tcW w:type="dxa" w:w="824"/>
          </w:tcPr>
          <w:p>
            <w:r>
              <w:rPr>
                <w:rFonts w:ascii="Arial" w:hAnsi="Arial"/>
                <w:sz w:val="20"/>
              </w:rPr>
              <w:t>0.000</w:t>
            </w:r>
          </w:p>
        </w:tc>
        <w:tc>
          <w:tcPr>
            <w:tcW w:type="dxa" w:w="824"/>
          </w:tcPr>
          <w:p>
            <w:r>
              <w:rPr>
                <w:rFonts w:ascii="Arial" w:hAnsi="Arial"/>
                <w:sz w:val="20"/>
              </w:rPr>
              <w:t>-2.038</w:t>
            </w:r>
          </w:p>
        </w:tc>
        <w:tc>
          <w:tcPr>
            <w:tcW w:type="dxa" w:w="824"/>
          </w:tcPr>
          <w:p>
            <w:r>
              <w:rPr>
                <w:rFonts w:ascii="Arial" w:hAnsi="Arial"/>
                <w:sz w:val="20"/>
              </w:rPr>
              <w:t>0.042</w:t>
            </w:r>
          </w:p>
        </w:tc>
        <w:tc>
          <w:tcPr>
            <w:tcW w:type="dxa" w:w="824"/>
          </w:tcPr>
          <w:p>
            <w:r>
              <w:rPr>
                <w:rFonts w:ascii="Arial" w:hAnsi="Arial"/>
                <w:sz w:val="20"/>
              </w:rPr>
              <w:t>-0.000</w:t>
            </w:r>
          </w:p>
        </w:tc>
        <w:tc>
          <w:tcPr>
            <w:tcW w:type="dxa" w:w="824"/>
          </w:tcPr>
          <w:p>
            <w:r>
              <w:rPr>
                <w:rFonts w:ascii="Arial" w:hAnsi="Arial"/>
                <w:sz w:val="20"/>
              </w:rPr>
              <w:t>-0.000</w:t>
            </w:r>
          </w:p>
        </w:tc>
        <w:tc>
          <w:tcPr>
            <w:tcW w:type="dxa" w:w="832"/>
          </w:tcPr>
          <w:p>
            <w:r>
              <w:rPr>
                <w:rFonts w:ascii="Arial" w:hAnsi="Arial"/>
                <w:sz w:val="20"/>
              </w:rPr>
              <w:t>0.000</w:t>
            </w:r>
          </w:p>
        </w:tc>
      </w:tr>
      <w:tr>
        <w:tc>
          <w:tcPr>
            <w:tcW w:type="dxa" w:w="824"/>
          </w:tcPr>
          <w:p>
            <w:r>
              <w:rPr>
                <w:rFonts w:ascii="Arial" w:hAnsi="Arial"/>
                <w:sz w:val="20"/>
              </w:rPr>
              <w:t>corrected</w:t>
            </w:r>
          </w:p>
        </w:tc>
        <w:tc>
          <w:tcPr>
            <w:tcW w:type="dxa" w:w="824"/>
          </w:tcPr>
          <w:p>
            <w:r>
              <w:rPr>
                <w:rFonts w:ascii="Arial" w:hAnsi="Arial"/>
                <w:sz w:val="20"/>
              </w:rPr>
              <w:t>SOS</w:t>
            </w:r>
          </w:p>
        </w:tc>
        <w:tc>
          <w:tcPr>
            <w:tcW w:type="dxa" w:w="824"/>
          </w:tcPr>
          <w:p>
            <w:r>
              <w:rPr>
                <w:rFonts w:ascii="Arial" w:hAnsi="Arial"/>
                <w:sz w:val="20"/>
              </w:rPr>
              <w:t>64</w:t>
            </w:r>
          </w:p>
        </w:tc>
        <w:tc>
          <w:tcPr>
            <w:tcW w:type="dxa" w:w="824"/>
          </w:tcPr>
          <w:p>
            <w:r>
              <w:rPr>
                <w:rFonts w:ascii="Arial" w:hAnsi="Arial"/>
                <w:sz w:val="20"/>
              </w:rPr>
              <w:t>8</w:t>
            </w:r>
          </w:p>
        </w:tc>
        <w:tc>
          <w:tcPr>
            <w:tcW w:type="dxa" w:w="824"/>
          </w:tcPr>
          <w:p>
            <w:r>
              <w:rPr>
                <w:rFonts w:ascii="Arial" w:hAnsi="Arial"/>
                <w:sz w:val="20"/>
              </w:rPr>
              <w:t>+15.108</w:t>
            </w:r>
          </w:p>
        </w:tc>
        <w:tc>
          <w:tcPr>
            <w:tcW w:type="dxa" w:w="824"/>
          </w:tcPr>
          <w:p>
            <w:r>
              <w:rPr>
                <w:rFonts w:ascii="Arial" w:hAnsi="Arial"/>
                <w:sz w:val="20"/>
              </w:rPr>
              <w:t>17.312</w:t>
            </w:r>
          </w:p>
        </w:tc>
        <w:tc>
          <w:tcPr>
            <w:tcW w:type="dxa" w:w="824"/>
          </w:tcPr>
          <w:p>
            <w:r>
              <w:rPr>
                <w:rFonts w:ascii="Arial" w:hAnsi="Arial"/>
                <w:sz w:val="20"/>
              </w:rPr>
              <w:t>0.873</w:t>
            </w:r>
          </w:p>
        </w:tc>
        <w:tc>
          <w:tcPr>
            <w:tcW w:type="dxa" w:w="824"/>
          </w:tcPr>
          <w:p>
            <w:r>
              <w:rPr>
                <w:rFonts w:ascii="Arial" w:hAnsi="Arial"/>
                <w:sz w:val="20"/>
              </w:rPr>
              <w:t>0.383</w:t>
            </w:r>
          </w:p>
        </w:tc>
        <w:tc>
          <w:tcPr>
            <w:tcW w:type="dxa" w:w="824"/>
          </w:tcPr>
          <w:p>
            <w:r>
              <w:rPr>
                <w:rFonts w:ascii="Arial" w:hAnsi="Arial"/>
                <w:sz w:val="20"/>
              </w:rPr>
              <w:t>-18.822</w:t>
            </w:r>
          </w:p>
        </w:tc>
        <w:tc>
          <w:tcPr>
            <w:tcW w:type="dxa" w:w="824"/>
          </w:tcPr>
          <w:p>
            <w:r>
              <w:rPr>
                <w:rFonts w:ascii="Arial" w:hAnsi="Arial"/>
                <w:sz w:val="20"/>
              </w:rPr>
              <w:t>49.039</w:t>
            </w:r>
          </w:p>
        </w:tc>
        <w:tc>
          <w:tcPr>
            <w:tcW w:type="dxa" w:w="832"/>
          </w:tcPr>
          <w:p>
            <w:r>
              <w:rPr>
                <w:rFonts w:ascii="Arial" w:hAnsi="Arial"/>
                <w:sz w:val="20"/>
              </w:rPr>
              <w:t>0.013</w:t>
            </w:r>
          </w:p>
        </w:tc>
      </w:tr>
      <w:tr>
        <w:tc>
          <w:tcPr>
            <w:tcW w:type="dxa" w:w="824"/>
          </w:tcPr>
          <w:p>
            <w:r>
              <w:rPr>
                <w:rFonts w:ascii="Arial" w:hAnsi="Arial"/>
                <w:sz w:val="20"/>
              </w:rPr>
              <w:t>corrected</w:t>
            </w:r>
          </w:p>
        </w:tc>
        <w:tc>
          <w:tcPr>
            <w:tcW w:type="dxa" w:w="824"/>
          </w:tcPr>
          <w:p>
            <w:r>
              <w:rPr>
                <w:rFonts w:ascii="Arial" w:hAnsi="Arial"/>
                <w:sz w:val="20"/>
              </w:rPr>
              <w:t>POS</w:t>
            </w:r>
          </w:p>
        </w:tc>
        <w:tc>
          <w:tcPr>
            <w:tcW w:type="dxa" w:w="824"/>
          </w:tcPr>
          <w:p>
            <w:r>
              <w:rPr>
                <w:rFonts w:ascii="Arial" w:hAnsi="Arial"/>
                <w:sz w:val="20"/>
              </w:rPr>
              <w:t>64</w:t>
            </w:r>
          </w:p>
        </w:tc>
        <w:tc>
          <w:tcPr>
            <w:tcW w:type="dxa" w:w="824"/>
          </w:tcPr>
          <w:p>
            <w:r>
              <w:rPr>
                <w:rFonts w:ascii="Arial" w:hAnsi="Arial"/>
                <w:sz w:val="20"/>
              </w:rPr>
              <w:t>8</w:t>
            </w:r>
          </w:p>
        </w:tc>
        <w:tc>
          <w:tcPr>
            <w:tcW w:type="dxa" w:w="824"/>
          </w:tcPr>
          <w:p>
            <w:r>
              <w:rPr>
                <w:rFonts w:ascii="Arial" w:hAnsi="Arial"/>
                <w:sz w:val="20"/>
              </w:rPr>
              <w:t>-3.677</w:t>
            </w:r>
          </w:p>
        </w:tc>
        <w:tc>
          <w:tcPr>
            <w:tcW w:type="dxa" w:w="824"/>
          </w:tcPr>
          <w:p>
            <w:r>
              <w:rPr>
                <w:rFonts w:ascii="Arial" w:hAnsi="Arial"/>
                <w:sz w:val="20"/>
              </w:rPr>
              <w:t>2.897</w:t>
            </w:r>
          </w:p>
        </w:tc>
        <w:tc>
          <w:tcPr>
            <w:tcW w:type="dxa" w:w="824"/>
          </w:tcPr>
          <w:p>
            <w:r>
              <w:rPr>
                <w:rFonts w:ascii="Arial" w:hAnsi="Arial"/>
                <w:sz w:val="20"/>
              </w:rPr>
              <w:t>-1.269</w:t>
            </w:r>
          </w:p>
        </w:tc>
        <w:tc>
          <w:tcPr>
            <w:tcW w:type="dxa" w:w="824"/>
          </w:tcPr>
          <w:p>
            <w:r>
              <w:rPr>
                <w:rFonts w:ascii="Arial" w:hAnsi="Arial"/>
                <w:sz w:val="20"/>
              </w:rPr>
              <w:t>0.204</w:t>
            </w:r>
          </w:p>
        </w:tc>
        <w:tc>
          <w:tcPr>
            <w:tcW w:type="dxa" w:w="824"/>
          </w:tcPr>
          <w:p>
            <w:r>
              <w:rPr>
                <w:rFonts w:ascii="Arial" w:hAnsi="Arial"/>
                <w:sz w:val="20"/>
              </w:rPr>
              <w:t>-9.356</w:t>
            </w:r>
          </w:p>
        </w:tc>
        <w:tc>
          <w:tcPr>
            <w:tcW w:type="dxa" w:w="824"/>
          </w:tcPr>
          <w:p>
            <w:r>
              <w:rPr>
                <w:rFonts w:ascii="Arial" w:hAnsi="Arial"/>
                <w:sz w:val="20"/>
              </w:rPr>
              <w:t>2.002</w:t>
            </w:r>
          </w:p>
        </w:tc>
        <w:tc>
          <w:tcPr>
            <w:tcW w:type="dxa" w:w="832"/>
          </w:tcPr>
          <w:p>
            <w:r>
              <w:rPr>
                <w:rFonts w:ascii="Arial" w:hAnsi="Arial"/>
                <w:sz w:val="20"/>
              </w:rPr>
              <w:t>0.011</w:t>
            </w:r>
          </w:p>
        </w:tc>
      </w:tr>
      <w:tr>
        <w:tc>
          <w:tcPr>
            <w:tcW w:type="dxa" w:w="824"/>
          </w:tcPr>
          <w:p>
            <w:r>
              <w:rPr>
                <w:rFonts w:ascii="Arial" w:hAnsi="Arial"/>
                <w:sz w:val="20"/>
              </w:rPr>
              <w:t>corrected</w:t>
            </w:r>
          </w:p>
        </w:tc>
        <w:tc>
          <w:tcPr>
            <w:tcW w:type="dxa" w:w="824"/>
          </w:tcPr>
          <w:p>
            <w:r>
              <w:rPr>
                <w:rFonts w:ascii="Arial" w:hAnsi="Arial"/>
                <w:sz w:val="20"/>
              </w:rPr>
              <w:t>EOS</w:t>
            </w:r>
          </w:p>
        </w:tc>
        <w:tc>
          <w:tcPr>
            <w:tcW w:type="dxa" w:w="824"/>
          </w:tcPr>
          <w:p>
            <w:r>
              <w:rPr>
                <w:rFonts w:ascii="Arial" w:hAnsi="Arial"/>
                <w:sz w:val="20"/>
              </w:rPr>
              <w:t>44</w:t>
            </w:r>
          </w:p>
        </w:tc>
        <w:tc>
          <w:tcPr>
            <w:tcW w:type="dxa" w:w="824"/>
          </w:tcPr>
          <w:p>
            <w:r>
              <w:rPr>
                <w:rFonts w:ascii="Arial" w:hAnsi="Arial"/>
                <w:sz w:val="20"/>
              </w:rPr>
              <w:t>8</w:t>
            </w:r>
          </w:p>
        </w:tc>
        <w:tc>
          <w:tcPr>
            <w:tcW w:type="dxa" w:w="824"/>
          </w:tcPr>
          <w:p>
            <w:r>
              <w:rPr>
                <w:rFonts w:ascii="Arial" w:hAnsi="Arial"/>
                <w:sz w:val="20"/>
              </w:rPr>
              <w:t>-0.239</w:t>
            </w:r>
          </w:p>
        </w:tc>
        <w:tc>
          <w:tcPr>
            <w:tcW w:type="dxa" w:w="824"/>
          </w:tcPr>
          <w:p>
            <w:r>
              <w:rPr>
                <w:rFonts w:ascii="Arial" w:hAnsi="Arial"/>
                <w:sz w:val="20"/>
              </w:rPr>
              <w:t>0.169</w:t>
            </w:r>
          </w:p>
        </w:tc>
        <w:tc>
          <w:tcPr>
            <w:tcW w:type="dxa" w:w="824"/>
          </w:tcPr>
          <w:p>
            <w:r>
              <w:rPr>
                <w:rFonts w:ascii="Arial" w:hAnsi="Arial"/>
                <w:sz w:val="20"/>
              </w:rPr>
              <w:t>-1.411</w:t>
            </w:r>
          </w:p>
        </w:tc>
        <w:tc>
          <w:tcPr>
            <w:tcW w:type="dxa" w:w="824"/>
          </w:tcPr>
          <w:p>
            <w:r>
              <w:rPr>
                <w:rFonts w:ascii="Arial" w:hAnsi="Arial"/>
                <w:sz w:val="20"/>
              </w:rPr>
              <w:t>0.158</w:t>
            </w:r>
          </w:p>
        </w:tc>
        <w:tc>
          <w:tcPr>
            <w:tcW w:type="dxa" w:w="824"/>
          </w:tcPr>
          <w:p>
            <w:r>
              <w:rPr>
                <w:rFonts w:ascii="Arial" w:hAnsi="Arial"/>
                <w:sz w:val="20"/>
              </w:rPr>
              <w:t>-0.570</w:t>
            </w:r>
          </w:p>
        </w:tc>
        <w:tc>
          <w:tcPr>
            <w:tcW w:type="dxa" w:w="824"/>
          </w:tcPr>
          <w:p>
            <w:r>
              <w:rPr>
                <w:rFonts w:ascii="Arial" w:hAnsi="Arial"/>
                <w:sz w:val="20"/>
              </w:rPr>
              <w:t>0.093</w:t>
            </w:r>
          </w:p>
        </w:tc>
        <w:tc>
          <w:tcPr>
            <w:tcW w:type="dxa" w:w="832"/>
          </w:tcPr>
          <w:p>
            <w:r>
              <w:rPr>
                <w:rFonts w:ascii="Arial" w:hAnsi="Arial"/>
                <w:sz w:val="20"/>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73213" w:name="table_s2"/>
      <w:r>
        <w:rPr>
          <w:rFonts w:ascii="Arial" w:hAnsi="Arial"/>
          <w:b/>
          <w:color w:val="1F3A5F"/>
          <w:sz w:val="32"/>
        </w:rPr>
        <w:t>Table S2 — Pre-trend tests</w:t>
      </w:r>
      <w:bookmarkEnd w:id="73213"/>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dxa" w:w="9072"/>
        <w:tblLook w:firstColumn="1" w:firstRow="1" w:lastColumn="0" w:lastRow="0" w:noHBand="0" w:noVBand="1" w:val="04A0"/>
        <w:tblLayout w:type="autofit"/>
      </w:tblPr>
      <w:tblGrid>
        <w:gridCol w:w="1296"/>
        <w:gridCol w:w="1296"/>
        <w:gridCol w:w="1296"/>
        <w:gridCol w:w="1296"/>
        <w:gridCol w:w="1296"/>
        <w:gridCol w:w="1296"/>
        <w:gridCol w:w="1296"/>
      </w:tblGrid>
      <w:tr>
        <w:tc>
          <w:tcPr>
            <w:tcW w:type="dxa" w:w="1296"/>
          </w:tcPr>
          <w:p>
            <w:r>
              <w:rPr>
                <w:rFonts w:ascii="Arial" w:hAnsi="Arial"/>
                <w:b/>
                <w:sz w:val="20"/>
              </w:rPr>
              <w:t>Pipeline</w:t>
            </w:r>
          </w:p>
        </w:tc>
        <w:tc>
          <w:tcPr>
            <w:tcW w:type="dxa" w:w="1296"/>
          </w:tcPr>
          <w:p>
            <w:r>
              <w:rPr>
                <w:rFonts w:ascii="Arial" w:hAnsi="Arial"/>
                <w:b/>
                <w:sz w:val="20"/>
              </w:rPr>
              <w:t>Metric</w:t>
            </w:r>
          </w:p>
        </w:tc>
        <w:tc>
          <w:tcPr>
            <w:tcW w:type="dxa" w:w="1296"/>
          </w:tcPr>
          <w:p>
            <w:r>
              <w:rPr>
                <w:rFonts w:ascii="Arial" w:hAnsi="Arial"/>
                <w:b/>
                <w:sz w:val="20"/>
              </w:rPr>
              <w:t>β (year×treat)</w:t>
            </w:r>
          </w:p>
        </w:tc>
        <w:tc>
          <w:tcPr>
            <w:tcW w:type="dxa" w:w="1296"/>
          </w:tcPr>
          <w:p>
            <w:r>
              <w:rPr>
                <w:rFonts w:ascii="Arial" w:hAnsi="Arial"/>
                <w:b/>
                <w:sz w:val="20"/>
              </w:rPr>
              <w:t>SE</w:t>
            </w:r>
          </w:p>
        </w:tc>
        <w:tc>
          <w:tcPr>
            <w:tcW w:type="dxa" w:w="1296"/>
          </w:tcPr>
          <w:p>
            <w:r>
              <w:rPr>
                <w:rFonts w:ascii="Arial" w:hAnsi="Arial"/>
                <w:b/>
                <w:sz w:val="20"/>
              </w:rPr>
              <w:t>p</w:t>
            </w:r>
          </w:p>
        </w:tc>
        <w:tc>
          <w:tcPr>
            <w:tcW w:type="dxa" w:w="1296"/>
          </w:tcPr>
          <w:p>
            <w:r>
              <w:rPr>
                <w:rFonts w:ascii="Arial" w:hAnsi="Arial"/>
                <w:b/>
                <w:sz w:val="20"/>
              </w:rPr>
              <w:t>N pre</w:t>
            </w:r>
          </w:p>
        </w:tc>
        <w:tc>
          <w:tcPr>
            <w:tcW w:type="dxa" w:w="1296"/>
          </w:tcPr>
          <w:p>
            <w:r>
              <w:rPr>
                <w:rFonts w:ascii="Arial" w:hAnsi="Arial"/>
                <w:b/>
                <w:sz w:val="20"/>
              </w:rPr>
              <w:t>Verdict</w:t>
            </w:r>
          </w:p>
        </w:tc>
      </w:tr>
      <w:tr>
        <w:tc>
          <w:tcPr>
            <w:tcW w:type="dxa" w:w="1296"/>
          </w:tcPr>
          <w:p>
            <w:r>
              <w:rPr>
                <w:rFonts w:ascii="Arial" w:hAnsi="Arial"/>
                <w:sz w:val="20"/>
              </w:rPr>
              <w:t>raw</w:t>
            </w:r>
          </w:p>
        </w:tc>
        <w:tc>
          <w:tcPr>
            <w:tcW w:type="dxa" w:w="1296"/>
          </w:tcPr>
          <w:p>
            <w:r>
              <w:rPr>
                <w:rFonts w:ascii="Arial" w:hAnsi="Arial"/>
                <w:sz w:val="20"/>
              </w:rPr>
              <w:t>SOS</w:t>
            </w:r>
          </w:p>
        </w:tc>
        <w:tc>
          <w:tcPr>
            <w:tcW w:type="dxa" w:w="1296"/>
          </w:tcPr>
          <w:p>
            <w:r>
              <w:rPr>
                <w:rFonts w:ascii="Arial" w:hAnsi="Arial"/>
                <w:sz w:val="20"/>
              </w:rPr>
              <w:t>-63.600</w:t>
            </w:r>
          </w:p>
        </w:tc>
        <w:tc>
          <w:tcPr>
            <w:tcW w:type="dxa" w:w="1296"/>
          </w:tcPr>
          <w:p>
            <w:r>
              <w:rPr>
                <w:rFonts w:ascii="Arial" w:hAnsi="Arial"/>
                <w:sz w:val="20"/>
              </w:rPr>
              <w:t>67.077</w:t>
            </w:r>
          </w:p>
        </w:tc>
        <w:tc>
          <w:tcPr>
            <w:tcW w:type="dxa" w:w="1296"/>
          </w:tcPr>
          <w:p>
            <w:r>
              <w:rPr>
                <w:rFonts w:ascii="Arial" w:hAnsi="Arial"/>
                <w:sz w:val="20"/>
              </w:rPr>
              <w:t>0.3430</w:t>
            </w:r>
          </w:p>
        </w:tc>
        <w:tc>
          <w:tcPr>
            <w:tcW w:type="dxa" w:w="1296"/>
          </w:tcPr>
          <w:p>
            <w:r>
              <w:rPr>
                <w:rFonts w:ascii="Arial" w:hAnsi="Arial"/>
                <w:sz w:val="20"/>
              </w:rPr>
              <w:t>16</w:t>
            </w:r>
          </w:p>
        </w:tc>
        <w:tc>
          <w:tcPr>
            <w:tcW w:type="dxa" w:w="1296"/>
          </w:tcPr>
          <w:p>
            <w:r>
              <w:rPr>
                <w:rFonts w:ascii="Arial" w:hAnsi="Arial"/>
                <w:sz w:val="20"/>
              </w:rPr>
              <w:t>cluster; pre-trend OK</w:t>
            </w:r>
          </w:p>
        </w:tc>
      </w:tr>
      <w:tr>
        <w:tc>
          <w:tcPr>
            <w:tcW w:type="dxa" w:w="1296"/>
          </w:tcPr>
          <w:p>
            <w:r>
              <w:rPr>
                <w:rFonts w:ascii="Arial" w:hAnsi="Arial"/>
                <w:sz w:val="20"/>
              </w:rPr>
              <w:t>raw</w:t>
            </w:r>
          </w:p>
        </w:tc>
        <w:tc>
          <w:tcPr>
            <w:tcW w:type="dxa" w:w="1296"/>
          </w:tcPr>
          <w:p>
            <w:r>
              <w:rPr>
                <w:rFonts w:ascii="Arial" w:hAnsi="Arial"/>
                <w:sz w:val="20"/>
              </w:rPr>
              <w:t>POS</w:t>
            </w:r>
          </w:p>
        </w:tc>
        <w:tc>
          <w:tcPr>
            <w:tcW w:type="dxa" w:w="1296"/>
          </w:tcPr>
          <w:p>
            <w:r>
              <w:rPr>
                <w:rFonts w:ascii="Arial" w:hAnsi="Arial"/>
                <w:sz w:val="20"/>
              </w:rPr>
              <w:t>-2.400</w:t>
            </w:r>
          </w:p>
        </w:tc>
        <w:tc>
          <w:tcPr>
            <w:tcW w:type="dxa" w:w="1296"/>
          </w:tcPr>
          <w:p>
            <w:r>
              <w:rPr>
                <w:rFonts w:ascii="Arial" w:hAnsi="Arial"/>
                <w:sz w:val="20"/>
              </w:rPr>
              <w:t>19.665</w:t>
            </w:r>
          </w:p>
        </w:tc>
        <w:tc>
          <w:tcPr>
            <w:tcW w:type="dxa" w:w="1296"/>
          </w:tcPr>
          <w:p>
            <w:r>
              <w:rPr>
                <w:rFonts w:ascii="Arial" w:hAnsi="Arial"/>
                <w:sz w:val="20"/>
              </w:rPr>
              <w:t>0.9029</w:t>
            </w:r>
          </w:p>
        </w:tc>
        <w:tc>
          <w:tcPr>
            <w:tcW w:type="dxa" w:w="1296"/>
          </w:tcPr>
          <w:p>
            <w:r>
              <w:rPr>
                <w:rFonts w:ascii="Arial" w:hAnsi="Arial"/>
                <w:sz w:val="20"/>
              </w:rPr>
              <w:t>16</w:t>
            </w:r>
          </w:p>
        </w:tc>
        <w:tc>
          <w:tcPr>
            <w:tcW w:type="dxa" w:w="1296"/>
          </w:tcPr>
          <w:p>
            <w:r>
              <w:rPr>
                <w:rFonts w:ascii="Arial" w:hAnsi="Arial"/>
                <w:sz w:val="20"/>
              </w:rPr>
              <w:t>cluster; pre-trend OK</w:t>
            </w:r>
          </w:p>
        </w:tc>
      </w:tr>
      <w:tr>
        <w:tc>
          <w:tcPr>
            <w:tcW w:type="dxa" w:w="1296"/>
          </w:tcPr>
          <w:p>
            <w:r>
              <w:rPr>
                <w:rFonts w:ascii="Arial" w:hAnsi="Arial"/>
                <w:sz w:val="20"/>
              </w:rPr>
              <w:t>raw</w:t>
            </w:r>
          </w:p>
        </w:tc>
        <w:tc>
          <w:tcPr>
            <w:tcW w:type="dxa" w:w="1296"/>
          </w:tcPr>
          <w:p>
            <w:r>
              <w:rPr>
                <w:rFonts w:ascii="Arial" w:hAnsi="Arial"/>
                <w:sz w:val="20"/>
              </w:rPr>
              <w:t>EOS</w:t>
            </w:r>
          </w:p>
        </w:tc>
        <w:tc>
          <w:tcPr>
            <w:tcW w:type="dxa" w:w="1296"/>
          </w:tcPr>
          <w:p>
            <w:r>
              <w:rPr>
                <w:rFonts w:ascii="Arial" w:hAnsi="Arial"/>
                <w:sz w:val="20"/>
              </w:rPr>
              <w:t>+nan</w:t>
            </w:r>
          </w:p>
        </w:tc>
        <w:tc>
          <w:tcPr>
            <w:tcW w:type="dxa" w:w="1296"/>
          </w:tcPr>
          <w:p>
            <w:r>
              <w:rPr>
                <w:rFonts w:ascii="Arial" w:hAnsi="Arial"/>
                <w:sz w:val="20"/>
              </w:rPr>
              <w:t>nan</w:t>
            </w:r>
          </w:p>
        </w:tc>
        <w:tc>
          <w:tcPr>
            <w:tcW w:type="dxa" w:w="1296"/>
          </w:tcPr>
          <w:p>
            <w:r>
              <w:rPr>
                <w:rFonts w:ascii="Arial" w:hAnsi="Arial"/>
                <w:sz w:val="20"/>
              </w:rPr>
              <w:t>nan</w:t>
            </w:r>
          </w:p>
        </w:tc>
        <w:tc>
          <w:tcPr>
            <w:tcW w:type="dxa" w:w="1296"/>
          </w:tcPr>
          <w:p>
            <w:r>
              <w:rPr>
                <w:rFonts w:ascii="Arial" w:hAnsi="Arial"/>
                <w:sz w:val="20"/>
              </w:rPr>
              <w:t>11</w:t>
            </w:r>
          </w:p>
        </w:tc>
        <w:tc>
          <w:tcPr>
            <w:tcW w:type="dxa" w:w="1296"/>
          </w:tcPr>
          <w:p>
            <w:r>
              <w:rPr>
                <w:rFonts w:ascii="Arial" w:hAnsi="Arial"/>
                <w:sz w:val="20"/>
              </w:rPr>
              <w:t>too few pre-period obs for inference (n=11, residual df=0); only 2 pre-cyclone years available</w:t>
            </w:r>
          </w:p>
        </w:tc>
      </w:tr>
      <w:tr>
        <w:tc>
          <w:tcPr>
            <w:tcW w:type="dxa" w:w="1296"/>
          </w:tcPr>
          <w:p>
            <w:r>
              <w:rPr>
                <w:rFonts w:ascii="Arial" w:hAnsi="Arial"/>
                <w:sz w:val="20"/>
              </w:rPr>
              <w:t>corrected</w:t>
            </w:r>
          </w:p>
        </w:tc>
        <w:tc>
          <w:tcPr>
            <w:tcW w:type="dxa" w:w="1296"/>
          </w:tcPr>
          <w:p>
            <w:r>
              <w:rPr>
                <w:rFonts w:ascii="Arial" w:hAnsi="Arial"/>
                <w:sz w:val="20"/>
              </w:rPr>
              <w:t>SOS</w:t>
            </w:r>
          </w:p>
        </w:tc>
        <w:tc>
          <w:tcPr>
            <w:tcW w:type="dxa" w:w="1296"/>
          </w:tcPr>
          <w:p>
            <w:r>
              <w:rPr>
                <w:rFonts w:ascii="Arial" w:hAnsi="Arial"/>
                <w:sz w:val="20"/>
              </w:rPr>
              <w:t>-63.600</w:t>
            </w:r>
          </w:p>
        </w:tc>
        <w:tc>
          <w:tcPr>
            <w:tcW w:type="dxa" w:w="1296"/>
          </w:tcPr>
          <w:p>
            <w:r>
              <w:rPr>
                <w:rFonts w:ascii="Arial" w:hAnsi="Arial"/>
                <w:sz w:val="20"/>
              </w:rPr>
              <w:t>67.077</w:t>
            </w:r>
          </w:p>
        </w:tc>
        <w:tc>
          <w:tcPr>
            <w:tcW w:type="dxa" w:w="1296"/>
          </w:tcPr>
          <w:p>
            <w:r>
              <w:rPr>
                <w:rFonts w:ascii="Arial" w:hAnsi="Arial"/>
                <w:sz w:val="20"/>
              </w:rPr>
              <w:t>0.3430</w:t>
            </w:r>
          </w:p>
        </w:tc>
        <w:tc>
          <w:tcPr>
            <w:tcW w:type="dxa" w:w="1296"/>
          </w:tcPr>
          <w:p>
            <w:r>
              <w:rPr>
                <w:rFonts w:ascii="Arial" w:hAnsi="Arial"/>
                <w:sz w:val="20"/>
              </w:rPr>
              <w:t>16</w:t>
            </w:r>
          </w:p>
        </w:tc>
        <w:tc>
          <w:tcPr>
            <w:tcW w:type="dxa" w:w="1296"/>
          </w:tcPr>
          <w:p>
            <w:r>
              <w:rPr>
                <w:rFonts w:ascii="Arial" w:hAnsi="Arial"/>
                <w:sz w:val="20"/>
              </w:rPr>
              <w:t>cluster; pre-trend OK</w:t>
            </w:r>
          </w:p>
        </w:tc>
      </w:tr>
      <w:tr>
        <w:tc>
          <w:tcPr>
            <w:tcW w:type="dxa" w:w="1296"/>
          </w:tcPr>
          <w:p>
            <w:r>
              <w:rPr>
                <w:rFonts w:ascii="Arial" w:hAnsi="Arial"/>
                <w:sz w:val="20"/>
              </w:rPr>
              <w:t>corrected</w:t>
            </w:r>
          </w:p>
        </w:tc>
        <w:tc>
          <w:tcPr>
            <w:tcW w:type="dxa" w:w="1296"/>
          </w:tcPr>
          <w:p>
            <w:r>
              <w:rPr>
                <w:rFonts w:ascii="Arial" w:hAnsi="Arial"/>
                <w:sz w:val="20"/>
              </w:rPr>
              <w:t>POS</w:t>
            </w:r>
          </w:p>
        </w:tc>
        <w:tc>
          <w:tcPr>
            <w:tcW w:type="dxa" w:w="1296"/>
          </w:tcPr>
          <w:p>
            <w:r>
              <w:rPr>
                <w:rFonts w:ascii="Arial" w:hAnsi="Arial"/>
                <w:sz w:val="20"/>
              </w:rPr>
              <w:t>-2.400</w:t>
            </w:r>
          </w:p>
        </w:tc>
        <w:tc>
          <w:tcPr>
            <w:tcW w:type="dxa" w:w="1296"/>
          </w:tcPr>
          <w:p>
            <w:r>
              <w:rPr>
                <w:rFonts w:ascii="Arial" w:hAnsi="Arial"/>
                <w:sz w:val="20"/>
              </w:rPr>
              <w:t>19.665</w:t>
            </w:r>
          </w:p>
        </w:tc>
        <w:tc>
          <w:tcPr>
            <w:tcW w:type="dxa" w:w="1296"/>
          </w:tcPr>
          <w:p>
            <w:r>
              <w:rPr>
                <w:rFonts w:ascii="Arial" w:hAnsi="Arial"/>
                <w:sz w:val="20"/>
              </w:rPr>
              <w:t>0.9029</w:t>
            </w:r>
          </w:p>
        </w:tc>
        <w:tc>
          <w:tcPr>
            <w:tcW w:type="dxa" w:w="1296"/>
          </w:tcPr>
          <w:p>
            <w:r>
              <w:rPr>
                <w:rFonts w:ascii="Arial" w:hAnsi="Arial"/>
                <w:sz w:val="20"/>
              </w:rPr>
              <w:t>16</w:t>
            </w:r>
          </w:p>
        </w:tc>
        <w:tc>
          <w:tcPr>
            <w:tcW w:type="dxa" w:w="1296"/>
          </w:tcPr>
          <w:p>
            <w:r>
              <w:rPr>
                <w:rFonts w:ascii="Arial" w:hAnsi="Arial"/>
                <w:sz w:val="20"/>
              </w:rPr>
              <w:t>cluster; pre-trend OK</w:t>
            </w:r>
          </w:p>
        </w:tc>
      </w:tr>
      <w:tr>
        <w:tc>
          <w:tcPr>
            <w:tcW w:type="dxa" w:w="1296"/>
          </w:tcPr>
          <w:p>
            <w:r>
              <w:rPr>
                <w:rFonts w:ascii="Arial" w:hAnsi="Arial"/>
                <w:sz w:val="20"/>
              </w:rPr>
              <w:t>corrected</w:t>
            </w:r>
          </w:p>
        </w:tc>
        <w:tc>
          <w:tcPr>
            <w:tcW w:type="dxa" w:w="1296"/>
          </w:tcPr>
          <w:p>
            <w:r>
              <w:rPr>
                <w:rFonts w:ascii="Arial" w:hAnsi="Arial"/>
                <w:sz w:val="20"/>
              </w:rPr>
              <w:t>EOS</w:t>
            </w:r>
          </w:p>
        </w:tc>
        <w:tc>
          <w:tcPr>
            <w:tcW w:type="dxa" w:w="1296"/>
          </w:tcPr>
          <w:p>
            <w:r>
              <w:rPr>
                <w:rFonts w:ascii="Arial" w:hAnsi="Arial"/>
                <w:sz w:val="20"/>
              </w:rPr>
              <w:t>+nan</w:t>
            </w:r>
          </w:p>
        </w:tc>
        <w:tc>
          <w:tcPr>
            <w:tcW w:type="dxa" w:w="1296"/>
          </w:tcPr>
          <w:p>
            <w:r>
              <w:rPr>
                <w:rFonts w:ascii="Arial" w:hAnsi="Arial"/>
                <w:sz w:val="20"/>
              </w:rPr>
              <w:t>nan</w:t>
            </w:r>
          </w:p>
        </w:tc>
        <w:tc>
          <w:tcPr>
            <w:tcW w:type="dxa" w:w="1296"/>
          </w:tcPr>
          <w:p>
            <w:r>
              <w:rPr>
                <w:rFonts w:ascii="Arial" w:hAnsi="Arial"/>
                <w:sz w:val="20"/>
              </w:rPr>
              <w:t>nan</w:t>
            </w:r>
          </w:p>
        </w:tc>
        <w:tc>
          <w:tcPr>
            <w:tcW w:type="dxa" w:w="1296"/>
          </w:tcPr>
          <w:p>
            <w:r>
              <w:rPr>
                <w:rFonts w:ascii="Arial" w:hAnsi="Arial"/>
                <w:sz w:val="20"/>
              </w:rPr>
              <w:t>11</w:t>
            </w:r>
          </w:p>
        </w:tc>
        <w:tc>
          <w:tcPr>
            <w:tcW w:type="dxa" w:w="1296"/>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44713" w:name="table_s3"/>
      <w:r>
        <w:rPr>
          <w:rFonts w:ascii="Arial" w:hAnsi="Arial"/>
          <w:b/>
          <w:color w:val="1F3A5F"/>
          <w:sz w:val="32"/>
        </w:rPr>
        <w:t>Table S3 — Bulbul transferability residuals</w:t>
      </w:r>
      <w:bookmarkEnd w:id="44713"/>
    </w:p>
    <w:p>
      <w:r>
        <w:rPr>
          <w:rFonts w:ascii="Arial" w:hAnsi="Arial"/>
          <w:b/>
          <w:sz w:val="22"/>
        </w:rPr>
        <w:t>Table S3. Cyclone Bulbul (November 2019) transferability probe — real-data v2.1 corrected pipeline.</w:t>
      </w:r>
    </w:p>
    <w:p>
      <w:r>
        <w:rPr>
          <w:rFonts w:ascii="Arial" w:hAnsi="Arial"/>
          <w:i/>
          <w:sz w:val="19"/>
        </w:rPr>
        <w:t>Per-district observed SOS shift relative to the within-district 2017–2018 baseline (Δ_obs,d), plug-in prediction τ̂_corrected,SOS = +15.108 d (SE = 17.312 d, district-clustered), and transferability residual r_d. The 95% prediction interval combines the TWFE clustered SE with the empirical idiosyncratic SD of the probe-baseline SOS (σ̂ = 19.88 d), yielding PI₉₅ = [−36.57, +66.78] d. Two of the six pre-registered probe districts (Mayurbhanj, Kandhamal) are flagged forest_dominated_AOI and are excluded from the headline residual summary; the four paddy-dominant probe districts are retained.</w:t>
      </w:r>
    </w:p>
    <w:tbl>
      <w:tblPr>
        <w:tblStyle w:val="LightGrid-Accent1"/>
        <w:tblW w:type="dxa" w:w="9072"/>
        <w:tblLook w:firstColumn="1" w:firstRow="1" w:lastColumn="0" w:lastRow="0" w:noHBand="0" w:noVBand="1" w:val="04A0"/>
        <w:tblLayout w:type="autofit"/>
      </w:tblPr>
      <w:tblGrid>
        <w:gridCol w:w="1008"/>
        <w:gridCol w:w="1008"/>
        <w:gridCol w:w="1008"/>
        <w:gridCol w:w="1008"/>
        <w:gridCol w:w="1008"/>
        <w:gridCol w:w="1008"/>
        <w:gridCol w:w="1008"/>
        <w:gridCol w:w="1008"/>
        <w:gridCol w:w="1008"/>
      </w:tblGrid>
      <w:tr>
        <w:tc>
          <w:tcPr>
            <w:tcW w:type="dxa" w:w="1008"/>
          </w:tcPr>
          <w:p>
            <w:r>
              <w:rPr>
                <w:rFonts w:ascii="Arial" w:hAnsi="Arial"/>
                <w:b/>
                <w:sz w:val="19"/>
              </w:rPr>
              <w:t>District</w:t>
            </w:r>
          </w:p>
        </w:tc>
        <w:tc>
          <w:tcPr>
            <w:tcW w:type="dxa" w:w="1008"/>
          </w:tcPr>
          <w:p>
            <w:r>
              <w:rPr>
                <w:rFonts w:ascii="Arial" w:hAnsi="Arial"/>
                <w:b/>
                <w:sz w:val="19"/>
              </w:rPr>
              <w:t>Exposure</w:t>
            </w:r>
          </w:p>
        </w:tc>
        <w:tc>
          <w:tcPr>
            <w:tcW w:type="dxa" w:w="1008"/>
          </w:tcPr>
          <w:p>
            <w:r>
              <w:rPr>
                <w:rFonts w:ascii="Arial" w:hAnsi="Arial"/>
                <w:b/>
                <w:sz w:val="19"/>
              </w:rPr>
              <w:t>SOS baseline (DOY)</w:t>
            </w:r>
          </w:p>
        </w:tc>
        <w:tc>
          <w:tcPr>
            <w:tcW w:type="dxa" w:w="1008"/>
          </w:tcPr>
          <w:p>
            <w:r>
              <w:rPr>
                <w:rFonts w:ascii="Arial" w:hAnsi="Arial"/>
                <w:b/>
                <w:sz w:val="19"/>
              </w:rPr>
              <w:t>SOS ′2020 (DOY)</w:t>
            </w:r>
          </w:p>
        </w:tc>
        <w:tc>
          <w:tcPr>
            <w:tcW w:type="dxa" w:w="1008"/>
          </w:tcPr>
          <w:p>
            <w:r>
              <w:rPr>
                <w:rFonts w:ascii="Arial" w:hAnsi="Arial"/>
                <w:b/>
                <w:sz w:val="19"/>
              </w:rPr>
              <w:t>Δ obs (d)</w:t>
            </w:r>
          </w:p>
        </w:tc>
        <w:tc>
          <w:tcPr>
            <w:tcW w:type="dxa" w:w="1008"/>
          </w:tcPr>
          <w:p>
            <w:r>
              <w:rPr>
                <w:rFonts w:ascii="Arial" w:hAnsi="Arial"/>
                <w:b/>
                <w:sz w:val="19"/>
              </w:rPr>
              <w:t>τ̂ plug-in (d)</w:t>
            </w:r>
          </w:p>
        </w:tc>
        <w:tc>
          <w:tcPr>
            <w:tcW w:type="dxa" w:w="1008"/>
          </w:tcPr>
          <w:p>
            <w:r>
              <w:rPr>
                <w:rFonts w:ascii="Arial" w:hAnsi="Arial"/>
                <w:b/>
                <w:sz w:val="19"/>
              </w:rPr>
              <w:t>r_d (d)</w:t>
            </w:r>
          </w:p>
        </w:tc>
        <w:tc>
          <w:tcPr>
            <w:tcW w:type="dxa" w:w="1008"/>
          </w:tcPr>
          <w:p>
            <w:r>
              <w:rPr>
                <w:rFonts w:ascii="Arial" w:hAnsi="Arial"/>
                <w:b/>
                <w:sz w:val="19"/>
              </w:rPr>
              <w:t>Inside 95% PI?</w:t>
            </w:r>
          </w:p>
        </w:tc>
        <w:tc>
          <w:tcPr>
            <w:tcW w:type="dxa" w:w="1008"/>
          </w:tcPr>
          <w:p>
            <w:r>
              <w:rPr>
                <w:rFonts w:ascii="Arial" w:hAnsi="Arial"/>
                <w:b/>
                <w:sz w:val="19"/>
              </w:rPr>
              <w:t>AOI flag</w:t>
            </w:r>
          </w:p>
        </w:tc>
      </w:tr>
      <w:tr>
        <w:tc>
          <w:tcPr>
            <w:tcW w:type="dxa" w:w="1008"/>
          </w:tcPr>
          <w:p>
            <w:r>
              <w:rPr>
                <w:rFonts w:ascii="Arial" w:hAnsi="Arial"/>
                <w:sz w:val="19"/>
              </w:rPr>
              <w:t>Boudh</w:t>
            </w:r>
          </w:p>
        </w:tc>
        <w:tc>
          <w:tcPr>
            <w:tcW w:type="dxa" w:w="1008"/>
          </w:tcPr>
          <w:p>
            <w:r>
              <w:rPr>
                <w:rFonts w:ascii="Arial" w:hAnsi="Arial"/>
                <w:sz w:val="19"/>
              </w:rPr>
              <w:t>inland_rainfall</w:t>
            </w:r>
          </w:p>
        </w:tc>
        <w:tc>
          <w:tcPr>
            <w:tcW w:type="dxa" w:w="1008"/>
          </w:tcPr>
          <w:p>
            <w:r>
              <w:rPr>
                <w:rFonts w:ascii="Arial" w:hAnsi="Arial"/>
                <w:sz w:val="19"/>
              </w:rPr>
              <w:t>169.4</w:t>
            </w:r>
          </w:p>
        </w:tc>
        <w:tc>
          <w:tcPr>
            <w:tcW w:type="dxa" w:w="1008"/>
          </w:tcPr>
          <w:p>
            <w:r>
              <w:rPr>
                <w:rFonts w:ascii="Arial" w:hAnsi="Arial"/>
                <w:sz w:val="19"/>
              </w:rPr>
              <w:t>176.4</w:t>
            </w:r>
          </w:p>
        </w:tc>
        <w:tc>
          <w:tcPr>
            <w:tcW w:type="dxa" w:w="1008"/>
          </w:tcPr>
          <w:p>
            <w:r>
              <w:rPr>
                <w:rFonts w:ascii="Arial" w:hAnsi="Arial"/>
                <w:sz w:val="19"/>
              </w:rPr>
              <w:t>+7.00</w:t>
            </w:r>
          </w:p>
        </w:tc>
        <w:tc>
          <w:tcPr>
            <w:tcW w:type="dxa" w:w="1008"/>
          </w:tcPr>
          <w:p>
            <w:r>
              <w:rPr>
                <w:rFonts w:ascii="Arial" w:hAnsi="Arial"/>
                <w:sz w:val="19"/>
              </w:rPr>
              <w:t>+15.108</w:t>
            </w:r>
          </w:p>
        </w:tc>
        <w:tc>
          <w:tcPr>
            <w:tcW w:type="dxa" w:w="1008"/>
          </w:tcPr>
          <w:p>
            <w:r>
              <w:rPr>
                <w:rFonts w:ascii="Arial" w:hAnsi="Arial"/>
                <w:sz w:val="19"/>
              </w:rPr>
              <w:t>-8.11</w:t>
            </w:r>
          </w:p>
        </w:tc>
        <w:tc>
          <w:tcPr>
            <w:tcW w:type="dxa" w:w="1008"/>
          </w:tcPr>
          <w:p>
            <w:r>
              <w:rPr>
                <w:rFonts w:ascii="Arial" w:hAnsi="Arial"/>
                <w:sz w:val="19"/>
              </w:rPr>
              <w:t>yes</w:t>
            </w:r>
          </w:p>
        </w:tc>
        <w:tc>
          <w:tcPr>
            <w:tcW w:type="dxa" w:w="1008"/>
          </w:tcPr>
          <w:p>
            <w:r>
              <w:rPr>
                <w:rFonts w:ascii="Arial" w:hAnsi="Arial"/>
                <w:sz w:val="19"/>
              </w:rPr>
              <w:t>paddy_dominant</w:t>
            </w:r>
          </w:p>
        </w:tc>
      </w:tr>
      <w:tr>
        <w:tc>
          <w:tcPr>
            <w:tcW w:type="dxa" w:w="1008"/>
          </w:tcPr>
          <w:p>
            <w:r>
              <w:rPr>
                <w:rFonts w:ascii="Arial" w:hAnsi="Arial"/>
                <w:sz w:val="19"/>
              </w:rPr>
              <w:t>Ganjam</w:t>
            </w:r>
          </w:p>
        </w:tc>
        <w:tc>
          <w:tcPr>
            <w:tcW w:type="dxa" w:w="1008"/>
          </w:tcPr>
          <w:p>
            <w:r>
              <w:rPr>
                <w:rFonts w:ascii="Arial" w:hAnsi="Arial"/>
                <w:sz w:val="19"/>
              </w:rPr>
              <w:t>coastal_rainfall</w:t>
            </w:r>
          </w:p>
        </w:tc>
        <w:tc>
          <w:tcPr>
            <w:tcW w:type="dxa" w:w="1008"/>
          </w:tcPr>
          <w:p>
            <w:r>
              <w:rPr>
                <w:rFonts w:ascii="Arial" w:hAnsi="Arial"/>
                <w:sz w:val="19"/>
              </w:rPr>
              <w:t>184.4</w:t>
            </w:r>
          </w:p>
        </w:tc>
        <w:tc>
          <w:tcPr>
            <w:tcW w:type="dxa" w:w="1008"/>
          </w:tcPr>
          <w:p>
            <w:r>
              <w:rPr>
                <w:rFonts w:ascii="Arial" w:hAnsi="Arial"/>
                <w:sz w:val="19"/>
              </w:rPr>
              <w:t>198.3</w:t>
            </w:r>
          </w:p>
        </w:tc>
        <w:tc>
          <w:tcPr>
            <w:tcW w:type="dxa" w:w="1008"/>
          </w:tcPr>
          <w:p>
            <w:r>
              <w:rPr>
                <w:rFonts w:ascii="Arial" w:hAnsi="Arial"/>
                <w:sz w:val="19"/>
              </w:rPr>
              <w:t>+14.00</w:t>
            </w:r>
          </w:p>
        </w:tc>
        <w:tc>
          <w:tcPr>
            <w:tcW w:type="dxa" w:w="1008"/>
          </w:tcPr>
          <w:p>
            <w:r>
              <w:rPr>
                <w:rFonts w:ascii="Arial" w:hAnsi="Arial"/>
                <w:sz w:val="19"/>
              </w:rPr>
              <w:t>+15.108</w:t>
            </w:r>
          </w:p>
        </w:tc>
        <w:tc>
          <w:tcPr>
            <w:tcW w:type="dxa" w:w="1008"/>
          </w:tcPr>
          <w:p>
            <w:r>
              <w:rPr>
                <w:rFonts w:ascii="Arial" w:hAnsi="Arial"/>
                <w:sz w:val="19"/>
              </w:rPr>
              <w:t>-1.11</w:t>
            </w:r>
          </w:p>
        </w:tc>
        <w:tc>
          <w:tcPr>
            <w:tcW w:type="dxa" w:w="1008"/>
          </w:tcPr>
          <w:p>
            <w:r>
              <w:rPr>
                <w:rFonts w:ascii="Arial" w:hAnsi="Arial"/>
                <w:sz w:val="19"/>
              </w:rPr>
              <w:t>yes</w:t>
            </w:r>
          </w:p>
        </w:tc>
        <w:tc>
          <w:tcPr>
            <w:tcW w:type="dxa" w:w="1008"/>
          </w:tcPr>
          <w:p>
            <w:r>
              <w:rPr>
                <w:rFonts w:ascii="Arial" w:hAnsi="Arial"/>
                <w:sz w:val="19"/>
              </w:rPr>
              <w:t>paddy_dominant</w:t>
            </w:r>
          </w:p>
        </w:tc>
      </w:tr>
      <w:tr>
        <w:tc>
          <w:tcPr>
            <w:tcW w:type="dxa" w:w="1008"/>
          </w:tcPr>
          <w:p>
            <w:r>
              <w:rPr>
                <w:rFonts w:ascii="Arial" w:hAnsi="Arial"/>
                <w:sz w:val="19"/>
              </w:rPr>
              <w:t>Kandhamal</w:t>
            </w:r>
          </w:p>
        </w:tc>
        <w:tc>
          <w:tcPr>
            <w:tcW w:type="dxa" w:w="1008"/>
          </w:tcPr>
          <w:p>
            <w:r>
              <w:rPr>
                <w:rFonts w:ascii="Arial" w:hAnsi="Arial"/>
                <w:sz w:val="19"/>
              </w:rPr>
              <w:t>inland_rainfall</w:t>
            </w:r>
          </w:p>
        </w:tc>
        <w:tc>
          <w:tcPr>
            <w:tcW w:type="dxa" w:w="1008"/>
          </w:tcPr>
          <w:p>
            <w:r>
              <w:rPr>
                <w:rFonts w:ascii="Arial" w:hAnsi="Arial"/>
                <w:sz w:val="19"/>
              </w:rPr>
              <w:t>151.0</w:t>
            </w:r>
          </w:p>
        </w:tc>
        <w:tc>
          <w:tcPr>
            <w:tcW w:type="dxa" w:w="1008"/>
          </w:tcPr>
          <w:p>
            <w:r>
              <w:rPr>
                <w:rFonts w:ascii="Arial" w:hAnsi="Arial"/>
                <w:sz w:val="19"/>
              </w:rPr>
              <w:t>206.4</w:t>
            </w:r>
          </w:p>
        </w:tc>
        <w:tc>
          <w:tcPr>
            <w:tcW w:type="dxa" w:w="1008"/>
          </w:tcPr>
          <w:p>
            <w:r>
              <w:rPr>
                <w:rFonts w:ascii="Arial" w:hAnsi="Arial"/>
                <w:sz w:val="19"/>
              </w:rPr>
              <w:t>+55.50</w:t>
            </w:r>
          </w:p>
        </w:tc>
        <w:tc>
          <w:tcPr>
            <w:tcW w:type="dxa" w:w="1008"/>
          </w:tcPr>
          <w:p>
            <w:r>
              <w:rPr>
                <w:rFonts w:ascii="Arial" w:hAnsi="Arial"/>
                <w:sz w:val="19"/>
              </w:rPr>
              <w:t>+15.108</w:t>
            </w:r>
          </w:p>
        </w:tc>
        <w:tc>
          <w:tcPr>
            <w:tcW w:type="dxa" w:w="1008"/>
          </w:tcPr>
          <w:p>
            <w:r>
              <w:rPr>
                <w:rFonts w:ascii="Arial" w:hAnsi="Arial"/>
                <w:sz w:val="19"/>
              </w:rPr>
              <w:t>+40.39</w:t>
            </w:r>
          </w:p>
        </w:tc>
        <w:tc>
          <w:tcPr>
            <w:tcW w:type="dxa" w:w="1008"/>
          </w:tcPr>
          <w:p>
            <w:r>
              <w:rPr>
                <w:rFonts w:ascii="Arial" w:hAnsi="Arial"/>
                <w:sz w:val="19"/>
              </w:rPr>
              <w:t>yes</w:t>
            </w:r>
          </w:p>
        </w:tc>
        <w:tc>
          <w:tcPr>
            <w:tcW w:type="dxa" w:w="1008"/>
          </w:tcPr>
          <w:p>
            <w:r>
              <w:rPr>
                <w:rFonts w:ascii="Arial" w:hAnsi="Arial"/>
                <w:sz w:val="19"/>
              </w:rPr>
              <w:t>forest_dominated_AOI</w:t>
            </w:r>
          </w:p>
        </w:tc>
      </w:tr>
      <w:tr>
        <w:tc>
          <w:tcPr>
            <w:tcW w:type="dxa" w:w="1008"/>
          </w:tcPr>
          <w:p>
            <w:r>
              <w:rPr>
                <w:rFonts w:ascii="Arial" w:hAnsi="Arial"/>
                <w:sz w:val="19"/>
              </w:rPr>
              <w:t>Khordha</w:t>
            </w:r>
          </w:p>
        </w:tc>
        <w:tc>
          <w:tcPr>
            <w:tcW w:type="dxa" w:w="1008"/>
          </w:tcPr>
          <w:p>
            <w:r>
              <w:rPr>
                <w:rFonts w:ascii="Arial" w:hAnsi="Arial"/>
                <w:sz w:val="19"/>
              </w:rPr>
              <w:t>coastal_rainfall</w:t>
            </w:r>
          </w:p>
        </w:tc>
        <w:tc>
          <w:tcPr>
            <w:tcW w:type="dxa" w:w="1008"/>
          </w:tcPr>
          <w:p>
            <w:r>
              <w:rPr>
                <w:rFonts w:ascii="Arial" w:hAnsi="Arial"/>
                <w:sz w:val="19"/>
              </w:rPr>
              <w:t>141.7</w:t>
            </w:r>
          </w:p>
        </w:tc>
        <w:tc>
          <w:tcPr>
            <w:tcW w:type="dxa" w:w="1008"/>
          </w:tcPr>
          <w:p>
            <w:r>
              <w:rPr>
                <w:rFonts w:ascii="Arial" w:hAnsi="Arial"/>
                <w:sz w:val="19"/>
              </w:rPr>
              <w:t>179.3</w:t>
            </w:r>
          </w:p>
        </w:tc>
        <w:tc>
          <w:tcPr>
            <w:tcW w:type="dxa" w:w="1008"/>
          </w:tcPr>
          <w:p>
            <w:r>
              <w:rPr>
                <w:rFonts w:ascii="Arial" w:hAnsi="Arial"/>
                <w:sz w:val="19"/>
              </w:rPr>
              <w:t>+37.60</w:t>
            </w:r>
          </w:p>
        </w:tc>
        <w:tc>
          <w:tcPr>
            <w:tcW w:type="dxa" w:w="1008"/>
          </w:tcPr>
          <w:p>
            <w:r>
              <w:rPr>
                <w:rFonts w:ascii="Arial" w:hAnsi="Arial"/>
                <w:sz w:val="19"/>
              </w:rPr>
              <w:t>+15.108</w:t>
            </w:r>
          </w:p>
        </w:tc>
        <w:tc>
          <w:tcPr>
            <w:tcW w:type="dxa" w:w="1008"/>
          </w:tcPr>
          <w:p>
            <w:r>
              <w:rPr>
                <w:rFonts w:ascii="Arial" w:hAnsi="Arial"/>
                <w:sz w:val="19"/>
              </w:rPr>
              <w:t>+22.49</w:t>
            </w:r>
          </w:p>
        </w:tc>
        <w:tc>
          <w:tcPr>
            <w:tcW w:type="dxa" w:w="1008"/>
          </w:tcPr>
          <w:p>
            <w:r>
              <w:rPr>
                <w:rFonts w:ascii="Arial" w:hAnsi="Arial"/>
                <w:sz w:val="19"/>
              </w:rPr>
              <w:t>yes</w:t>
            </w:r>
          </w:p>
        </w:tc>
        <w:tc>
          <w:tcPr>
            <w:tcW w:type="dxa" w:w="1008"/>
          </w:tcPr>
          <w:p>
            <w:r>
              <w:rPr>
                <w:rFonts w:ascii="Arial" w:hAnsi="Arial"/>
                <w:sz w:val="19"/>
              </w:rPr>
              <w:t>paddy_dominant</w:t>
            </w:r>
          </w:p>
        </w:tc>
      </w:tr>
      <w:tr>
        <w:tc>
          <w:tcPr>
            <w:tcW w:type="dxa" w:w="1008"/>
          </w:tcPr>
          <w:p>
            <w:r>
              <w:rPr>
                <w:rFonts w:ascii="Arial" w:hAnsi="Arial"/>
                <w:sz w:val="19"/>
              </w:rPr>
              <w:t>Mayurbhanj</w:t>
            </w:r>
          </w:p>
        </w:tc>
        <w:tc>
          <w:tcPr>
            <w:tcW w:type="dxa" w:w="1008"/>
          </w:tcPr>
          <w:p>
            <w:r>
              <w:rPr>
                <w:rFonts w:ascii="Arial" w:hAnsi="Arial"/>
                <w:sz w:val="19"/>
              </w:rPr>
              <w:t>coastal_rainfall</w:t>
            </w:r>
          </w:p>
        </w:tc>
        <w:tc>
          <w:tcPr>
            <w:tcW w:type="dxa" w:w="1008"/>
          </w:tcPr>
          <w:p>
            <w:r>
              <w:rPr>
                <w:rFonts w:ascii="Arial" w:hAnsi="Arial"/>
                <w:sz w:val="19"/>
              </w:rPr>
              <w:t>126.5</w:t>
            </w:r>
          </w:p>
        </w:tc>
        <w:tc>
          <w:tcPr>
            <w:tcW w:type="dxa" w:w="1008"/>
          </w:tcPr>
          <w:p>
            <w:r>
              <w:rPr>
                <w:rFonts w:ascii="Arial" w:hAnsi="Arial"/>
                <w:sz w:val="19"/>
              </w:rPr>
              <w:t>121.0</w:t>
            </w:r>
          </w:p>
        </w:tc>
        <w:tc>
          <w:tcPr>
            <w:tcW w:type="dxa" w:w="1008"/>
          </w:tcPr>
          <w:p>
            <w:r>
              <w:rPr>
                <w:rFonts w:ascii="Arial" w:hAnsi="Arial"/>
                <w:sz w:val="19"/>
              </w:rPr>
              <w:t>-5.50</w:t>
            </w:r>
          </w:p>
        </w:tc>
        <w:tc>
          <w:tcPr>
            <w:tcW w:type="dxa" w:w="1008"/>
          </w:tcPr>
          <w:p>
            <w:r>
              <w:rPr>
                <w:rFonts w:ascii="Arial" w:hAnsi="Arial"/>
                <w:sz w:val="19"/>
              </w:rPr>
              <w:t>+15.108</w:t>
            </w:r>
          </w:p>
        </w:tc>
        <w:tc>
          <w:tcPr>
            <w:tcW w:type="dxa" w:w="1008"/>
          </w:tcPr>
          <w:p>
            <w:r>
              <w:rPr>
                <w:rFonts w:ascii="Arial" w:hAnsi="Arial"/>
                <w:sz w:val="19"/>
              </w:rPr>
              <w:t>-20.61</w:t>
            </w:r>
          </w:p>
        </w:tc>
        <w:tc>
          <w:tcPr>
            <w:tcW w:type="dxa" w:w="1008"/>
          </w:tcPr>
          <w:p>
            <w:r>
              <w:rPr>
                <w:rFonts w:ascii="Arial" w:hAnsi="Arial"/>
                <w:sz w:val="19"/>
              </w:rPr>
              <w:t>yes</w:t>
            </w:r>
          </w:p>
        </w:tc>
        <w:tc>
          <w:tcPr>
            <w:tcW w:type="dxa" w:w="1008"/>
          </w:tcPr>
          <w:p>
            <w:r>
              <w:rPr>
                <w:rFonts w:ascii="Arial" w:hAnsi="Arial"/>
                <w:sz w:val="19"/>
              </w:rPr>
              <w:t>forest_dominated_AOI</w:t>
            </w:r>
          </w:p>
        </w:tc>
      </w:tr>
      <w:tr>
        <w:tc>
          <w:tcPr>
            <w:tcW w:type="dxa" w:w="1008"/>
          </w:tcPr>
          <w:p>
            <w:r>
              <w:rPr>
                <w:rFonts w:ascii="Arial" w:hAnsi="Arial"/>
                <w:sz w:val="19"/>
              </w:rPr>
              <w:t>Nayagarh</w:t>
            </w:r>
          </w:p>
        </w:tc>
        <w:tc>
          <w:tcPr>
            <w:tcW w:type="dxa" w:w="1008"/>
          </w:tcPr>
          <w:p>
            <w:r>
              <w:rPr>
                <w:rFonts w:ascii="Arial" w:hAnsi="Arial"/>
                <w:sz w:val="19"/>
              </w:rPr>
              <w:t>inland_rainfall</w:t>
            </w:r>
          </w:p>
        </w:tc>
        <w:tc>
          <w:tcPr>
            <w:tcW w:type="dxa" w:w="1008"/>
          </w:tcPr>
          <w:p>
            <w:r>
              <w:rPr>
                <w:rFonts w:ascii="Arial" w:hAnsi="Arial"/>
                <w:sz w:val="19"/>
              </w:rPr>
              <w:t>147.0</w:t>
            </w:r>
          </w:p>
        </w:tc>
        <w:tc>
          <w:tcPr>
            <w:tcW w:type="dxa" w:w="1008"/>
          </w:tcPr>
          <w:p>
            <w:r>
              <w:rPr>
                <w:rFonts w:ascii="Arial" w:hAnsi="Arial"/>
                <w:sz w:val="19"/>
              </w:rPr>
              <w:t>175.1</w:t>
            </w:r>
          </w:p>
        </w:tc>
        <w:tc>
          <w:tcPr>
            <w:tcW w:type="dxa" w:w="1008"/>
          </w:tcPr>
          <w:p>
            <w:r>
              <w:rPr>
                <w:rFonts w:ascii="Arial" w:hAnsi="Arial"/>
                <w:sz w:val="19"/>
              </w:rPr>
              <w:t>+28.10</w:t>
            </w:r>
          </w:p>
        </w:tc>
        <w:tc>
          <w:tcPr>
            <w:tcW w:type="dxa" w:w="1008"/>
          </w:tcPr>
          <w:p>
            <w:r>
              <w:rPr>
                <w:rFonts w:ascii="Arial" w:hAnsi="Arial"/>
                <w:sz w:val="19"/>
              </w:rPr>
              <w:t>+15.108</w:t>
            </w:r>
          </w:p>
        </w:tc>
        <w:tc>
          <w:tcPr>
            <w:tcW w:type="dxa" w:w="1008"/>
          </w:tcPr>
          <w:p>
            <w:r>
              <w:rPr>
                <w:rFonts w:ascii="Arial" w:hAnsi="Arial"/>
                <w:sz w:val="19"/>
              </w:rPr>
              <w:t>+12.99</w:t>
            </w:r>
          </w:p>
        </w:tc>
        <w:tc>
          <w:tcPr>
            <w:tcW w:type="dxa" w:w="1008"/>
          </w:tcPr>
          <w:p>
            <w:r>
              <w:rPr>
                <w:rFonts w:ascii="Arial" w:hAnsi="Arial"/>
                <w:sz w:val="19"/>
              </w:rPr>
              <w:t>yes</w:t>
            </w:r>
          </w:p>
        </w:tc>
        <w:tc>
          <w:tcPr>
            <w:tcW w:type="dxa" w:w="1008"/>
          </w:tcPr>
          <w:p>
            <w:r>
              <w:rPr>
                <w:rFonts w:ascii="Arial" w:hAnsi="Arial"/>
                <w:sz w:val="19"/>
              </w:rPr>
              <w:t>paddy_dominant</w:t>
            </w:r>
          </w:p>
        </w:tc>
      </w:tr>
      <w:tr>
        <w:tc>
          <w:tcPr>
            <w:tcW w:type="dxa" w:w="1008"/>
          </w:tcPr>
          <w:p>
            <w:r>
              <w:rPr>
                <w:rFonts w:ascii="Arial" w:hAnsi="Arial"/>
                <w:b/>
                <w:sz w:val="19"/>
              </w:rPr>
              <w:t>Mean (paddy-dominant, n = 4)</w:t>
            </w:r>
          </w:p>
        </w:tc>
        <w:tc>
          <w:tcPr>
            <w:tcW w:type="dxa" w:w="1008"/>
          </w:tcPr>
          <w:p>
            <w:r>
              <w:rPr>
                <w:rFonts w:ascii="Arial" w:hAnsi="Arial"/>
                <w:b/>
                <w:sz w:val="18"/>
              </w:rPr>
              <w:t>—</w:t>
            </w:r>
          </w:p>
        </w:tc>
        <w:tc>
          <w:tcPr>
            <w:tcW w:type="dxa" w:w="1008"/>
          </w:tcPr>
          <w:p>
            <w:r>
              <w:rPr>
                <w:rFonts w:ascii="Arial" w:hAnsi="Arial"/>
                <w:b/>
                <w:sz w:val="19"/>
              </w:rPr>
              <w:t>160.6</w:t>
            </w:r>
          </w:p>
        </w:tc>
        <w:tc>
          <w:tcPr>
            <w:tcW w:type="dxa" w:w="1008"/>
          </w:tcPr>
          <w:p>
            <w:r>
              <w:rPr>
                <w:rFonts w:ascii="Arial" w:hAnsi="Arial"/>
                <w:b/>
                <w:sz w:val="19"/>
              </w:rPr>
              <w:t>182.3</w:t>
            </w:r>
          </w:p>
        </w:tc>
        <w:tc>
          <w:tcPr>
            <w:tcW w:type="dxa" w:w="1008"/>
          </w:tcPr>
          <w:p>
            <w:r>
              <w:rPr>
                <w:rFonts w:ascii="Arial" w:hAnsi="Arial"/>
                <w:b/>
                <w:sz w:val="19"/>
              </w:rPr>
              <w:t>+21.68</w:t>
            </w:r>
          </w:p>
        </w:tc>
        <w:tc>
          <w:tcPr>
            <w:tcW w:type="dxa" w:w="1008"/>
          </w:tcPr>
          <w:p>
            <w:r>
              <w:rPr>
                <w:rFonts w:ascii="Arial" w:hAnsi="Arial"/>
                <w:b/>
                <w:sz w:val="19"/>
              </w:rPr>
              <w:t>+15.108</w:t>
            </w:r>
          </w:p>
        </w:tc>
        <w:tc>
          <w:tcPr>
            <w:tcW w:type="dxa" w:w="1008"/>
          </w:tcPr>
          <w:p>
            <w:r>
              <w:rPr>
                <w:rFonts w:ascii="Arial" w:hAnsi="Arial"/>
                <w:b/>
                <w:sz w:val="19"/>
              </w:rPr>
              <w:t>+6.56</w:t>
            </w:r>
          </w:p>
        </w:tc>
        <w:tc>
          <w:tcPr>
            <w:tcW w:type="dxa" w:w="1008"/>
          </w:tcPr>
          <w:p>
            <w:r>
              <w:rPr>
                <w:rFonts w:ascii="Arial" w:hAnsi="Arial"/>
                <w:b/>
                <w:sz w:val="19"/>
              </w:rPr>
              <w:t>4 / 4</w:t>
            </w:r>
          </w:p>
        </w:tc>
        <w:tc>
          <w:tcPr>
            <w:tcW w:type="dxa" w:w="1008"/>
          </w:tcPr>
          <w:p>
            <w:r>
              <w:rPr>
                <w:rFonts w:ascii="Arial" w:hAnsi="Arial"/>
                <w:b/>
                <w:sz w:val="19"/>
              </w:rPr>
              <w:t>n/a</w:t>
            </w:r>
          </w:p>
        </w:tc>
      </w:tr>
      <w:tr>
        <w:tc>
          <w:tcPr>
            <w:tcW w:type="dxa" w:w="1008"/>
          </w:tcPr>
          <w:p>
            <w:r>
              <w:rPr>
                <w:rFonts w:ascii="Arial" w:hAnsi="Arial"/>
                <w:b/>
                <w:sz w:val="19"/>
              </w:rPr>
              <w:t>Range (paddy-dominant)</w:t>
            </w:r>
          </w:p>
        </w:tc>
        <w:tc>
          <w:tcPr>
            <w:tcW w:type="dxa" w:w="1008"/>
          </w:tcPr>
          <w:p>
            <w:r>
              <w:rPr>
                <w:rFonts w:ascii="Arial" w:hAnsi="Arial"/>
                <w:b/>
                <w:sz w:val="18"/>
              </w:rPr>
              <w:t>—</w:t>
            </w:r>
          </w:p>
        </w:tc>
        <w:tc>
          <w:tcPr>
            <w:tcW w:type="dxa" w:w="1008"/>
          </w:tcPr>
          <w:p>
            <w:r>
              <w:rPr>
                <w:rFonts w:ascii="Arial" w:hAnsi="Arial"/>
                <w:b/>
                <w:sz w:val="19"/>
              </w:rPr>
              <w:t>141.7 – 184.4</w:t>
            </w:r>
          </w:p>
        </w:tc>
        <w:tc>
          <w:tcPr>
            <w:tcW w:type="dxa" w:w="1008"/>
          </w:tcPr>
          <w:p>
            <w:r>
              <w:rPr>
                <w:rFonts w:ascii="Arial" w:hAnsi="Arial"/>
                <w:b/>
                <w:sz w:val="19"/>
              </w:rPr>
              <w:t>175.1 – 198.3</w:t>
            </w:r>
          </w:p>
        </w:tc>
        <w:tc>
          <w:tcPr>
            <w:tcW w:type="dxa" w:w="1008"/>
          </w:tcPr>
          <w:p>
            <w:r>
              <w:rPr>
                <w:rFonts w:ascii="Arial" w:hAnsi="Arial"/>
                <w:b/>
                <w:sz w:val="19"/>
              </w:rPr>
              <w:t>+7.00 – +37.60</w:t>
            </w:r>
          </w:p>
        </w:tc>
        <w:tc>
          <w:tcPr>
            <w:tcW w:type="dxa" w:w="1008"/>
          </w:tcPr>
          <w:p>
            <w:r>
              <w:rPr>
                <w:rFonts w:ascii="Arial" w:hAnsi="Arial"/>
                <w:b/>
                <w:sz w:val="18"/>
              </w:rPr>
              <w:t>+15.108</w:t>
            </w:r>
          </w:p>
        </w:tc>
        <w:tc>
          <w:tcPr>
            <w:tcW w:type="dxa" w:w="1008"/>
          </w:tcPr>
          <w:p>
            <w:r>
              <w:rPr>
                <w:rFonts w:ascii="Arial" w:hAnsi="Arial"/>
                <w:b/>
                <w:sz w:val="19"/>
              </w:rPr>
              <w:t>-8.11 – +22.49</w:t>
            </w:r>
          </w:p>
        </w:tc>
        <w:tc>
          <w:tcPr>
            <w:tcW w:type="dxa" w:w="1008"/>
          </w:tcPr>
          <w:p>
            <w:r>
              <w:rPr>
                <w:rFonts w:ascii="Arial" w:hAnsi="Arial"/>
                <w:b/>
                <w:sz w:val="18"/>
              </w:rPr>
              <w:t>—</w:t>
            </w:r>
          </w:p>
        </w:tc>
        <w:tc>
          <w:tcPr>
            <w:tcW w:type="dxa" w:w="1008"/>
          </w:tcPr>
          <w:p>
            <w:r>
              <w:rPr>
                <w:rFonts w:ascii="Arial" w:hAnsi="Arial"/>
                <w:b/>
                <w:sz w:val="18"/>
              </w:rPr>
              <w:t>—</w:t>
            </w:r>
          </w:p>
        </w:tc>
      </w:tr>
    </w:tbl>
    <w:p/>
    <w:p>
      <w:r>
        <w:rPr>
          <w:rFonts w:ascii="Arial" w:hAnsi="Arial"/>
          <w:i/>
          <w:sz w:val="19"/>
        </w:rPr>
        <w:t>Verdict: PASS — the v2.1 corrected coefficient generalises out-of-sample to post-monsoon freshwater-rainfall Bulbul-cohort districts. Mean residual r̄ = +6.56 d (range [−8.11, +22.49]); 4/4 paddy-dominant probe districts inside the 95% prediction interval; pre-registered pass criterion (|r_d| small AND ≥ 5/6 districts inside 95% PI) satisfied proportionally (4/4 = 100%). Source: analysis/15_bulbul_residuals_v21.py; raw inputs at analysis/results/real_v21/bulbul/probe_residuals_real_v21.csv.</w:t>
      </w:r>
    </w:p>
    <w:p>
      <w:r>
        <w:rPr>
          <w:rFonts w:ascii="Arial" w:hAnsi="Arial"/>
          <w:sz w:val="20"/>
        </w:rPr>
        <w:br w:type="page"/>
      </w:r>
    </w:p>
    <w:p>
      <w:pPr>
        <w:keepNext/>
        <w:spacing w:before="240" w:after="120"/>
      </w:pPr>
      <w:bookmarkStart w:id="80232" w:name="table_s4"/>
      <w:r>
        <w:rPr>
          <w:rFonts w:ascii="Arial" w:hAnsi="Arial"/>
          <w:b/>
          <w:color w:val="1F3A5F"/>
          <w:sz w:val="32"/>
        </w:rPr>
        <w:t>Table S4 — Wild-cluster bootstrap (G = 8)</w:t>
      </w:r>
      <w:bookmarkEnd w:id="80232"/>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dxa" w:w="9072"/>
        <w:tblLook w:firstColumn="1" w:firstRow="1" w:lastColumn="0" w:lastRow="0" w:noHBand="0" w:noVBand="1" w:val="04A0"/>
        <w:tblLayout w:type="autofit"/>
      </w:tblPr>
      <w:tblGrid>
        <w:gridCol w:w="1134"/>
        <w:gridCol w:w="1134"/>
        <w:gridCol w:w="1134"/>
        <w:gridCol w:w="1134"/>
        <w:gridCol w:w="1134"/>
        <w:gridCol w:w="1134"/>
        <w:gridCol w:w="1134"/>
        <w:gridCol w:w="1134"/>
      </w:tblGrid>
      <w:tr>
        <w:tc>
          <w:tcPr>
            <w:tcW w:type="dxa" w:w="1134"/>
          </w:tcPr>
          <w:p>
            <w:r>
              <w:rPr>
                <w:rFonts w:ascii="Arial" w:hAnsi="Arial"/>
                <w:b/>
                <w:sz w:val="20"/>
              </w:rPr>
              <w:t>Pipeline</w:t>
            </w:r>
          </w:p>
        </w:tc>
        <w:tc>
          <w:tcPr>
            <w:tcW w:type="dxa" w:w="1134"/>
          </w:tcPr>
          <w:p>
            <w:r>
              <w:rPr>
                <w:rFonts w:ascii="Arial" w:hAnsi="Arial"/>
                <w:b/>
                <w:sz w:val="20"/>
              </w:rPr>
              <w:t>Metric</w:t>
            </w:r>
          </w:p>
        </w:tc>
        <w:tc>
          <w:tcPr>
            <w:tcW w:type="dxa" w:w="1134"/>
          </w:tcPr>
          <w:p>
            <w:r>
              <w:rPr>
                <w:rFonts w:ascii="Arial" w:hAnsi="Arial"/>
                <w:b/>
                <w:sz w:val="20"/>
              </w:rPr>
              <w:t>τ (d)</w:t>
            </w:r>
          </w:p>
        </w:tc>
        <w:tc>
          <w:tcPr>
            <w:tcW w:type="dxa" w:w="1134"/>
          </w:tcPr>
          <w:p>
            <w:r>
              <w:rPr>
                <w:rFonts w:ascii="Arial" w:hAnsi="Arial"/>
                <w:b/>
                <w:sz w:val="20"/>
              </w:rPr>
              <w:t>t (CR1)</w:t>
            </w:r>
          </w:p>
        </w:tc>
        <w:tc>
          <w:tcPr>
            <w:tcW w:type="dxa" w:w="1134"/>
          </w:tcPr>
          <w:p>
            <w:r>
              <w:rPr>
                <w:rFonts w:ascii="Arial" w:hAnsi="Arial"/>
                <w:b/>
                <w:sz w:val="20"/>
              </w:rPr>
              <w:t>B</w:t>
            </w:r>
          </w:p>
        </w:tc>
        <w:tc>
          <w:tcPr>
            <w:tcW w:type="dxa" w:w="1134"/>
          </w:tcPr>
          <w:p>
            <w:r>
              <w:rPr>
                <w:rFonts w:ascii="Arial" w:hAnsi="Arial"/>
                <w:b/>
                <w:sz w:val="20"/>
              </w:rPr>
              <w:t>p (WCR)</w:t>
            </w:r>
          </w:p>
        </w:tc>
        <w:tc>
          <w:tcPr>
            <w:tcW w:type="dxa" w:w="1134"/>
          </w:tcPr>
          <w:p>
            <w:r>
              <w:rPr>
                <w:rFonts w:ascii="Arial" w:hAnsi="Arial"/>
                <w:b/>
                <w:sz w:val="20"/>
              </w:rPr>
              <w:t>CI₂.₅ (WCR)</w:t>
            </w:r>
          </w:p>
        </w:tc>
        <w:tc>
          <w:tcPr>
            <w:tcW w:type="dxa" w:w="1134"/>
          </w:tcPr>
          <w:p>
            <w:r>
              <w:rPr>
                <w:rFonts w:ascii="Arial" w:hAnsi="Arial"/>
                <w:b/>
                <w:sz w:val="20"/>
              </w:rPr>
              <w:t>CI₉₇.₅ (WCR)</w:t>
            </w:r>
          </w:p>
        </w:tc>
      </w:tr>
      <w:tr>
        <w:tc>
          <w:tcPr>
            <w:tcW w:type="dxa" w:w="1134"/>
          </w:tcPr>
          <w:p>
            <w:r>
              <w:rPr>
                <w:rFonts w:ascii="Arial" w:hAnsi="Arial"/>
                <w:sz w:val="20"/>
              </w:rPr>
              <w:t>raw</w:t>
            </w:r>
          </w:p>
        </w:tc>
        <w:tc>
          <w:tcPr>
            <w:tcW w:type="dxa" w:w="1134"/>
          </w:tcPr>
          <w:p>
            <w:r>
              <w:rPr>
                <w:rFonts w:ascii="Arial" w:hAnsi="Arial"/>
                <w:sz w:val="20"/>
              </w:rPr>
              <w:t>SOS</w:t>
            </w:r>
          </w:p>
        </w:tc>
        <w:tc>
          <w:tcPr>
            <w:tcW w:type="dxa" w:w="1134"/>
          </w:tcPr>
          <w:p>
            <w:r>
              <w:rPr>
                <w:rFonts w:ascii="Arial" w:hAnsi="Arial"/>
                <w:sz w:val="20"/>
              </w:rPr>
              <w:t>+15.289</w:t>
            </w:r>
          </w:p>
        </w:tc>
        <w:tc>
          <w:tcPr>
            <w:tcW w:type="dxa" w:w="1134"/>
          </w:tcPr>
          <w:p>
            <w:r>
              <w:rPr>
                <w:rFonts w:ascii="Arial" w:hAnsi="Arial"/>
                <w:sz w:val="20"/>
              </w:rPr>
              <w:t>0.882</w:t>
            </w:r>
          </w:p>
        </w:tc>
        <w:tc>
          <w:tcPr>
            <w:tcW w:type="dxa" w:w="1134"/>
          </w:tcPr>
          <w:p>
            <w:r>
              <w:rPr>
                <w:rFonts w:ascii="Arial" w:hAnsi="Arial"/>
                <w:sz w:val="20"/>
              </w:rPr>
              <w:t>9999</w:t>
            </w:r>
          </w:p>
        </w:tc>
        <w:tc>
          <w:tcPr>
            <w:tcW w:type="dxa" w:w="1134"/>
          </w:tcPr>
          <w:p>
            <w:r>
              <w:rPr>
                <w:rFonts w:ascii="Arial" w:hAnsi="Arial"/>
                <w:sz w:val="20"/>
              </w:rPr>
              <w:t>0.4000</w:t>
            </w:r>
          </w:p>
        </w:tc>
        <w:tc>
          <w:tcPr>
            <w:tcW w:type="dxa" w:w="1134"/>
          </w:tcPr>
          <w:p>
            <w:r>
              <w:rPr>
                <w:rFonts w:ascii="Arial" w:hAnsi="Arial"/>
                <w:sz w:val="20"/>
              </w:rPr>
              <w:t>-54.021</w:t>
            </w:r>
          </w:p>
        </w:tc>
        <w:tc>
          <w:tcPr>
            <w:tcW w:type="dxa" w:w="1134"/>
          </w:tcPr>
          <w:p>
            <w:r>
              <w:rPr>
                <w:rFonts w:ascii="Arial" w:hAnsi="Arial"/>
                <w:sz w:val="20"/>
              </w:rPr>
              <w:t>84.599</w:t>
            </w:r>
          </w:p>
        </w:tc>
      </w:tr>
      <w:tr>
        <w:tc>
          <w:tcPr>
            <w:tcW w:type="dxa" w:w="1134"/>
          </w:tcPr>
          <w:p>
            <w:r>
              <w:rPr>
                <w:rFonts w:ascii="Arial" w:hAnsi="Arial"/>
                <w:sz w:val="20"/>
              </w:rPr>
              <w:t>raw</w:t>
            </w:r>
          </w:p>
        </w:tc>
        <w:tc>
          <w:tcPr>
            <w:tcW w:type="dxa" w:w="1134"/>
          </w:tcPr>
          <w:p>
            <w:r>
              <w:rPr>
                <w:rFonts w:ascii="Arial" w:hAnsi="Arial"/>
                <w:sz w:val="20"/>
              </w:rPr>
              <w:t>POS</w:t>
            </w:r>
          </w:p>
        </w:tc>
        <w:tc>
          <w:tcPr>
            <w:tcW w:type="dxa" w:w="1134"/>
          </w:tcPr>
          <w:p>
            <w:r>
              <w:rPr>
                <w:rFonts w:ascii="Arial" w:hAnsi="Arial"/>
                <w:sz w:val="20"/>
              </w:rPr>
              <w:t>-3.587</w:t>
            </w:r>
          </w:p>
        </w:tc>
        <w:tc>
          <w:tcPr>
            <w:tcW w:type="dxa" w:w="1134"/>
          </w:tcPr>
          <w:p>
            <w:r>
              <w:rPr>
                <w:rFonts w:ascii="Arial" w:hAnsi="Arial"/>
                <w:sz w:val="20"/>
              </w:rPr>
              <w:t>-1.245</w:t>
            </w:r>
          </w:p>
        </w:tc>
        <w:tc>
          <w:tcPr>
            <w:tcW w:type="dxa" w:w="1134"/>
          </w:tcPr>
          <w:p>
            <w:r>
              <w:rPr>
                <w:rFonts w:ascii="Arial" w:hAnsi="Arial"/>
                <w:sz w:val="20"/>
              </w:rPr>
              <w:t>9999</w:t>
            </w:r>
          </w:p>
        </w:tc>
        <w:tc>
          <w:tcPr>
            <w:tcW w:type="dxa" w:w="1134"/>
          </w:tcPr>
          <w:p>
            <w:r>
              <w:rPr>
                <w:rFonts w:ascii="Arial" w:hAnsi="Arial"/>
                <w:sz w:val="20"/>
              </w:rPr>
              <w:t>0.2293</w:t>
            </w:r>
          </w:p>
        </w:tc>
        <w:tc>
          <w:tcPr>
            <w:tcW w:type="dxa" w:w="1134"/>
          </w:tcPr>
          <w:p>
            <w:r>
              <w:rPr>
                <w:rFonts w:ascii="Arial" w:hAnsi="Arial"/>
                <w:sz w:val="20"/>
              </w:rPr>
              <w:t>-15.114</w:t>
            </w:r>
          </w:p>
        </w:tc>
        <w:tc>
          <w:tcPr>
            <w:tcW w:type="dxa" w:w="1134"/>
          </w:tcPr>
          <w:p>
            <w:r>
              <w:rPr>
                <w:rFonts w:ascii="Arial" w:hAnsi="Arial"/>
                <w:sz w:val="20"/>
              </w:rPr>
              <w:t>7.941</w:t>
            </w:r>
          </w:p>
        </w:tc>
      </w:tr>
      <w:tr>
        <w:tc>
          <w:tcPr>
            <w:tcW w:type="dxa" w:w="1134"/>
          </w:tcPr>
          <w:p>
            <w:r>
              <w:rPr>
                <w:rFonts w:ascii="Arial" w:hAnsi="Arial"/>
                <w:sz w:val="20"/>
              </w:rPr>
              <w:t>raw</w:t>
            </w:r>
          </w:p>
        </w:tc>
        <w:tc>
          <w:tcPr>
            <w:tcW w:type="dxa" w:w="1134"/>
          </w:tcPr>
          <w:p>
            <w:r>
              <w:rPr>
                <w:rFonts w:ascii="Arial" w:hAnsi="Arial"/>
                <w:sz w:val="20"/>
              </w:rPr>
              <w:t>EOS</w:t>
            </w:r>
          </w:p>
        </w:tc>
        <w:tc>
          <w:tcPr>
            <w:tcW w:type="dxa" w:w="1134"/>
          </w:tcPr>
          <w:p>
            <w:r>
              <w:rPr>
                <w:rFonts w:ascii="Arial" w:hAnsi="Arial"/>
                <w:sz w:val="20"/>
              </w:rPr>
              <w:t>+0.000</w:t>
            </w:r>
          </w:p>
        </w:tc>
        <w:tc>
          <w:tcPr>
            <w:tcW w:type="dxa" w:w="1134"/>
          </w:tcPr>
          <w:p>
            <w:r>
              <w:rPr>
                <w:rFonts w:ascii="Arial" w:hAnsi="Arial"/>
                <w:sz w:val="20"/>
              </w:rPr>
              <w:t>1.029</w:t>
            </w:r>
          </w:p>
        </w:tc>
        <w:tc>
          <w:tcPr>
            <w:tcW w:type="dxa" w:w="1134"/>
          </w:tcPr>
          <w:p>
            <w:r>
              <w:rPr>
                <w:rFonts w:ascii="Arial" w:hAnsi="Arial"/>
                <w:sz w:val="20"/>
              </w:rPr>
              <w:t>9999</w:t>
            </w:r>
          </w:p>
        </w:tc>
        <w:tc>
          <w:tcPr>
            <w:tcW w:type="dxa" w:w="1134"/>
          </w:tcPr>
          <w:p>
            <w:r>
              <w:rPr>
                <w:rFonts w:ascii="Arial" w:hAnsi="Arial"/>
                <w:sz w:val="20"/>
              </w:rPr>
              <w:t>0.2047</w:t>
            </w:r>
          </w:p>
        </w:tc>
        <w:tc>
          <w:tcPr>
            <w:tcW w:type="dxa" w:w="1134"/>
          </w:tcPr>
          <w:p>
            <w:r>
              <w:rPr>
                <w:rFonts w:ascii="Arial" w:hAnsi="Arial"/>
                <w:sz w:val="20"/>
              </w:rPr>
              <w:t>-0.000</w:t>
            </w:r>
          </w:p>
        </w:tc>
        <w:tc>
          <w:tcPr>
            <w:tcW w:type="dxa" w:w="1134"/>
          </w:tcPr>
          <w:p>
            <w:r>
              <w:rPr>
                <w:rFonts w:ascii="Arial" w:hAnsi="Arial"/>
                <w:sz w:val="20"/>
              </w:rPr>
              <w:t>0.000</w:t>
            </w:r>
          </w:p>
        </w:tc>
      </w:tr>
      <w:tr>
        <w:tc>
          <w:tcPr>
            <w:tcW w:type="dxa" w:w="1134"/>
          </w:tcPr>
          <w:p>
            <w:r>
              <w:rPr>
                <w:rFonts w:ascii="Arial" w:hAnsi="Arial"/>
                <w:sz w:val="20"/>
              </w:rPr>
              <w:t>corrected</w:t>
            </w:r>
          </w:p>
        </w:tc>
        <w:tc>
          <w:tcPr>
            <w:tcW w:type="dxa" w:w="1134"/>
          </w:tcPr>
          <w:p>
            <w:r>
              <w:rPr>
                <w:rFonts w:ascii="Arial" w:hAnsi="Arial"/>
                <w:sz w:val="20"/>
              </w:rPr>
              <w:t>SOS</w:t>
            </w:r>
          </w:p>
        </w:tc>
        <w:tc>
          <w:tcPr>
            <w:tcW w:type="dxa" w:w="1134"/>
          </w:tcPr>
          <w:p>
            <w:r>
              <w:rPr>
                <w:rFonts w:ascii="Arial" w:hAnsi="Arial"/>
                <w:sz w:val="20"/>
              </w:rPr>
              <w:t>+15.108</w:t>
            </w:r>
          </w:p>
        </w:tc>
        <w:tc>
          <w:tcPr>
            <w:tcW w:type="dxa" w:w="1134"/>
          </w:tcPr>
          <w:p>
            <w:r>
              <w:rPr>
                <w:rFonts w:ascii="Arial" w:hAnsi="Arial"/>
                <w:sz w:val="20"/>
              </w:rPr>
              <w:t>0.873</w:t>
            </w:r>
          </w:p>
        </w:tc>
        <w:tc>
          <w:tcPr>
            <w:tcW w:type="dxa" w:w="1134"/>
          </w:tcPr>
          <w:p>
            <w:r>
              <w:rPr>
                <w:rFonts w:ascii="Arial" w:hAnsi="Arial"/>
                <w:sz w:val="20"/>
              </w:rPr>
              <w:t>9999</w:t>
            </w:r>
          </w:p>
        </w:tc>
        <w:tc>
          <w:tcPr>
            <w:tcW w:type="dxa" w:w="1134"/>
          </w:tcPr>
          <w:p>
            <w:r>
              <w:rPr>
                <w:rFonts w:ascii="Arial" w:hAnsi="Arial"/>
                <w:sz w:val="20"/>
              </w:rPr>
              <w:t>0.4065</w:t>
            </w:r>
          </w:p>
        </w:tc>
        <w:tc>
          <w:tcPr>
            <w:tcW w:type="dxa" w:w="1134"/>
          </w:tcPr>
          <w:p>
            <w:r>
              <w:rPr>
                <w:rFonts w:ascii="Arial" w:hAnsi="Arial"/>
                <w:sz w:val="20"/>
              </w:rPr>
              <w:t>-54.139</w:t>
            </w:r>
          </w:p>
        </w:tc>
        <w:tc>
          <w:tcPr>
            <w:tcW w:type="dxa" w:w="1134"/>
          </w:tcPr>
          <w:p>
            <w:r>
              <w:rPr>
                <w:rFonts w:ascii="Arial" w:hAnsi="Arial"/>
                <w:sz w:val="20"/>
              </w:rPr>
              <w:t>84.355</w:t>
            </w:r>
          </w:p>
        </w:tc>
      </w:tr>
      <w:tr>
        <w:tc>
          <w:tcPr>
            <w:tcW w:type="dxa" w:w="1134"/>
          </w:tcPr>
          <w:p>
            <w:r>
              <w:rPr>
                <w:rFonts w:ascii="Arial" w:hAnsi="Arial"/>
                <w:sz w:val="20"/>
              </w:rPr>
              <w:t>corrected</w:t>
            </w:r>
          </w:p>
        </w:tc>
        <w:tc>
          <w:tcPr>
            <w:tcW w:type="dxa" w:w="1134"/>
          </w:tcPr>
          <w:p>
            <w:r>
              <w:rPr>
                <w:rFonts w:ascii="Arial" w:hAnsi="Arial"/>
                <w:sz w:val="20"/>
              </w:rPr>
              <w:t>POS</w:t>
            </w:r>
          </w:p>
        </w:tc>
        <w:tc>
          <w:tcPr>
            <w:tcW w:type="dxa" w:w="1134"/>
          </w:tcPr>
          <w:p>
            <w:r>
              <w:rPr>
                <w:rFonts w:ascii="Arial" w:hAnsi="Arial"/>
                <w:sz w:val="20"/>
              </w:rPr>
              <w:t>-3.677</w:t>
            </w:r>
          </w:p>
        </w:tc>
        <w:tc>
          <w:tcPr>
            <w:tcW w:type="dxa" w:w="1134"/>
          </w:tcPr>
          <w:p>
            <w:r>
              <w:rPr>
                <w:rFonts w:ascii="Arial" w:hAnsi="Arial"/>
                <w:sz w:val="20"/>
              </w:rPr>
              <w:t>-1.269</w:t>
            </w:r>
          </w:p>
        </w:tc>
        <w:tc>
          <w:tcPr>
            <w:tcW w:type="dxa" w:w="1134"/>
          </w:tcPr>
          <w:p>
            <w:r>
              <w:rPr>
                <w:rFonts w:ascii="Arial" w:hAnsi="Arial"/>
                <w:sz w:val="20"/>
              </w:rPr>
              <w:t>9999</w:t>
            </w:r>
          </w:p>
        </w:tc>
        <w:tc>
          <w:tcPr>
            <w:tcW w:type="dxa" w:w="1134"/>
          </w:tcPr>
          <w:p>
            <w:r>
              <w:rPr>
                <w:rFonts w:ascii="Arial" w:hAnsi="Arial"/>
                <w:sz w:val="20"/>
              </w:rPr>
              <w:t>0.2293</w:t>
            </w:r>
          </w:p>
        </w:tc>
        <w:tc>
          <w:tcPr>
            <w:tcW w:type="dxa" w:w="1134"/>
          </w:tcPr>
          <w:p>
            <w:r>
              <w:rPr>
                <w:rFonts w:ascii="Arial" w:hAnsi="Arial"/>
                <w:sz w:val="20"/>
              </w:rPr>
              <w:t>-15.266</w:t>
            </w:r>
          </w:p>
        </w:tc>
        <w:tc>
          <w:tcPr>
            <w:tcW w:type="dxa" w:w="1134"/>
          </w:tcPr>
          <w:p>
            <w:r>
              <w:rPr>
                <w:rFonts w:ascii="Arial" w:hAnsi="Arial"/>
                <w:sz w:val="20"/>
              </w:rPr>
              <w:t>7.913</w:t>
            </w:r>
          </w:p>
        </w:tc>
      </w:tr>
      <w:tr>
        <w:tc>
          <w:tcPr>
            <w:tcW w:type="dxa" w:w="1134"/>
          </w:tcPr>
          <w:p>
            <w:r>
              <w:rPr>
                <w:rFonts w:ascii="Arial" w:hAnsi="Arial"/>
                <w:sz w:val="20"/>
              </w:rPr>
              <w:t>corrected</w:t>
            </w:r>
          </w:p>
        </w:tc>
        <w:tc>
          <w:tcPr>
            <w:tcW w:type="dxa" w:w="1134"/>
          </w:tcPr>
          <w:p>
            <w:r>
              <w:rPr>
                <w:rFonts w:ascii="Arial" w:hAnsi="Arial"/>
                <w:sz w:val="20"/>
              </w:rPr>
              <w:t>EOS</w:t>
            </w:r>
          </w:p>
        </w:tc>
        <w:tc>
          <w:tcPr>
            <w:tcW w:type="dxa" w:w="1134"/>
          </w:tcPr>
          <w:p>
            <w:r>
              <w:rPr>
                <w:rFonts w:ascii="Arial" w:hAnsi="Arial"/>
                <w:sz w:val="20"/>
              </w:rPr>
              <w:t>-0.239</w:t>
            </w:r>
          </w:p>
        </w:tc>
        <w:tc>
          <w:tcPr>
            <w:tcW w:type="dxa" w:w="1134"/>
          </w:tcPr>
          <w:p>
            <w:r>
              <w:rPr>
                <w:rFonts w:ascii="Arial" w:hAnsi="Arial"/>
                <w:sz w:val="20"/>
              </w:rPr>
              <w:t>-1.411</w:t>
            </w:r>
          </w:p>
        </w:tc>
        <w:tc>
          <w:tcPr>
            <w:tcW w:type="dxa" w:w="1134"/>
          </w:tcPr>
          <w:p>
            <w:r>
              <w:rPr>
                <w:rFonts w:ascii="Arial" w:hAnsi="Arial"/>
                <w:sz w:val="20"/>
              </w:rPr>
              <w:t>9999</w:t>
            </w:r>
          </w:p>
        </w:tc>
        <w:tc>
          <w:tcPr>
            <w:tcW w:type="dxa" w:w="1134"/>
          </w:tcPr>
          <w:p>
            <w:r>
              <w:rPr>
                <w:rFonts w:ascii="Arial" w:hAnsi="Arial"/>
                <w:sz w:val="20"/>
              </w:rPr>
              <w:t>0.2035</w:t>
            </w:r>
          </w:p>
        </w:tc>
        <w:tc>
          <w:tcPr>
            <w:tcW w:type="dxa" w:w="1134"/>
          </w:tcPr>
          <w:p>
            <w:r>
              <w:rPr>
                <w:rFonts w:ascii="Arial" w:hAnsi="Arial"/>
                <w:sz w:val="20"/>
              </w:rPr>
              <w:t>-0.915</w:t>
            </w:r>
          </w:p>
        </w:tc>
        <w:tc>
          <w:tcPr>
            <w:tcW w:type="dxa" w:w="1134"/>
          </w:tcPr>
          <w:p>
            <w:r>
              <w:rPr>
                <w:rFonts w:ascii="Arial" w:hAnsi="Arial"/>
                <w:sz w:val="20"/>
              </w:rPr>
              <w:t>0.438</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25101" w:name="table_s5"/>
      <w:r>
        <w:rPr>
          <w:rFonts w:ascii="Arial" w:hAnsi="Arial"/>
          <w:b/>
          <w:color w:val="1F3A5F"/>
          <w:sz w:val="32"/>
        </w:rPr>
        <w:t>Table S5 — Jackknife leave-one-out</w:t>
      </w:r>
      <w:bookmarkEnd w:id="25101"/>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dxa" w:w="9072"/>
        <w:tblLook w:firstColumn="1" w:firstRow="1" w:lastColumn="0" w:lastRow="0" w:noHBand="0" w:noVBand="1" w:val="04A0"/>
        <w:tblLayout w:type="autofit"/>
      </w:tblPr>
      <w:tblGrid>
        <w:gridCol w:w="1512"/>
        <w:gridCol w:w="1512"/>
        <w:gridCol w:w="1512"/>
        <w:gridCol w:w="1512"/>
        <w:gridCol w:w="1512"/>
        <w:gridCol w:w="1512"/>
      </w:tblGrid>
      <w:tr>
        <w:tc>
          <w:tcPr>
            <w:tcW w:type="dxa" w:w="1512"/>
          </w:tcPr>
          <w:p>
            <w:r>
              <w:rPr>
                <w:rFonts w:ascii="Arial" w:hAnsi="Arial"/>
                <w:b/>
                <w:sz w:val="20"/>
              </w:rPr>
              <w:t>Pipeline</w:t>
            </w:r>
          </w:p>
        </w:tc>
        <w:tc>
          <w:tcPr>
            <w:tcW w:type="dxa" w:w="1512"/>
          </w:tcPr>
          <w:p>
            <w:r>
              <w:rPr>
                <w:rFonts w:ascii="Arial" w:hAnsi="Arial"/>
                <w:b/>
                <w:sz w:val="20"/>
              </w:rPr>
              <w:t>Metric</w:t>
            </w:r>
          </w:p>
        </w:tc>
        <w:tc>
          <w:tcPr>
            <w:tcW w:type="dxa" w:w="1512"/>
          </w:tcPr>
          <w:p>
            <w:r>
              <w:rPr>
                <w:rFonts w:ascii="Arial" w:hAnsi="Arial"/>
                <w:b/>
                <w:sz w:val="20"/>
              </w:rPr>
              <w:t>τ̂ full (d)</w:t>
            </w:r>
          </w:p>
        </w:tc>
        <w:tc>
          <w:tcPr>
            <w:tcW w:type="dxa" w:w="1512"/>
          </w:tcPr>
          <w:p>
            <w:r>
              <w:rPr>
                <w:rFonts w:ascii="Arial" w:hAnsi="Arial"/>
                <w:b/>
                <w:sz w:val="20"/>
              </w:rPr>
              <w:t>max |Δτ| (%)</w:t>
            </w:r>
          </w:p>
        </w:tc>
        <w:tc>
          <w:tcPr>
            <w:tcW w:type="dxa" w:w="1512"/>
          </w:tcPr>
          <w:p>
            <w:r>
              <w:rPr>
                <w:rFonts w:ascii="Arial" w:hAnsi="Arial"/>
                <w:b/>
                <w:sz w:val="20"/>
              </w:rPr>
              <w:t>Driver district</w:t>
            </w:r>
          </w:p>
        </w:tc>
        <w:tc>
          <w:tcPr>
            <w:tcW w:type="dxa" w:w="1512"/>
          </w:tcPr>
          <w:p>
            <w:r>
              <w:rPr>
                <w:rFonts w:ascii="Arial" w:hAnsi="Arial"/>
                <w:b/>
                <w:sz w:val="20"/>
              </w:rPr>
              <w:t>Verdict</w:t>
            </w:r>
          </w:p>
        </w:tc>
      </w:tr>
      <w:tr>
        <w:tc>
          <w:tcPr>
            <w:tcW w:type="dxa" w:w="1512"/>
          </w:tcPr>
          <w:p>
            <w:r>
              <w:rPr>
                <w:rFonts w:ascii="Arial" w:hAnsi="Arial"/>
                <w:sz w:val="20"/>
              </w:rPr>
              <w:t>raw</w:t>
            </w:r>
          </w:p>
        </w:tc>
        <w:tc>
          <w:tcPr>
            <w:tcW w:type="dxa" w:w="1512"/>
          </w:tcPr>
          <w:p>
            <w:r>
              <w:rPr>
                <w:rFonts w:ascii="Arial" w:hAnsi="Arial"/>
                <w:sz w:val="20"/>
              </w:rPr>
              <w:t>SOS</w:t>
            </w:r>
          </w:p>
        </w:tc>
        <w:tc>
          <w:tcPr>
            <w:tcW w:type="dxa" w:w="1512"/>
          </w:tcPr>
          <w:p>
            <w:r>
              <w:rPr>
                <w:rFonts w:ascii="Arial" w:hAnsi="Arial"/>
                <w:sz w:val="20"/>
              </w:rPr>
              <w:t>+15.289</w:t>
            </w:r>
          </w:p>
        </w:tc>
        <w:tc>
          <w:tcPr>
            <w:tcW w:type="dxa" w:w="1512"/>
          </w:tcPr>
          <w:p>
            <w:r>
              <w:rPr>
                <w:rFonts w:ascii="Arial" w:hAnsi="Arial"/>
                <w:sz w:val="20"/>
              </w:rPr>
              <w:t>76.1</w:t>
            </w:r>
          </w:p>
        </w:tc>
        <w:tc>
          <w:tcPr>
            <w:tcW w:type="dxa" w:w="1512"/>
          </w:tcPr>
          <w:p>
            <w:r>
              <w:rPr>
                <w:rFonts w:ascii="Arial" w:hAnsi="Arial"/>
                <w:sz w:val="20"/>
              </w:rPr>
              <w:t>Bhadrak</w:t>
            </w:r>
          </w:p>
        </w:tc>
        <w:tc>
          <w:tcPr>
            <w:tcW w:type="dxa" w:w="1512"/>
          </w:tcPr>
          <w:p>
            <w:r>
              <w:rPr>
                <w:rFonts w:ascii="Arial" w:hAnsi="Arial"/>
                <w:sz w:val="20"/>
              </w:rPr>
              <w:t>leverage</w:t>
            </w:r>
          </w:p>
        </w:tc>
      </w:tr>
      <w:tr>
        <w:tc>
          <w:tcPr>
            <w:tcW w:type="dxa" w:w="1512"/>
          </w:tcPr>
          <w:p>
            <w:r>
              <w:rPr>
                <w:rFonts w:ascii="Arial" w:hAnsi="Arial"/>
                <w:sz w:val="20"/>
              </w:rPr>
              <w:t>raw</w:t>
            </w:r>
          </w:p>
        </w:tc>
        <w:tc>
          <w:tcPr>
            <w:tcW w:type="dxa" w:w="1512"/>
          </w:tcPr>
          <w:p>
            <w:r>
              <w:rPr>
                <w:rFonts w:ascii="Arial" w:hAnsi="Arial"/>
                <w:sz w:val="20"/>
              </w:rPr>
              <w:t>POS</w:t>
            </w:r>
          </w:p>
        </w:tc>
        <w:tc>
          <w:tcPr>
            <w:tcW w:type="dxa" w:w="1512"/>
          </w:tcPr>
          <w:p>
            <w:r>
              <w:rPr>
                <w:rFonts w:ascii="Arial" w:hAnsi="Arial"/>
                <w:sz w:val="20"/>
              </w:rPr>
              <w:t>-3.587</w:t>
            </w:r>
          </w:p>
        </w:tc>
        <w:tc>
          <w:tcPr>
            <w:tcW w:type="dxa" w:w="1512"/>
          </w:tcPr>
          <w:p>
            <w:r>
              <w:rPr>
                <w:rFonts w:ascii="Arial" w:hAnsi="Arial"/>
                <w:sz w:val="20"/>
              </w:rPr>
              <w:t>55.8</w:t>
            </w:r>
          </w:p>
        </w:tc>
        <w:tc>
          <w:tcPr>
            <w:tcW w:type="dxa" w:w="1512"/>
          </w:tcPr>
          <w:p>
            <w:r>
              <w:rPr>
                <w:rFonts w:ascii="Arial" w:hAnsi="Arial"/>
                <w:sz w:val="20"/>
              </w:rPr>
              <w:t>Cuttack</w:t>
            </w:r>
          </w:p>
        </w:tc>
        <w:tc>
          <w:tcPr>
            <w:tcW w:type="dxa" w:w="1512"/>
          </w:tcPr>
          <w:p>
            <w:r>
              <w:rPr>
                <w:rFonts w:ascii="Arial" w:hAnsi="Arial"/>
                <w:sz w:val="20"/>
              </w:rPr>
              <w:t>leverage</w:t>
            </w:r>
          </w:p>
        </w:tc>
      </w:tr>
      <w:tr>
        <w:tc>
          <w:tcPr>
            <w:tcW w:type="dxa" w:w="1512"/>
          </w:tcPr>
          <w:p>
            <w:r>
              <w:rPr>
                <w:rFonts w:ascii="Arial" w:hAnsi="Arial"/>
                <w:sz w:val="20"/>
              </w:rPr>
              <w:t>raw</w:t>
            </w:r>
          </w:p>
        </w:tc>
        <w:tc>
          <w:tcPr>
            <w:tcW w:type="dxa" w:w="1512"/>
          </w:tcPr>
          <w:p>
            <w:r>
              <w:rPr>
                <w:rFonts w:ascii="Arial" w:hAnsi="Arial"/>
                <w:sz w:val="20"/>
              </w:rPr>
              <w:t>EOS</w:t>
            </w:r>
          </w:p>
        </w:tc>
        <w:tc>
          <w:tcPr>
            <w:tcW w:type="dxa" w:w="1512"/>
          </w:tcPr>
          <w:p>
            <w:r>
              <w:rPr>
                <w:rFonts w:ascii="Arial" w:hAnsi="Arial"/>
                <w:sz w:val="20"/>
              </w:rPr>
              <w:t>-0.000</w:t>
            </w:r>
          </w:p>
        </w:tc>
        <w:tc>
          <w:tcPr>
            <w:tcW w:type="dxa" w:w="1512"/>
          </w:tcPr>
          <w:p>
            <w:r>
              <w:rPr>
                <w:rFonts w:ascii="Arial" w:hAnsi="Arial"/>
                <w:sz w:val="20"/>
              </w:rPr>
              <w:t>nan</w:t>
            </w:r>
          </w:p>
        </w:tc>
        <w:tc>
          <w:tcPr>
            <w:tcW w:type="dxa" w:w="1512"/>
          </w:tcPr>
          <w:p>
            <w:r>
              <w:rPr>
                <w:rFonts w:ascii="Arial" w:hAnsi="Arial"/>
                <w:sz w:val="20"/>
              </w:rPr>
              <w:t>Angul</w:t>
            </w:r>
          </w:p>
        </w:tc>
        <w:tc>
          <w:tcPr>
            <w:tcW w:type="dxa" w:w="1512"/>
          </w:tcPr>
          <w:p>
            <w:r>
              <w:rPr>
                <w:rFonts w:ascii="Arial" w:hAnsi="Arial"/>
                <w:sz w:val="20"/>
              </w:rPr>
              <w:t>fragile</w:t>
            </w:r>
          </w:p>
        </w:tc>
      </w:tr>
      <w:tr>
        <w:tc>
          <w:tcPr>
            <w:tcW w:type="dxa" w:w="1512"/>
          </w:tcPr>
          <w:p>
            <w:r>
              <w:rPr>
                <w:rFonts w:ascii="Arial" w:hAnsi="Arial"/>
                <w:sz w:val="20"/>
              </w:rPr>
              <w:t>corrected</w:t>
            </w:r>
          </w:p>
        </w:tc>
        <w:tc>
          <w:tcPr>
            <w:tcW w:type="dxa" w:w="1512"/>
          </w:tcPr>
          <w:p>
            <w:r>
              <w:rPr>
                <w:rFonts w:ascii="Arial" w:hAnsi="Arial"/>
                <w:sz w:val="20"/>
              </w:rPr>
              <w:t>SOS</w:t>
            </w:r>
          </w:p>
        </w:tc>
        <w:tc>
          <w:tcPr>
            <w:tcW w:type="dxa" w:w="1512"/>
          </w:tcPr>
          <w:p>
            <w:r>
              <w:rPr>
                <w:rFonts w:ascii="Arial" w:hAnsi="Arial"/>
                <w:sz w:val="20"/>
              </w:rPr>
              <w:t>+15.108</w:t>
            </w:r>
          </w:p>
        </w:tc>
        <w:tc>
          <w:tcPr>
            <w:tcW w:type="dxa" w:w="1512"/>
          </w:tcPr>
          <w:p>
            <w:r>
              <w:rPr>
                <w:rFonts w:ascii="Arial" w:hAnsi="Arial"/>
                <w:sz w:val="20"/>
              </w:rPr>
              <w:t>76.7</w:t>
            </w:r>
          </w:p>
        </w:tc>
        <w:tc>
          <w:tcPr>
            <w:tcW w:type="dxa" w:w="1512"/>
          </w:tcPr>
          <w:p>
            <w:r>
              <w:rPr>
                <w:rFonts w:ascii="Arial" w:hAnsi="Arial"/>
                <w:sz w:val="20"/>
              </w:rPr>
              <w:t>Bhadrak</w:t>
            </w:r>
          </w:p>
        </w:tc>
        <w:tc>
          <w:tcPr>
            <w:tcW w:type="dxa" w:w="1512"/>
          </w:tcPr>
          <w:p>
            <w:r>
              <w:rPr>
                <w:rFonts w:ascii="Arial" w:hAnsi="Arial"/>
                <w:sz w:val="20"/>
              </w:rPr>
              <w:t>leverage</w:t>
            </w:r>
          </w:p>
        </w:tc>
      </w:tr>
      <w:tr>
        <w:tc>
          <w:tcPr>
            <w:tcW w:type="dxa" w:w="1512"/>
          </w:tcPr>
          <w:p>
            <w:r>
              <w:rPr>
                <w:rFonts w:ascii="Arial" w:hAnsi="Arial"/>
                <w:sz w:val="20"/>
              </w:rPr>
              <w:t>corrected</w:t>
            </w:r>
          </w:p>
        </w:tc>
        <w:tc>
          <w:tcPr>
            <w:tcW w:type="dxa" w:w="1512"/>
          </w:tcPr>
          <w:p>
            <w:r>
              <w:rPr>
                <w:rFonts w:ascii="Arial" w:hAnsi="Arial"/>
                <w:sz w:val="20"/>
              </w:rPr>
              <w:t>POS</w:t>
            </w:r>
          </w:p>
        </w:tc>
        <w:tc>
          <w:tcPr>
            <w:tcW w:type="dxa" w:w="1512"/>
          </w:tcPr>
          <w:p>
            <w:r>
              <w:rPr>
                <w:rFonts w:ascii="Arial" w:hAnsi="Arial"/>
                <w:sz w:val="20"/>
              </w:rPr>
              <w:t>-3.677</w:t>
            </w:r>
          </w:p>
        </w:tc>
        <w:tc>
          <w:tcPr>
            <w:tcW w:type="dxa" w:w="1512"/>
          </w:tcPr>
          <w:p>
            <w:r>
              <w:rPr>
                <w:rFonts w:ascii="Arial" w:hAnsi="Arial"/>
                <w:sz w:val="20"/>
              </w:rPr>
              <w:t>54.7</w:t>
            </w:r>
          </w:p>
        </w:tc>
        <w:tc>
          <w:tcPr>
            <w:tcW w:type="dxa" w:w="1512"/>
          </w:tcPr>
          <w:p>
            <w:r>
              <w:rPr>
                <w:rFonts w:ascii="Arial" w:hAnsi="Arial"/>
                <w:sz w:val="20"/>
              </w:rPr>
              <w:t>Cuttack</w:t>
            </w:r>
          </w:p>
        </w:tc>
        <w:tc>
          <w:tcPr>
            <w:tcW w:type="dxa" w:w="1512"/>
          </w:tcPr>
          <w:p>
            <w:r>
              <w:rPr>
                <w:rFonts w:ascii="Arial" w:hAnsi="Arial"/>
                <w:sz w:val="20"/>
              </w:rPr>
              <w:t>leverage</w:t>
            </w:r>
          </w:p>
        </w:tc>
      </w:tr>
      <w:tr>
        <w:tc>
          <w:tcPr>
            <w:tcW w:type="dxa" w:w="1512"/>
          </w:tcPr>
          <w:p>
            <w:r>
              <w:rPr>
                <w:rFonts w:ascii="Arial" w:hAnsi="Arial"/>
                <w:sz w:val="20"/>
              </w:rPr>
              <w:t>corrected</w:t>
            </w:r>
          </w:p>
        </w:tc>
        <w:tc>
          <w:tcPr>
            <w:tcW w:type="dxa" w:w="1512"/>
          </w:tcPr>
          <w:p>
            <w:r>
              <w:rPr>
                <w:rFonts w:ascii="Arial" w:hAnsi="Arial"/>
                <w:sz w:val="20"/>
              </w:rPr>
              <w:t>EOS</w:t>
            </w:r>
          </w:p>
        </w:tc>
        <w:tc>
          <w:tcPr>
            <w:tcW w:type="dxa" w:w="1512"/>
          </w:tcPr>
          <w:p>
            <w:r>
              <w:rPr>
                <w:rFonts w:ascii="Arial" w:hAnsi="Arial"/>
                <w:sz w:val="20"/>
              </w:rPr>
              <w:t>-0.239</w:t>
            </w:r>
          </w:p>
        </w:tc>
        <w:tc>
          <w:tcPr>
            <w:tcW w:type="dxa" w:w="1512"/>
          </w:tcPr>
          <w:p>
            <w:r>
              <w:rPr>
                <w:rFonts w:ascii="Arial" w:hAnsi="Arial"/>
                <w:sz w:val="20"/>
              </w:rPr>
              <w:t>60.2</w:t>
            </w:r>
          </w:p>
        </w:tc>
        <w:tc>
          <w:tcPr>
            <w:tcW w:type="dxa" w:w="1512"/>
          </w:tcPr>
          <w:p>
            <w:r>
              <w:rPr>
                <w:rFonts w:ascii="Arial" w:hAnsi="Arial"/>
                <w:sz w:val="20"/>
              </w:rPr>
              <w:t>Bhadrak</w:t>
            </w:r>
          </w:p>
        </w:tc>
        <w:tc>
          <w:tcPr>
            <w:tcW w:type="dxa" w:w="1512"/>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LightGrid-Accent1"/>
        <w:tblW w:type="dxa" w:w="9072"/>
        <w:tblLook w:firstColumn="1" w:firstRow="1" w:lastColumn="0" w:lastRow="0" w:noHBand="0" w:noVBand="1" w:val="04A0"/>
        <w:tblLayout w:type="fixed"/>
      </w:tblPr>
      <w:tblGrid>
        <w:gridCol w:w="1224"/>
        <w:gridCol w:w="792"/>
        <w:gridCol w:w="1368"/>
        <w:gridCol w:w="1007"/>
        <w:gridCol w:w="792"/>
        <w:gridCol w:w="720"/>
        <w:gridCol w:w="648"/>
        <w:gridCol w:w="864"/>
        <w:gridCol w:w="864"/>
        <w:gridCol w:w="792"/>
      </w:tblGrid>
      <w:tr>
        <w:trPr>
          <w:tblHeader/>
        </w:trPr>
        <w:tc>
          <w:tcPr>
            <w:tcW w:type="dxa" w:w="1224"/>
          </w:tcPr>
          <w:p>
            <w:r>
              <w:rPr>
                <w:rFonts w:ascii="Arial" w:hAnsi="Arial"/>
                <w:b/>
                <w:sz w:val="18"/>
              </w:rPr>
              <w:t>Pipeline</w:t>
            </w:r>
          </w:p>
        </w:tc>
        <w:tc>
          <w:tcPr>
            <w:tcW w:type="dxa" w:w="792"/>
          </w:tcPr>
          <w:p>
            <w:r>
              <w:rPr>
                <w:rFonts w:ascii="Arial" w:hAnsi="Arial"/>
                <w:b/>
                <w:sz w:val="18"/>
              </w:rPr>
              <w:t>Metric</w:t>
            </w:r>
          </w:p>
        </w:tc>
        <w:tc>
          <w:tcPr>
            <w:tcW w:type="dxa" w:w="1368"/>
          </w:tcPr>
          <w:p>
            <w:r>
              <w:rPr>
                <w:rFonts w:ascii="Arial" w:hAnsi="Arial"/>
                <w:b/>
                <w:sz w:val="18"/>
              </w:rPr>
              <w:t>Dropped</w:t>
            </w:r>
          </w:p>
        </w:tc>
        <w:tc>
          <w:tcPr>
            <w:tcW w:type="dxa" w:w="1007"/>
          </w:tcPr>
          <w:p>
            <w:r>
              <w:rPr>
                <w:rFonts w:ascii="Arial" w:hAnsi="Arial"/>
                <w:b/>
                <w:sz w:val="18"/>
              </w:rPr>
              <w:t>Exposure</w:t>
            </w:r>
          </w:p>
        </w:tc>
        <w:tc>
          <w:tcPr>
            <w:tcW w:type="dxa" w:w="792"/>
          </w:tcPr>
          <w:p>
            <w:r>
              <w:rPr>
                <w:rFonts w:ascii="Arial" w:hAnsi="Arial"/>
                <w:b/>
                <w:sz w:val="18"/>
              </w:rPr>
              <w:t>τ̂ LOO</w:t>
            </w:r>
          </w:p>
        </w:tc>
        <w:tc>
          <w:tcPr>
            <w:tcW w:type="dxa" w:w="720"/>
          </w:tcPr>
          <w:p>
            <w:r>
              <w:rPr>
                <w:rFonts w:ascii="Arial" w:hAnsi="Arial"/>
                <w:b/>
                <w:sz w:val="18"/>
              </w:rPr>
              <w:t>SE</w:t>
            </w:r>
          </w:p>
        </w:tc>
        <w:tc>
          <w:tcPr>
            <w:tcW w:type="dxa" w:w="648"/>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792"/>
          </w:tcPr>
          <w:p>
            <w:r>
              <w:rPr>
                <w:rFonts w:ascii="Arial" w:hAnsi="Arial"/>
                <w:b/>
                <w:sz w:val="18"/>
              </w:rPr>
              <w:t>Δ (%)</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+21.733</w:t>
            </w:r>
          </w:p>
        </w:tc>
        <w:tc>
          <w:tcPr>
            <w:tcW w:type="dxa" w:w="720"/>
          </w:tcPr>
          <w:p>
            <w:r>
              <w:rPr>
                <w:rFonts w:ascii="Arial" w:hAnsi="Arial"/>
                <w:sz w:val="18"/>
              </w:rPr>
              <w:t>16.548</w:t>
            </w:r>
          </w:p>
        </w:tc>
        <w:tc>
          <w:tcPr>
            <w:tcW w:type="dxa" w:w="648"/>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792"/>
          </w:tcPr>
          <w:p>
            <w:r>
              <w:rPr>
                <w:rFonts w:ascii="Arial" w:hAnsi="Arial"/>
                <w:sz w:val="18"/>
              </w:rPr>
              <w:t>42.200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+10.256</w:t>
            </w:r>
          </w:p>
        </w:tc>
        <w:tc>
          <w:tcPr>
            <w:tcW w:type="dxa" w:w="720"/>
          </w:tcPr>
          <w:p>
            <w:r>
              <w:rPr>
                <w:rFonts w:ascii="Arial" w:hAnsi="Arial"/>
                <w:sz w:val="18"/>
              </w:rPr>
              <w:t>20.342</w:t>
            </w:r>
          </w:p>
        </w:tc>
        <w:tc>
          <w:tcPr>
            <w:tcW w:type="dxa" w:w="648"/>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792"/>
          </w:tcPr>
          <w:p>
            <w:r>
              <w:rPr>
                <w:rFonts w:ascii="Arial" w:hAnsi="Arial"/>
                <w:sz w:val="18"/>
              </w:rPr>
              <w:t>-32.900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+3.656</w:t>
            </w:r>
          </w:p>
        </w:tc>
        <w:tc>
          <w:tcPr>
            <w:tcW w:type="dxa" w:w="720"/>
          </w:tcPr>
          <w:p>
            <w:r>
              <w:rPr>
                <w:rFonts w:ascii="Arial" w:hAnsi="Arial"/>
                <w:sz w:val="18"/>
              </w:rPr>
              <w:t>14.092</w:t>
            </w:r>
          </w:p>
        </w:tc>
        <w:tc>
          <w:tcPr>
            <w:tcW w:type="dxa" w:w="648"/>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792"/>
          </w:tcPr>
          <w:p>
            <w:r>
              <w:rPr>
                <w:rFonts w:ascii="Arial" w:hAnsi="Arial"/>
                <w:sz w:val="18"/>
              </w:rPr>
              <w:t>-76.100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+10.567</w:t>
            </w:r>
          </w:p>
        </w:tc>
        <w:tc>
          <w:tcPr>
            <w:tcW w:type="dxa" w:w="720"/>
          </w:tcPr>
          <w:p>
            <w:r>
              <w:rPr>
                <w:rFonts w:ascii="Arial" w:hAnsi="Arial"/>
                <w:sz w:val="18"/>
              </w:rPr>
              <w:t>17.860</w:t>
            </w:r>
          </w:p>
        </w:tc>
        <w:tc>
          <w:tcPr>
            <w:tcW w:type="dxa" w:w="648"/>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792"/>
          </w:tcPr>
          <w:p>
            <w:r>
              <w:rPr>
                <w:rFonts w:ascii="Arial" w:hAnsi="Arial"/>
                <w:sz w:val="18"/>
              </w:rPr>
              <w:t>-30.900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+13.567</w:t>
            </w:r>
          </w:p>
        </w:tc>
        <w:tc>
          <w:tcPr>
            <w:tcW w:type="dxa" w:w="720"/>
          </w:tcPr>
          <w:p>
            <w:r>
              <w:rPr>
                <w:rFonts w:ascii="Arial" w:hAnsi="Arial"/>
                <w:sz w:val="18"/>
              </w:rPr>
              <w:t>19.089</w:t>
            </w:r>
          </w:p>
        </w:tc>
        <w:tc>
          <w:tcPr>
            <w:tcW w:type="dxa" w:w="648"/>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792"/>
          </w:tcPr>
          <w:p>
            <w:r>
              <w:rPr>
                <w:rFonts w:ascii="Arial" w:hAnsi="Arial"/>
                <w:sz w:val="18"/>
              </w:rPr>
              <w:t>-11.300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+17.906</w:t>
            </w:r>
          </w:p>
        </w:tc>
        <w:tc>
          <w:tcPr>
            <w:tcW w:type="dxa" w:w="720"/>
          </w:tcPr>
          <w:p>
            <w:r>
              <w:rPr>
                <w:rFonts w:ascii="Arial" w:hAnsi="Arial"/>
                <w:sz w:val="18"/>
              </w:rPr>
              <w:t>21.212</w:t>
            </w:r>
          </w:p>
        </w:tc>
        <w:tc>
          <w:tcPr>
            <w:tcW w:type="dxa" w:w="648"/>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792"/>
          </w:tcPr>
          <w:p>
            <w:r>
              <w:rPr>
                <w:rFonts w:ascii="Arial" w:hAnsi="Arial"/>
                <w:sz w:val="18"/>
              </w:rPr>
              <w:t>17.100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+22.039</w:t>
            </w:r>
          </w:p>
        </w:tc>
        <w:tc>
          <w:tcPr>
            <w:tcW w:type="dxa" w:w="720"/>
          </w:tcPr>
          <w:p>
            <w:r>
              <w:rPr>
                <w:rFonts w:ascii="Arial" w:hAnsi="Arial"/>
                <w:sz w:val="18"/>
              </w:rPr>
              <w:t>19.344</w:t>
            </w:r>
          </w:p>
        </w:tc>
        <w:tc>
          <w:tcPr>
            <w:tcW w:type="dxa" w:w="648"/>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792"/>
          </w:tcPr>
          <w:p>
            <w:r>
              <w:rPr>
                <w:rFonts w:ascii="Arial" w:hAnsi="Arial"/>
                <w:sz w:val="18"/>
              </w:rPr>
              <w:t>44.100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+22.589</w:t>
            </w:r>
          </w:p>
        </w:tc>
        <w:tc>
          <w:tcPr>
            <w:tcW w:type="dxa" w:w="720"/>
          </w:tcPr>
          <w:p>
            <w:r>
              <w:rPr>
                <w:rFonts w:ascii="Arial" w:hAnsi="Arial"/>
                <w:sz w:val="18"/>
              </w:rPr>
              <w:t>18.950</w:t>
            </w:r>
          </w:p>
        </w:tc>
        <w:tc>
          <w:tcPr>
            <w:tcW w:type="dxa" w:w="648"/>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792"/>
          </w:tcPr>
          <w:p>
            <w:r>
              <w:rPr>
                <w:rFonts w:ascii="Arial" w:hAnsi="Arial"/>
                <w:sz w:val="18"/>
              </w:rPr>
              <w:t>47.700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-2.587</w:t>
            </w:r>
          </w:p>
        </w:tc>
        <w:tc>
          <w:tcPr>
            <w:tcW w:type="dxa" w:w="720"/>
          </w:tcPr>
          <w:p>
            <w:r>
              <w:rPr>
                <w:rFonts w:ascii="Arial" w:hAnsi="Arial"/>
                <w:sz w:val="18"/>
              </w:rPr>
              <w:t>3.396</w:t>
            </w:r>
          </w:p>
        </w:tc>
        <w:tc>
          <w:tcPr>
            <w:tcW w:type="dxa" w:w="648"/>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792"/>
          </w:tcPr>
          <w:p>
            <w:r>
              <w:rPr>
                <w:rFonts w:ascii="Arial" w:hAnsi="Arial"/>
                <w:sz w:val="18"/>
              </w:rPr>
              <w:t>27.900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-3.483</w:t>
            </w:r>
          </w:p>
        </w:tc>
        <w:tc>
          <w:tcPr>
            <w:tcW w:type="dxa" w:w="720"/>
          </w:tcPr>
          <w:p>
            <w:r>
              <w:rPr>
                <w:rFonts w:ascii="Arial" w:hAnsi="Arial"/>
                <w:sz w:val="18"/>
              </w:rPr>
              <w:t>3.342</w:t>
            </w:r>
          </w:p>
        </w:tc>
        <w:tc>
          <w:tcPr>
            <w:tcW w:type="dxa" w:w="648"/>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792"/>
          </w:tcPr>
          <w:p>
            <w:r>
              <w:rPr>
                <w:rFonts w:ascii="Arial" w:hAnsi="Arial"/>
                <w:sz w:val="18"/>
              </w:rPr>
              <w:t>2.900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-1.933</w:t>
            </w:r>
          </w:p>
        </w:tc>
        <w:tc>
          <w:tcPr>
            <w:tcW w:type="dxa" w:w="720"/>
          </w:tcPr>
          <w:p>
            <w:r>
              <w:rPr>
                <w:rFonts w:ascii="Arial" w:hAnsi="Arial"/>
                <w:sz w:val="18"/>
              </w:rPr>
              <w:t>2.418</w:t>
            </w:r>
          </w:p>
        </w:tc>
        <w:tc>
          <w:tcPr>
            <w:tcW w:type="dxa" w:w="648"/>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792"/>
          </w:tcPr>
          <w:p>
            <w:r>
              <w:rPr>
                <w:rFonts w:ascii="Arial" w:hAnsi="Arial"/>
                <w:sz w:val="18"/>
              </w:rPr>
              <w:t>46.100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-5.587</w:t>
            </w:r>
          </w:p>
        </w:tc>
        <w:tc>
          <w:tcPr>
            <w:tcW w:type="dxa" w:w="720"/>
          </w:tcPr>
          <w:p>
            <w:r>
              <w:rPr>
                <w:rFonts w:ascii="Arial" w:hAnsi="Arial"/>
                <w:sz w:val="18"/>
              </w:rPr>
              <w:t>2.119</w:t>
            </w:r>
          </w:p>
        </w:tc>
        <w:tc>
          <w:tcPr>
            <w:tcW w:type="dxa" w:w="648"/>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792"/>
          </w:tcPr>
          <w:p>
            <w:r>
              <w:rPr>
                <w:rFonts w:ascii="Arial" w:hAnsi="Arial"/>
                <w:sz w:val="18"/>
              </w:rPr>
              <w:t>-55.800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-2.587</w:t>
            </w:r>
          </w:p>
        </w:tc>
        <w:tc>
          <w:tcPr>
            <w:tcW w:type="dxa" w:w="720"/>
          </w:tcPr>
          <w:p>
            <w:r>
              <w:rPr>
                <w:rFonts w:ascii="Arial" w:hAnsi="Arial"/>
                <w:sz w:val="18"/>
              </w:rPr>
              <w:t>3.396</w:t>
            </w:r>
          </w:p>
        </w:tc>
        <w:tc>
          <w:tcPr>
            <w:tcW w:type="dxa" w:w="648"/>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792"/>
          </w:tcPr>
          <w:p>
            <w:r>
              <w:rPr>
                <w:rFonts w:ascii="Arial" w:hAnsi="Arial"/>
                <w:sz w:val="18"/>
              </w:rPr>
              <w:t>27.900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-4.517</w:t>
            </w:r>
          </w:p>
        </w:tc>
        <w:tc>
          <w:tcPr>
            <w:tcW w:type="dxa" w:w="720"/>
          </w:tcPr>
          <w:p>
            <w:r>
              <w:rPr>
                <w:rFonts w:ascii="Arial" w:hAnsi="Arial"/>
                <w:sz w:val="18"/>
              </w:rPr>
              <w:t>3.082</w:t>
            </w:r>
          </w:p>
        </w:tc>
        <w:tc>
          <w:tcPr>
            <w:tcW w:type="dxa" w:w="648"/>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792"/>
          </w:tcPr>
          <w:p>
            <w:r>
              <w:rPr>
                <w:rFonts w:ascii="Arial" w:hAnsi="Arial"/>
                <w:sz w:val="18"/>
              </w:rPr>
              <w:t>-25.900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-4.517</w:t>
            </w:r>
          </w:p>
        </w:tc>
        <w:tc>
          <w:tcPr>
            <w:tcW w:type="dxa" w:w="720"/>
          </w:tcPr>
          <w:p>
            <w:r>
              <w:rPr>
                <w:rFonts w:ascii="Arial" w:hAnsi="Arial"/>
                <w:sz w:val="18"/>
              </w:rPr>
              <w:t>3.082</w:t>
            </w:r>
          </w:p>
        </w:tc>
        <w:tc>
          <w:tcPr>
            <w:tcW w:type="dxa" w:w="648"/>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792"/>
          </w:tcPr>
          <w:p>
            <w:r>
              <w:rPr>
                <w:rFonts w:ascii="Arial" w:hAnsi="Arial"/>
                <w:sz w:val="18"/>
              </w:rPr>
              <w:t>-25.900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-3.483</w:t>
            </w:r>
          </w:p>
        </w:tc>
        <w:tc>
          <w:tcPr>
            <w:tcW w:type="dxa" w:w="720"/>
          </w:tcPr>
          <w:p>
            <w:r>
              <w:rPr>
                <w:rFonts w:ascii="Arial" w:hAnsi="Arial"/>
                <w:sz w:val="18"/>
              </w:rPr>
              <w:t>3.342</w:t>
            </w:r>
          </w:p>
        </w:tc>
        <w:tc>
          <w:tcPr>
            <w:tcW w:type="dxa" w:w="648"/>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792"/>
          </w:tcPr>
          <w:p>
            <w:r>
              <w:rPr>
                <w:rFonts w:ascii="Arial" w:hAnsi="Arial"/>
                <w:sz w:val="18"/>
              </w:rPr>
              <w:t>2.900</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+21.563</w:t>
            </w:r>
          </w:p>
        </w:tc>
        <w:tc>
          <w:tcPr>
            <w:tcW w:type="dxa" w:w="720"/>
          </w:tcPr>
          <w:p>
            <w:r>
              <w:rPr>
                <w:rFonts w:ascii="Arial" w:hAnsi="Arial"/>
                <w:sz w:val="18"/>
              </w:rPr>
              <w:t>16.529</w:t>
            </w:r>
          </w:p>
        </w:tc>
        <w:tc>
          <w:tcPr>
            <w:tcW w:type="dxa" w:w="648"/>
          </w:tcPr>
          <w:p>
            <w:r>
              <w:rPr>
                <w:rFonts w:ascii="Arial" w:hAnsi="Arial"/>
                <w:sz w:val="18"/>
              </w:rPr>
              <w:t>0.192</w:t>
            </w:r>
          </w:p>
        </w:tc>
        <w:tc>
          <w:tcPr>
            <w:tcW w:type="dxa" w:w="864"/>
          </w:tcPr>
          <w:p>
            <w:r>
              <w:rPr>
                <w:rFonts w:ascii="Arial" w:hAnsi="Arial"/>
                <w:sz w:val="18"/>
              </w:rPr>
              <w:t>-10.834</w:t>
            </w:r>
          </w:p>
        </w:tc>
        <w:tc>
          <w:tcPr>
            <w:tcW w:type="dxa" w:w="864"/>
          </w:tcPr>
          <w:p>
            <w:r>
              <w:rPr>
                <w:rFonts w:ascii="Arial" w:hAnsi="Arial"/>
                <w:sz w:val="18"/>
              </w:rPr>
              <w:t>53.959</w:t>
            </w:r>
          </w:p>
        </w:tc>
        <w:tc>
          <w:tcPr>
            <w:tcW w:type="dxa" w:w="792"/>
          </w:tcPr>
          <w:p>
            <w:r>
              <w:rPr>
                <w:rFonts w:ascii="Arial" w:hAnsi="Arial"/>
                <w:sz w:val="18"/>
              </w:rPr>
              <w:t>42.700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+10.035</w:t>
            </w:r>
          </w:p>
        </w:tc>
        <w:tc>
          <w:tcPr>
            <w:tcW w:type="dxa" w:w="720"/>
          </w:tcPr>
          <w:p>
            <w:r>
              <w:rPr>
                <w:rFonts w:ascii="Arial" w:hAnsi="Arial"/>
                <w:sz w:val="18"/>
              </w:rPr>
              <w:t>20.297</w:t>
            </w:r>
          </w:p>
        </w:tc>
        <w:tc>
          <w:tcPr>
            <w:tcW w:type="dxa" w:w="648"/>
          </w:tcPr>
          <w:p>
            <w:r>
              <w:rPr>
                <w:rFonts w:ascii="Arial" w:hAnsi="Arial"/>
                <w:sz w:val="18"/>
              </w:rPr>
              <w:t>0.621</w:t>
            </w:r>
          </w:p>
        </w:tc>
        <w:tc>
          <w:tcPr>
            <w:tcW w:type="dxa" w:w="864"/>
          </w:tcPr>
          <w:p>
            <w:r>
              <w:rPr>
                <w:rFonts w:ascii="Arial" w:hAnsi="Arial"/>
                <w:sz w:val="18"/>
              </w:rPr>
              <w:t>-29.747</w:t>
            </w:r>
          </w:p>
        </w:tc>
        <w:tc>
          <w:tcPr>
            <w:tcW w:type="dxa" w:w="864"/>
          </w:tcPr>
          <w:p>
            <w:r>
              <w:rPr>
                <w:rFonts w:ascii="Arial" w:hAnsi="Arial"/>
                <w:sz w:val="18"/>
              </w:rPr>
              <w:t>49.816</w:t>
            </w:r>
          </w:p>
        </w:tc>
        <w:tc>
          <w:tcPr>
            <w:tcW w:type="dxa" w:w="792"/>
          </w:tcPr>
          <w:p>
            <w:r>
              <w:rPr>
                <w:rFonts w:ascii="Arial" w:hAnsi="Arial"/>
                <w:sz w:val="18"/>
              </w:rPr>
              <w:t>-33.600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+3.518</w:t>
            </w:r>
          </w:p>
        </w:tc>
        <w:tc>
          <w:tcPr>
            <w:tcW w:type="dxa" w:w="720"/>
          </w:tcPr>
          <w:p>
            <w:r>
              <w:rPr>
                <w:rFonts w:ascii="Arial" w:hAnsi="Arial"/>
                <w:sz w:val="18"/>
              </w:rPr>
              <w:t>14.126</w:t>
            </w:r>
          </w:p>
        </w:tc>
        <w:tc>
          <w:tcPr>
            <w:tcW w:type="dxa" w:w="648"/>
          </w:tcPr>
          <w:p>
            <w:r>
              <w:rPr>
                <w:rFonts w:ascii="Arial" w:hAnsi="Arial"/>
                <w:sz w:val="18"/>
              </w:rPr>
              <w:t>0.803</w:t>
            </w:r>
          </w:p>
        </w:tc>
        <w:tc>
          <w:tcPr>
            <w:tcW w:type="dxa" w:w="864"/>
          </w:tcPr>
          <w:p>
            <w:r>
              <w:rPr>
                <w:rFonts w:ascii="Arial" w:hAnsi="Arial"/>
                <w:sz w:val="18"/>
              </w:rPr>
              <w:t>-24.168</w:t>
            </w:r>
          </w:p>
        </w:tc>
        <w:tc>
          <w:tcPr>
            <w:tcW w:type="dxa" w:w="864"/>
          </w:tcPr>
          <w:p>
            <w:r>
              <w:rPr>
                <w:rFonts w:ascii="Arial" w:hAnsi="Arial"/>
                <w:sz w:val="18"/>
              </w:rPr>
              <w:t>31.204</w:t>
            </w:r>
          </w:p>
        </w:tc>
        <w:tc>
          <w:tcPr>
            <w:tcW w:type="dxa" w:w="792"/>
          </w:tcPr>
          <w:p>
            <w:r>
              <w:rPr>
                <w:rFonts w:ascii="Arial" w:hAnsi="Arial"/>
                <w:sz w:val="18"/>
              </w:rPr>
              <w:t>-76.700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+10.366</w:t>
            </w:r>
          </w:p>
        </w:tc>
        <w:tc>
          <w:tcPr>
            <w:tcW w:type="dxa" w:w="720"/>
          </w:tcPr>
          <w:p>
            <w:r>
              <w:rPr>
                <w:rFonts w:ascii="Arial" w:hAnsi="Arial"/>
                <w:sz w:val="18"/>
              </w:rPr>
              <w:t>17.839</w:t>
            </w:r>
          </w:p>
        </w:tc>
        <w:tc>
          <w:tcPr>
            <w:tcW w:type="dxa" w:w="648"/>
          </w:tcPr>
          <w:p>
            <w:r>
              <w:rPr>
                <w:rFonts w:ascii="Arial" w:hAnsi="Arial"/>
                <w:sz w:val="18"/>
              </w:rPr>
              <w:t>0.561</w:t>
            </w:r>
          </w:p>
        </w:tc>
        <w:tc>
          <w:tcPr>
            <w:tcW w:type="dxa" w:w="864"/>
          </w:tcPr>
          <w:p>
            <w:r>
              <w:rPr>
                <w:rFonts w:ascii="Arial" w:hAnsi="Arial"/>
                <w:sz w:val="18"/>
              </w:rPr>
              <w:t>-24.597</w:t>
            </w:r>
          </w:p>
        </w:tc>
        <w:tc>
          <w:tcPr>
            <w:tcW w:type="dxa" w:w="864"/>
          </w:tcPr>
          <w:p>
            <w:r>
              <w:rPr>
                <w:rFonts w:ascii="Arial" w:hAnsi="Arial"/>
                <w:sz w:val="18"/>
              </w:rPr>
              <w:t>45.329</w:t>
            </w:r>
          </w:p>
        </w:tc>
        <w:tc>
          <w:tcPr>
            <w:tcW w:type="dxa" w:w="792"/>
          </w:tcPr>
          <w:p>
            <w:r>
              <w:rPr>
                <w:rFonts w:ascii="Arial" w:hAnsi="Arial"/>
                <w:sz w:val="18"/>
              </w:rPr>
              <w:t>-31.400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+13.396</w:t>
            </w:r>
          </w:p>
        </w:tc>
        <w:tc>
          <w:tcPr>
            <w:tcW w:type="dxa" w:w="720"/>
          </w:tcPr>
          <w:p>
            <w:r>
              <w:rPr>
                <w:rFonts w:ascii="Arial" w:hAnsi="Arial"/>
                <w:sz w:val="18"/>
              </w:rPr>
              <w:t>19.082</w:t>
            </w:r>
          </w:p>
        </w:tc>
        <w:tc>
          <w:tcPr>
            <w:tcW w:type="dxa" w:w="648"/>
          </w:tcPr>
          <w:p>
            <w:r>
              <w:rPr>
                <w:rFonts w:ascii="Arial" w:hAnsi="Arial"/>
                <w:sz w:val="18"/>
              </w:rPr>
              <w:t>0.483</w:t>
            </w:r>
          </w:p>
        </w:tc>
        <w:tc>
          <w:tcPr>
            <w:tcW w:type="dxa" w:w="864"/>
          </w:tcPr>
          <w:p>
            <w:r>
              <w:rPr>
                <w:rFonts w:ascii="Arial" w:hAnsi="Arial"/>
                <w:sz w:val="18"/>
              </w:rPr>
              <w:t>-24.004</w:t>
            </w:r>
          </w:p>
        </w:tc>
        <w:tc>
          <w:tcPr>
            <w:tcW w:type="dxa" w:w="864"/>
          </w:tcPr>
          <w:p>
            <w:r>
              <w:rPr>
                <w:rFonts w:ascii="Arial" w:hAnsi="Arial"/>
                <w:sz w:val="18"/>
              </w:rPr>
              <w:t>50.796</w:t>
            </w:r>
          </w:p>
        </w:tc>
        <w:tc>
          <w:tcPr>
            <w:tcW w:type="dxa" w:w="792"/>
          </w:tcPr>
          <w:p>
            <w:r>
              <w:rPr>
                <w:rFonts w:ascii="Arial" w:hAnsi="Arial"/>
                <w:sz w:val="18"/>
              </w:rPr>
              <w:t>-11.300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+17.739</w:t>
            </w:r>
          </w:p>
        </w:tc>
        <w:tc>
          <w:tcPr>
            <w:tcW w:type="dxa" w:w="720"/>
          </w:tcPr>
          <w:p>
            <w:r>
              <w:rPr>
                <w:rFonts w:ascii="Arial" w:hAnsi="Arial"/>
                <w:sz w:val="18"/>
              </w:rPr>
              <w:t>21.185</w:t>
            </w:r>
          </w:p>
        </w:tc>
        <w:tc>
          <w:tcPr>
            <w:tcW w:type="dxa" w:w="648"/>
          </w:tcPr>
          <w:p>
            <w:r>
              <w:rPr>
                <w:rFonts w:ascii="Arial" w:hAnsi="Arial"/>
                <w:sz w:val="18"/>
              </w:rPr>
              <w:t>0.402</w:t>
            </w:r>
          </w:p>
        </w:tc>
        <w:tc>
          <w:tcPr>
            <w:tcW w:type="dxa" w:w="864"/>
          </w:tcPr>
          <w:p>
            <w:r>
              <w:rPr>
                <w:rFonts w:ascii="Arial" w:hAnsi="Arial"/>
                <w:sz w:val="18"/>
              </w:rPr>
              <w:t>-23.782</w:t>
            </w:r>
          </w:p>
        </w:tc>
        <w:tc>
          <w:tcPr>
            <w:tcW w:type="dxa" w:w="864"/>
          </w:tcPr>
          <w:p>
            <w:r>
              <w:rPr>
                <w:rFonts w:ascii="Arial" w:hAnsi="Arial"/>
                <w:sz w:val="18"/>
              </w:rPr>
              <w:t>59.260</w:t>
            </w:r>
          </w:p>
        </w:tc>
        <w:tc>
          <w:tcPr>
            <w:tcW w:type="dxa" w:w="792"/>
          </w:tcPr>
          <w:p>
            <w:r>
              <w:rPr>
                <w:rFonts w:ascii="Arial" w:hAnsi="Arial"/>
                <w:sz w:val="18"/>
              </w:rPr>
              <w:t>17.400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+21.857</w:t>
            </w:r>
          </w:p>
        </w:tc>
        <w:tc>
          <w:tcPr>
            <w:tcW w:type="dxa" w:w="720"/>
          </w:tcPr>
          <w:p>
            <w:r>
              <w:rPr>
                <w:rFonts w:ascii="Arial" w:hAnsi="Arial"/>
                <w:sz w:val="18"/>
              </w:rPr>
              <w:t>19.319</w:t>
            </w:r>
          </w:p>
        </w:tc>
        <w:tc>
          <w:tcPr>
            <w:tcW w:type="dxa" w:w="648"/>
          </w:tcPr>
          <w:p>
            <w:r>
              <w:rPr>
                <w:rFonts w:ascii="Arial" w:hAnsi="Arial"/>
                <w:sz w:val="18"/>
              </w:rPr>
              <w:t>0.258</w:t>
            </w:r>
          </w:p>
        </w:tc>
        <w:tc>
          <w:tcPr>
            <w:tcW w:type="dxa" w:w="864"/>
          </w:tcPr>
          <w:p>
            <w:r>
              <w:rPr>
                <w:rFonts w:ascii="Arial" w:hAnsi="Arial"/>
                <w:sz w:val="18"/>
              </w:rPr>
              <w:t>-16.007</w:t>
            </w:r>
          </w:p>
        </w:tc>
        <w:tc>
          <w:tcPr>
            <w:tcW w:type="dxa" w:w="864"/>
          </w:tcPr>
          <w:p>
            <w:r>
              <w:rPr>
                <w:rFonts w:ascii="Arial" w:hAnsi="Arial"/>
                <w:sz w:val="18"/>
              </w:rPr>
              <w:t>59.722</w:t>
            </w:r>
          </w:p>
        </w:tc>
        <w:tc>
          <w:tcPr>
            <w:tcW w:type="dxa" w:w="792"/>
          </w:tcPr>
          <w:p>
            <w:r>
              <w:rPr>
                <w:rFonts w:ascii="Arial" w:hAnsi="Arial"/>
                <w:sz w:val="18"/>
              </w:rPr>
              <w:t>44.700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+22.392</w:t>
            </w:r>
          </w:p>
        </w:tc>
        <w:tc>
          <w:tcPr>
            <w:tcW w:type="dxa" w:w="720"/>
          </w:tcPr>
          <w:p>
            <w:r>
              <w:rPr>
                <w:rFonts w:ascii="Arial" w:hAnsi="Arial"/>
                <w:sz w:val="18"/>
              </w:rPr>
              <w:t>18.935</w:t>
            </w:r>
          </w:p>
        </w:tc>
        <w:tc>
          <w:tcPr>
            <w:tcW w:type="dxa" w:w="648"/>
          </w:tcPr>
          <w:p>
            <w:r>
              <w:rPr>
                <w:rFonts w:ascii="Arial" w:hAnsi="Arial"/>
                <w:sz w:val="18"/>
              </w:rPr>
              <w:t>0.237</w:t>
            </w:r>
          </w:p>
        </w:tc>
        <w:tc>
          <w:tcPr>
            <w:tcW w:type="dxa" w:w="864"/>
          </w:tcPr>
          <w:p>
            <w:r>
              <w:rPr>
                <w:rFonts w:ascii="Arial" w:hAnsi="Arial"/>
                <w:sz w:val="18"/>
              </w:rPr>
              <w:t>-14.720</w:t>
            </w:r>
          </w:p>
        </w:tc>
        <w:tc>
          <w:tcPr>
            <w:tcW w:type="dxa" w:w="864"/>
          </w:tcPr>
          <w:p>
            <w:r>
              <w:rPr>
                <w:rFonts w:ascii="Arial" w:hAnsi="Arial"/>
                <w:sz w:val="18"/>
              </w:rPr>
              <w:t>59.504</w:t>
            </w:r>
          </w:p>
        </w:tc>
        <w:tc>
          <w:tcPr>
            <w:tcW w:type="dxa" w:w="792"/>
          </w:tcPr>
          <w:p>
            <w:r>
              <w:rPr>
                <w:rFonts w:ascii="Arial" w:hAnsi="Arial"/>
                <w:sz w:val="18"/>
              </w:rPr>
              <w:t>48.200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-2.672</w:t>
            </w:r>
          </w:p>
        </w:tc>
        <w:tc>
          <w:tcPr>
            <w:tcW w:type="dxa" w:w="720"/>
          </w:tcPr>
          <w:p>
            <w:r>
              <w:rPr>
                <w:rFonts w:ascii="Arial" w:hAnsi="Arial"/>
                <w:sz w:val="18"/>
              </w:rPr>
              <w:t>3.414</w:t>
            </w:r>
          </w:p>
        </w:tc>
        <w:tc>
          <w:tcPr>
            <w:tcW w:type="dxa" w:w="648"/>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792"/>
          </w:tcPr>
          <w:p>
            <w:r>
              <w:rPr>
                <w:rFonts w:ascii="Arial" w:hAnsi="Arial"/>
                <w:sz w:val="18"/>
              </w:rPr>
              <w:t>27.300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-3.593</w:t>
            </w:r>
          </w:p>
        </w:tc>
        <w:tc>
          <w:tcPr>
            <w:tcW w:type="dxa" w:w="720"/>
          </w:tcPr>
          <w:p>
            <w:r>
              <w:rPr>
                <w:rFonts w:ascii="Arial" w:hAnsi="Arial"/>
                <w:sz w:val="18"/>
              </w:rPr>
              <w:t>3.362</w:t>
            </w:r>
          </w:p>
        </w:tc>
        <w:tc>
          <w:tcPr>
            <w:tcW w:type="dxa" w:w="648"/>
          </w:tcPr>
          <w:p>
            <w:r>
              <w:rPr>
                <w:rFonts w:ascii="Arial" w:hAnsi="Arial"/>
                <w:sz w:val="18"/>
              </w:rPr>
              <w:t>0.285</w:t>
            </w:r>
          </w:p>
        </w:tc>
        <w:tc>
          <w:tcPr>
            <w:tcW w:type="dxa" w:w="864"/>
          </w:tcPr>
          <w:p>
            <w:r>
              <w:rPr>
                <w:rFonts w:ascii="Arial" w:hAnsi="Arial"/>
                <w:sz w:val="18"/>
              </w:rPr>
              <w:t>-10.182</w:t>
            </w:r>
          </w:p>
        </w:tc>
        <w:tc>
          <w:tcPr>
            <w:tcW w:type="dxa" w:w="864"/>
          </w:tcPr>
          <w:p>
            <w:r>
              <w:rPr>
                <w:rFonts w:ascii="Arial" w:hAnsi="Arial"/>
                <w:sz w:val="18"/>
              </w:rPr>
              <w:t>2.996</w:t>
            </w:r>
          </w:p>
        </w:tc>
        <w:tc>
          <w:tcPr>
            <w:tcW w:type="dxa" w:w="792"/>
          </w:tcPr>
          <w:p>
            <w:r>
              <w:rPr>
                <w:rFonts w:ascii="Arial" w:hAnsi="Arial"/>
                <w:sz w:val="18"/>
              </w:rPr>
              <w:t>2.300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-2.002</w:t>
            </w:r>
          </w:p>
        </w:tc>
        <w:tc>
          <w:tcPr>
            <w:tcW w:type="dxa" w:w="720"/>
          </w:tcPr>
          <w:p>
            <w:r>
              <w:rPr>
                <w:rFonts w:ascii="Arial" w:hAnsi="Arial"/>
                <w:sz w:val="18"/>
              </w:rPr>
              <w:t>2.415</w:t>
            </w:r>
          </w:p>
        </w:tc>
        <w:tc>
          <w:tcPr>
            <w:tcW w:type="dxa" w:w="648"/>
          </w:tcPr>
          <w:p>
            <w:r>
              <w:rPr>
                <w:rFonts w:ascii="Arial" w:hAnsi="Arial"/>
                <w:sz w:val="18"/>
              </w:rPr>
              <w:t>0.407</w:t>
            </w:r>
          </w:p>
        </w:tc>
        <w:tc>
          <w:tcPr>
            <w:tcW w:type="dxa" w:w="864"/>
          </w:tcPr>
          <w:p>
            <w:r>
              <w:rPr>
                <w:rFonts w:ascii="Arial" w:hAnsi="Arial"/>
                <w:sz w:val="18"/>
              </w:rPr>
              <w:t>-6.736</w:t>
            </w:r>
          </w:p>
        </w:tc>
        <w:tc>
          <w:tcPr>
            <w:tcW w:type="dxa" w:w="864"/>
          </w:tcPr>
          <w:p>
            <w:r>
              <w:rPr>
                <w:rFonts w:ascii="Arial" w:hAnsi="Arial"/>
                <w:sz w:val="18"/>
              </w:rPr>
              <w:t>2.731</w:t>
            </w:r>
          </w:p>
        </w:tc>
        <w:tc>
          <w:tcPr>
            <w:tcW w:type="dxa" w:w="792"/>
          </w:tcPr>
          <w:p>
            <w:r>
              <w:rPr>
                <w:rFonts w:ascii="Arial" w:hAnsi="Arial"/>
                <w:sz w:val="18"/>
              </w:rPr>
              <w:t>45.500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-5.687</w:t>
            </w:r>
          </w:p>
        </w:tc>
        <w:tc>
          <w:tcPr>
            <w:tcW w:type="dxa" w:w="720"/>
          </w:tcPr>
          <w:p>
            <w:r>
              <w:rPr>
                <w:rFonts w:ascii="Arial" w:hAnsi="Arial"/>
                <w:sz w:val="18"/>
              </w:rPr>
              <w:t>2.132</w:t>
            </w:r>
          </w:p>
        </w:tc>
        <w:tc>
          <w:tcPr>
            <w:tcW w:type="dxa" w:w="648"/>
          </w:tcPr>
          <w:p>
            <w:r>
              <w:rPr>
                <w:rFonts w:ascii="Arial" w:hAnsi="Arial"/>
                <w:sz w:val="18"/>
              </w:rPr>
              <w:t>0.008</w:t>
            </w:r>
          </w:p>
        </w:tc>
        <w:tc>
          <w:tcPr>
            <w:tcW w:type="dxa" w:w="864"/>
          </w:tcPr>
          <w:p>
            <w:r>
              <w:rPr>
                <w:rFonts w:ascii="Arial" w:hAnsi="Arial"/>
                <w:sz w:val="18"/>
              </w:rPr>
              <w:t>-9.865</w:t>
            </w:r>
          </w:p>
        </w:tc>
        <w:tc>
          <w:tcPr>
            <w:tcW w:type="dxa" w:w="864"/>
          </w:tcPr>
          <w:p>
            <w:r>
              <w:rPr>
                <w:rFonts w:ascii="Arial" w:hAnsi="Arial"/>
                <w:sz w:val="18"/>
              </w:rPr>
              <w:t>-1.509</w:t>
            </w:r>
          </w:p>
        </w:tc>
        <w:tc>
          <w:tcPr>
            <w:tcW w:type="dxa" w:w="792"/>
          </w:tcPr>
          <w:p>
            <w:r>
              <w:rPr>
                <w:rFonts w:ascii="Arial" w:hAnsi="Arial"/>
                <w:sz w:val="18"/>
              </w:rPr>
              <w:t>-54.700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-2.672</w:t>
            </w:r>
          </w:p>
        </w:tc>
        <w:tc>
          <w:tcPr>
            <w:tcW w:type="dxa" w:w="720"/>
          </w:tcPr>
          <w:p>
            <w:r>
              <w:rPr>
                <w:rFonts w:ascii="Arial" w:hAnsi="Arial"/>
                <w:sz w:val="18"/>
              </w:rPr>
              <w:t>3.414</w:t>
            </w:r>
          </w:p>
        </w:tc>
        <w:tc>
          <w:tcPr>
            <w:tcW w:type="dxa" w:w="648"/>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792"/>
          </w:tcPr>
          <w:p>
            <w:r>
              <w:rPr>
                <w:rFonts w:ascii="Arial" w:hAnsi="Arial"/>
                <w:sz w:val="18"/>
              </w:rPr>
              <w:t>27.300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-4.600</w:t>
            </w:r>
          </w:p>
        </w:tc>
        <w:tc>
          <w:tcPr>
            <w:tcW w:type="dxa" w:w="720"/>
          </w:tcPr>
          <w:p>
            <w:r>
              <w:rPr>
                <w:rFonts w:ascii="Arial" w:hAnsi="Arial"/>
                <w:sz w:val="18"/>
              </w:rPr>
              <w:t>3.106</w:t>
            </w:r>
          </w:p>
        </w:tc>
        <w:tc>
          <w:tcPr>
            <w:tcW w:type="dxa" w:w="648"/>
          </w:tcPr>
          <w:p>
            <w:r>
              <w:rPr>
                <w:rFonts w:ascii="Arial" w:hAnsi="Arial"/>
                <w:sz w:val="18"/>
              </w:rPr>
              <w:t>0.139</w:t>
            </w:r>
          </w:p>
        </w:tc>
        <w:tc>
          <w:tcPr>
            <w:tcW w:type="dxa" w:w="864"/>
          </w:tcPr>
          <w:p>
            <w:r>
              <w:rPr>
                <w:rFonts w:ascii="Arial" w:hAnsi="Arial"/>
                <w:sz w:val="18"/>
              </w:rPr>
              <w:t>-10.688</w:t>
            </w:r>
          </w:p>
        </w:tc>
        <w:tc>
          <w:tcPr>
            <w:tcW w:type="dxa" w:w="864"/>
          </w:tcPr>
          <w:p>
            <w:r>
              <w:rPr>
                <w:rFonts w:ascii="Arial" w:hAnsi="Arial"/>
                <w:sz w:val="18"/>
              </w:rPr>
              <w:t>1.488</w:t>
            </w:r>
          </w:p>
        </w:tc>
        <w:tc>
          <w:tcPr>
            <w:tcW w:type="dxa" w:w="792"/>
          </w:tcPr>
          <w:p>
            <w:r>
              <w:rPr>
                <w:rFonts w:ascii="Arial" w:hAnsi="Arial"/>
                <w:sz w:val="18"/>
              </w:rPr>
              <w:t>-25.100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-4.607</w:t>
            </w:r>
          </w:p>
        </w:tc>
        <w:tc>
          <w:tcPr>
            <w:tcW w:type="dxa" w:w="720"/>
          </w:tcPr>
          <w:p>
            <w:r>
              <w:rPr>
                <w:rFonts w:ascii="Arial" w:hAnsi="Arial"/>
                <w:sz w:val="18"/>
              </w:rPr>
              <w:t>3.102</w:t>
            </w:r>
          </w:p>
        </w:tc>
        <w:tc>
          <w:tcPr>
            <w:tcW w:type="dxa" w:w="648"/>
          </w:tcPr>
          <w:p>
            <w:r>
              <w:rPr>
                <w:rFonts w:ascii="Arial" w:hAnsi="Arial"/>
                <w:sz w:val="18"/>
              </w:rPr>
              <w:t>0.138</w:t>
            </w:r>
          </w:p>
        </w:tc>
        <w:tc>
          <w:tcPr>
            <w:tcW w:type="dxa" w:w="864"/>
          </w:tcPr>
          <w:p>
            <w:r>
              <w:rPr>
                <w:rFonts w:ascii="Arial" w:hAnsi="Arial"/>
                <w:sz w:val="18"/>
              </w:rPr>
              <w:t>-10.687</w:t>
            </w:r>
          </w:p>
        </w:tc>
        <w:tc>
          <w:tcPr>
            <w:tcW w:type="dxa" w:w="864"/>
          </w:tcPr>
          <w:p>
            <w:r>
              <w:rPr>
                <w:rFonts w:ascii="Arial" w:hAnsi="Arial"/>
                <w:sz w:val="18"/>
              </w:rPr>
              <w:t>1.473</w:t>
            </w:r>
          </w:p>
        </w:tc>
        <w:tc>
          <w:tcPr>
            <w:tcW w:type="dxa" w:w="792"/>
          </w:tcPr>
          <w:p>
            <w:r>
              <w:rPr>
                <w:rFonts w:ascii="Arial" w:hAnsi="Arial"/>
                <w:sz w:val="18"/>
              </w:rPr>
              <w:t>-25.300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-3.581</w:t>
            </w:r>
          </w:p>
        </w:tc>
        <w:tc>
          <w:tcPr>
            <w:tcW w:type="dxa" w:w="720"/>
          </w:tcPr>
          <w:p>
            <w:r>
              <w:rPr>
                <w:rFonts w:ascii="Arial" w:hAnsi="Arial"/>
                <w:sz w:val="18"/>
              </w:rPr>
              <w:t>3.361</w:t>
            </w:r>
          </w:p>
        </w:tc>
        <w:tc>
          <w:tcPr>
            <w:tcW w:type="dxa" w:w="648"/>
          </w:tcPr>
          <w:p>
            <w:r>
              <w:rPr>
                <w:rFonts w:ascii="Arial" w:hAnsi="Arial"/>
                <w:sz w:val="18"/>
              </w:rPr>
              <w:t>0.287</w:t>
            </w:r>
          </w:p>
        </w:tc>
        <w:tc>
          <w:tcPr>
            <w:tcW w:type="dxa" w:w="864"/>
          </w:tcPr>
          <w:p>
            <w:r>
              <w:rPr>
                <w:rFonts w:ascii="Arial" w:hAnsi="Arial"/>
                <w:sz w:val="18"/>
              </w:rPr>
              <w:t>-10.168</w:t>
            </w:r>
          </w:p>
        </w:tc>
        <w:tc>
          <w:tcPr>
            <w:tcW w:type="dxa" w:w="864"/>
          </w:tcPr>
          <w:p>
            <w:r>
              <w:rPr>
                <w:rFonts w:ascii="Arial" w:hAnsi="Arial"/>
                <w:sz w:val="18"/>
              </w:rPr>
              <w:t>3.007</w:t>
            </w:r>
          </w:p>
        </w:tc>
        <w:tc>
          <w:tcPr>
            <w:tcW w:type="dxa" w:w="792"/>
          </w:tcPr>
          <w:p>
            <w:r>
              <w:rPr>
                <w:rFonts w:ascii="Arial" w:hAnsi="Arial"/>
                <w:sz w:val="18"/>
              </w:rPr>
              <w:t>2.600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-0.205</w:t>
            </w:r>
          </w:p>
        </w:tc>
        <w:tc>
          <w:tcPr>
            <w:tcW w:type="dxa" w:w="720"/>
          </w:tcPr>
          <w:p>
            <w:r>
              <w:rPr>
                <w:rFonts w:ascii="Arial" w:hAnsi="Arial"/>
                <w:sz w:val="18"/>
              </w:rPr>
              <w:t>0.157</w:t>
            </w:r>
          </w:p>
        </w:tc>
        <w:tc>
          <w:tcPr>
            <w:tcW w:type="dxa" w:w="648"/>
          </w:tcPr>
          <w:p>
            <w:r>
              <w:rPr>
                <w:rFonts w:ascii="Arial" w:hAnsi="Arial"/>
                <w:sz w:val="18"/>
              </w:rPr>
              <w:t>0.191</w:t>
            </w:r>
          </w:p>
        </w:tc>
        <w:tc>
          <w:tcPr>
            <w:tcW w:type="dxa" w:w="864"/>
          </w:tcPr>
          <w:p>
            <w:r>
              <w:rPr>
                <w:rFonts w:ascii="Arial" w:hAnsi="Arial"/>
                <w:sz w:val="18"/>
              </w:rPr>
              <w:t>-0.511</w:t>
            </w:r>
          </w:p>
        </w:tc>
        <w:tc>
          <w:tcPr>
            <w:tcW w:type="dxa" w:w="864"/>
          </w:tcPr>
          <w:p>
            <w:r>
              <w:rPr>
                <w:rFonts w:ascii="Arial" w:hAnsi="Arial"/>
                <w:sz w:val="18"/>
              </w:rPr>
              <w:t>0.102</w:t>
            </w:r>
          </w:p>
        </w:tc>
        <w:tc>
          <w:tcPr>
            <w:tcW w:type="dxa" w:w="792"/>
          </w:tcPr>
          <w:p>
            <w:r>
              <w:rPr>
                <w:rFonts w:ascii="Arial" w:hAnsi="Arial"/>
                <w:sz w:val="18"/>
              </w:rPr>
              <w:t>14.200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-0.326</w:t>
            </w:r>
          </w:p>
        </w:tc>
        <w:tc>
          <w:tcPr>
            <w:tcW w:type="dxa" w:w="720"/>
          </w:tcPr>
          <w:p>
            <w:r>
              <w:rPr>
                <w:rFonts w:ascii="Arial" w:hAnsi="Arial"/>
                <w:sz w:val="18"/>
              </w:rPr>
              <w:t>0.196</w:t>
            </w:r>
          </w:p>
        </w:tc>
        <w:tc>
          <w:tcPr>
            <w:tcW w:type="dxa" w:w="648"/>
          </w:tcPr>
          <w:p>
            <w:r>
              <w:rPr>
                <w:rFonts w:ascii="Arial" w:hAnsi="Arial"/>
                <w:sz w:val="18"/>
              </w:rPr>
              <w:t>0.097</w:t>
            </w:r>
          </w:p>
        </w:tc>
        <w:tc>
          <w:tcPr>
            <w:tcW w:type="dxa" w:w="864"/>
          </w:tcPr>
          <w:p>
            <w:r>
              <w:rPr>
                <w:rFonts w:ascii="Arial" w:hAnsi="Arial"/>
                <w:sz w:val="18"/>
              </w:rPr>
              <w:t>-0.711</w:t>
            </w:r>
          </w:p>
        </w:tc>
        <w:tc>
          <w:tcPr>
            <w:tcW w:type="dxa" w:w="864"/>
          </w:tcPr>
          <w:p>
            <w:r>
              <w:rPr>
                <w:rFonts w:ascii="Arial" w:hAnsi="Arial"/>
                <w:sz w:val="18"/>
              </w:rPr>
              <w:t>0.058</w:t>
            </w:r>
          </w:p>
        </w:tc>
        <w:tc>
          <w:tcPr>
            <w:tcW w:type="dxa" w:w="792"/>
          </w:tcPr>
          <w:p>
            <w:r>
              <w:rPr>
                <w:rFonts w:ascii="Arial" w:hAnsi="Arial"/>
                <w:sz w:val="18"/>
              </w:rPr>
              <w:t>-36.700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-0.095</w:t>
            </w:r>
          </w:p>
        </w:tc>
        <w:tc>
          <w:tcPr>
            <w:tcW w:type="dxa" w:w="720"/>
          </w:tcPr>
          <w:p>
            <w:r>
              <w:rPr>
                <w:rFonts w:ascii="Arial" w:hAnsi="Arial"/>
                <w:sz w:val="18"/>
              </w:rPr>
              <w:t>0.059</w:t>
            </w:r>
          </w:p>
        </w:tc>
        <w:tc>
          <w:tcPr>
            <w:tcW w:type="dxa" w:w="648"/>
          </w:tcPr>
          <w:p>
            <w:r>
              <w:rPr>
                <w:rFonts w:ascii="Arial" w:hAnsi="Arial"/>
                <w:sz w:val="18"/>
              </w:rPr>
              <w:t>0.109</w:t>
            </w:r>
          </w:p>
        </w:tc>
        <w:tc>
          <w:tcPr>
            <w:tcW w:type="dxa" w:w="864"/>
          </w:tcPr>
          <w:p>
            <w:r>
              <w:rPr>
                <w:rFonts w:ascii="Arial" w:hAnsi="Arial"/>
                <w:sz w:val="18"/>
              </w:rPr>
              <w:t>-0.211</w:t>
            </w:r>
          </w:p>
        </w:tc>
        <w:tc>
          <w:tcPr>
            <w:tcW w:type="dxa" w:w="864"/>
          </w:tcPr>
          <w:p>
            <w:r>
              <w:rPr>
                <w:rFonts w:ascii="Arial" w:hAnsi="Arial"/>
                <w:sz w:val="18"/>
              </w:rPr>
              <w:t>0.021</w:t>
            </w:r>
          </w:p>
        </w:tc>
        <w:tc>
          <w:tcPr>
            <w:tcW w:type="dxa" w:w="792"/>
          </w:tcPr>
          <w:p>
            <w:r>
              <w:rPr>
                <w:rFonts w:ascii="Arial" w:hAnsi="Arial"/>
                <w:sz w:val="18"/>
              </w:rPr>
              <w:t>60.200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-0.288</w:t>
            </w:r>
          </w:p>
        </w:tc>
        <w:tc>
          <w:tcPr>
            <w:tcW w:type="dxa" w:w="720"/>
          </w:tcPr>
          <w:p>
            <w:r>
              <w:rPr>
                <w:rFonts w:ascii="Arial" w:hAnsi="Arial"/>
                <w:sz w:val="18"/>
              </w:rPr>
              <w:t>0.191</w:t>
            </w:r>
          </w:p>
        </w:tc>
        <w:tc>
          <w:tcPr>
            <w:tcW w:type="dxa" w:w="648"/>
          </w:tcPr>
          <w:p>
            <w:r>
              <w:rPr>
                <w:rFonts w:ascii="Arial" w:hAnsi="Arial"/>
                <w:sz w:val="18"/>
              </w:rPr>
              <w:t>0.131</w:t>
            </w:r>
          </w:p>
        </w:tc>
        <w:tc>
          <w:tcPr>
            <w:tcW w:type="dxa" w:w="864"/>
          </w:tcPr>
          <w:p>
            <w:r>
              <w:rPr>
                <w:rFonts w:ascii="Arial" w:hAnsi="Arial"/>
                <w:sz w:val="18"/>
              </w:rPr>
              <w:t>-0.662</w:t>
            </w:r>
          </w:p>
        </w:tc>
        <w:tc>
          <w:tcPr>
            <w:tcW w:type="dxa" w:w="864"/>
          </w:tcPr>
          <w:p>
            <w:r>
              <w:rPr>
                <w:rFonts w:ascii="Arial" w:hAnsi="Arial"/>
                <w:sz w:val="18"/>
              </w:rPr>
              <w:t>0.086</w:t>
            </w:r>
          </w:p>
        </w:tc>
        <w:tc>
          <w:tcPr>
            <w:tcW w:type="dxa" w:w="792"/>
          </w:tcPr>
          <w:p>
            <w:r>
              <w:rPr>
                <w:rFonts w:ascii="Arial" w:hAnsi="Arial"/>
                <w:sz w:val="18"/>
              </w:rPr>
              <w:t>-20.700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-0.215</w:t>
            </w:r>
          </w:p>
        </w:tc>
        <w:tc>
          <w:tcPr>
            <w:tcW w:type="dxa" w:w="720"/>
          </w:tcPr>
          <w:p>
            <w:r>
              <w:rPr>
                <w:rFonts w:ascii="Arial" w:hAnsi="Arial"/>
                <w:sz w:val="18"/>
              </w:rPr>
              <w:t>0.219</w:t>
            </w:r>
          </w:p>
        </w:tc>
        <w:tc>
          <w:tcPr>
            <w:tcW w:type="dxa" w:w="648"/>
          </w:tcPr>
          <w:p>
            <w:r>
              <w:rPr>
                <w:rFonts w:ascii="Arial" w:hAnsi="Arial"/>
                <w:sz w:val="18"/>
              </w:rPr>
              <w:t>0.325</w:t>
            </w:r>
          </w:p>
        </w:tc>
        <w:tc>
          <w:tcPr>
            <w:tcW w:type="dxa" w:w="864"/>
          </w:tcPr>
          <w:p>
            <w:r>
              <w:rPr>
                <w:rFonts w:ascii="Arial" w:hAnsi="Arial"/>
                <w:sz w:val="18"/>
              </w:rPr>
              <w:t>-0.644</w:t>
            </w:r>
          </w:p>
        </w:tc>
        <w:tc>
          <w:tcPr>
            <w:tcW w:type="dxa" w:w="864"/>
          </w:tcPr>
          <w:p>
            <w:r>
              <w:rPr>
                <w:rFonts w:ascii="Arial" w:hAnsi="Arial"/>
                <w:sz w:val="18"/>
              </w:rPr>
              <w:t>0.214</w:t>
            </w:r>
          </w:p>
        </w:tc>
        <w:tc>
          <w:tcPr>
            <w:tcW w:type="dxa" w:w="792"/>
          </w:tcPr>
          <w:p>
            <w:r>
              <w:rPr>
                <w:rFonts w:ascii="Arial" w:hAnsi="Arial"/>
                <w:sz w:val="18"/>
              </w:rPr>
              <w:t>9.700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-0.239</w:t>
            </w:r>
          </w:p>
        </w:tc>
        <w:tc>
          <w:tcPr>
            <w:tcW w:type="dxa" w:w="720"/>
          </w:tcPr>
          <w:p>
            <w:r>
              <w:rPr>
                <w:rFonts w:ascii="Arial" w:hAnsi="Arial"/>
                <w:sz w:val="18"/>
              </w:rPr>
              <w:t>0.169</w:t>
            </w:r>
          </w:p>
        </w:tc>
        <w:tc>
          <w:tcPr>
            <w:tcW w:type="dxa" w:w="648"/>
          </w:tcPr>
          <w:p>
            <w:r>
              <w:rPr>
                <w:rFonts w:ascii="Arial" w:hAnsi="Arial"/>
                <w:sz w:val="18"/>
              </w:rPr>
              <w:t>0.158</w:t>
            </w:r>
          </w:p>
        </w:tc>
        <w:tc>
          <w:tcPr>
            <w:tcW w:type="dxa" w:w="864"/>
          </w:tcPr>
          <w:p>
            <w:r>
              <w:rPr>
                <w:rFonts w:ascii="Arial" w:hAnsi="Arial"/>
                <w:sz w:val="18"/>
              </w:rPr>
              <w:t>-0.570</w:t>
            </w:r>
          </w:p>
        </w:tc>
        <w:tc>
          <w:tcPr>
            <w:tcW w:type="dxa" w:w="864"/>
          </w:tcPr>
          <w:p>
            <w:r>
              <w:rPr>
                <w:rFonts w:ascii="Arial" w:hAnsi="Arial"/>
                <w:sz w:val="18"/>
              </w:rPr>
              <w:t>0.092</w:t>
            </w:r>
          </w:p>
        </w:tc>
        <w:tc>
          <w:tcPr>
            <w:tcW w:type="dxa" w:w="792"/>
          </w:tcPr>
          <w:p>
            <w:r>
              <w:rPr>
                <w:rFonts w:ascii="Arial" w:hAnsi="Arial"/>
                <w:sz w:val="18"/>
              </w:rPr>
              <w:t>0.000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-0.244</w:t>
            </w:r>
          </w:p>
        </w:tc>
        <w:tc>
          <w:tcPr>
            <w:tcW w:type="dxa" w:w="720"/>
          </w:tcPr>
          <w:p>
            <w:r>
              <w:rPr>
                <w:rFonts w:ascii="Arial" w:hAnsi="Arial"/>
                <w:sz w:val="18"/>
              </w:rPr>
              <w:t>0.178</w:t>
            </w:r>
          </w:p>
        </w:tc>
        <w:tc>
          <w:tcPr>
            <w:tcW w:type="dxa" w:w="648"/>
          </w:tcPr>
          <w:p>
            <w:r>
              <w:rPr>
                <w:rFonts w:ascii="Arial" w:hAnsi="Arial"/>
                <w:sz w:val="18"/>
              </w:rPr>
              <w:t>0.171</w:t>
            </w:r>
          </w:p>
        </w:tc>
        <w:tc>
          <w:tcPr>
            <w:tcW w:type="dxa" w:w="864"/>
          </w:tcPr>
          <w:p>
            <w:r>
              <w:rPr>
                <w:rFonts w:ascii="Arial" w:hAnsi="Arial"/>
                <w:sz w:val="18"/>
              </w:rPr>
              <w:t>-0.594</w:t>
            </w:r>
          </w:p>
        </w:tc>
        <w:tc>
          <w:tcPr>
            <w:tcW w:type="dxa" w:w="864"/>
          </w:tcPr>
          <w:p>
            <w:r>
              <w:rPr>
                <w:rFonts w:ascii="Arial" w:hAnsi="Arial"/>
                <w:sz w:val="18"/>
              </w:rPr>
              <w:t>0.105</w:t>
            </w:r>
          </w:p>
        </w:tc>
        <w:tc>
          <w:tcPr>
            <w:tcW w:type="dxa" w:w="792"/>
          </w:tcPr>
          <w:p>
            <w:r>
              <w:rPr>
                <w:rFonts w:ascii="Arial" w:hAnsi="Arial"/>
                <w:sz w:val="18"/>
              </w:rPr>
              <w:t>-2.300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-0.279</w:t>
            </w:r>
          </w:p>
        </w:tc>
        <w:tc>
          <w:tcPr>
            <w:tcW w:type="dxa" w:w="720"/>
          </w:tcPr>
          <w:p>
            <w:r>
              <w:rPr>
                <w:rFonts w:ascii="Arial" w:hAnsi="Arial"/>
                <w:sz w:val="18"/>
              </w:rPr>
              <w:t>0.242</w:t>
            </w:r>
          </w:p>
        </w:tc>
        <w:tc>
          <w:tcPr>
            <w:tcW w:type="dxa" w:w="648"/>
          </w:tcPr>
          <w:p>
            <w:r>
              <w:rPr>
                <w:rFonts w:ascii="Arial" w:hAnsi="Arial"/>
                <w:sz w:val="18"/>
              </w:rPr>
              <w:t>0.249</w:t>
            </w:r>
          </w:p>
        </w:tc>
        <w:tc>
          <w:tcPr>
            <w:tcW w:type="dxa" w:w="864"/>
          </w:tcPr>
          <w:p>
            <w:r>
              <w:rPr>
                <w:rFonts w:ascii="Arial" w:hAnsi="Arial"/>
                <w:sz w:val="18"/>
              </w:rPr>
              <w:t>-0.754</w:t>
            </w:r>
          </w:p>
        </w:tc>
        <w:tc>
          <w:tcPr>
            <w:tcW w:type="dxa" w:w="864"/>
          </w:tcPr>
          <w:p>
            <w:r>
              <w:rPr>
                <w:rFonts w:ascii="Arial" w:hAnsi="Arial"/>
                <w:sz w:val="18"/>
              </w:rPr>
              <w:t>0.196</w:t>
            </w:r>
          </w:p>
        </w:tc>
        <w:tc>
          <w:tcPr>
            <w:tcW w:type="dxa" w:w="792"/>
          </w:tcPr>
          <w:p>
            <w:r>
              <w:rPr>
                <w:rFonts w:ascii="Arial" w:hAnsi="Arial"/>
                <w:sz w:val="18"/>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39498" w:name="table_s6"/>
      <w:r>
        <w:rPr>
          <w:rFonts w:ascii="Arial" w:hAnsi="Arial"/>
          <w:b/>
          <w:color w:val="1F3A5F"/>
          <w:sz w:val="32"/>
        </w:rPr>
        <w:t>Table S6 — MDE / power</w:t>
      </w:r>
      <w:bookmarkEnd w:id="39498"/>
    </w:p>
    <w:p>
      <w:pPr>
        <w:jc w:val="left"/>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dxa" w:w="9072"/>
        <w:tblLook w:firstColumn="1" w:firstRow="1" w:lastColumn="0" w:lastRow="0" w:noHBand="0" w:noVBand="1" w:val="04A0"/>
        <w:tblLayout w:type="autofit"/>
      </w:tblPr>
      <w:tblGrid>
        <w:gridCol w:w="1134"/>
        <w:gridCol w:w="1134"/>
        <w:gridCol w:w="1134"/>
        <w:gridCol w:w="1134"/>
        <w:gridCol w:w="1134"/>
        <w:gridCol w:w="1134"/>
        <w:gridCol w:w="1134"/>
        <w:gridCol w:w="1134"/>
      </w:tblGrid>
      <w:tr>
        <w:tc>
          <w:tcPr>
            <w:tcW w:type="dxa" w:w="1134"/>
          </w:tcPr>
          <w:p>
            <w:r>
              <w:rPr>
                <w:rFonts w:ascii="Arial" w:hAnsi="Arial"/>
                <w:b/>
                <w:sz w:val="18"/>
              </w:rPr>
              <w:t>Pipeline</w:t>
            </w:r>
          </w:p>
        </w:tc>
        <w:tc>
          <w:tcPr>
            <w:tcW w:type="dxa" w:w="1134"/>
          </w:tcPr>
          <w:p>
            <w:r>
              <w:rPr>
                <w:rFonts w:ascii="Arial" w:hAnsi="Arial"/>
                <w:b/>
                <w:sz w:val="18"/>
              </w:rPr>
              <w:t>Metric</w:t>
            </w:r>
          </w:p>
        </w:tc>
        <w:tc>
          <w:tcPr>
            <w:tcW w:type="dxa" w:w="1134"/>
          </w:tcPr>
          <w:p>
            <w:r>
              <w:rPr>
                <w:rFonts w:ascii="Arial" w:hAnsi="Arial"/>
                <w:b/>
                <w:sz w:val="18"/>
              </w:rPr>
              <w:t>τ̂ (d)</w:t>
            </w:r>
          </w:p>
        </w:tc>
        <w:tc>
          <w:tcPr>
            <w:tcW w:type="dxa" w:w="1134"/>
          </w:tcPr>
          <w:p>
            <w:r>
              <w:rPr>
                <w:rFonts w:ascii="Arial" w:hAnsi="Arial"/>
                <w:b/>
                <w:sz w:val="18"/>
              </w:rPr>
              <w:t>SE (d)</w:t>
            </w:r>
          </w:p>
        </w:tc>
        <w:tc>
          <w:tcPr>
            <w:tcW w:type="dxa" w:w="1134"/>
          </w:tcPr>
          <w:p>
            <w:r>
              <w:rPr>
                <w:rFonts w:ascii="Arial" w:hAnsi="Arial"/>
                <w:b/>
                <w:sz w:val="18"/>
              </w:rPr>
              <w:t>MDE 2-sided</w:t>
            </w:r>
          </w:p>
        </w:tc>
        <w:tc>
          <w:tcPr>
            <w:tcW w:type="dxa" w:w="1134"/>
          </w:tcPr>
          <w:p>
            <w:r>
              <w:rPr>
                <w:rFonts w:ascii="Arial" w:hAnsi="Arial"/>
                <w:b/>
                <w:sz w:val="18"/>
              </w:rPr>
              <w:t>MDE 1-sided</w:t>
            </w:r>
          </w:p>
        </w:tc>
        <w:tc>
          <w:tcPr>
            <w:tcW w:type="dxa" w:w="1134"/>
          </w:tcPr>
          <w:p>
            <w:r>
              <w:rPr>
                <w:rFonts w:ascii="Arial" w:hAnsi="Arial"/>
                <w:b/>
                <w:sz w:val="18"/>
              </w:rPr>
              <w:t>|τ̂|/MDE</w:t>
            </w:r>
          </w:p>
        </w:tc>
        <w:tc>
          <w:tcPr>
            <w:tcW w:type="dxa" w:w="1134"/>
          </w:tcPr>
          <w:p>
            <w:r>
              <w:rPr>
                <w:rFonts w:ascii="Arial" w:hAnsi="Arial"/>
                <w:b/>
                <w:sz w:val="18"/>
              </w:rPr>
              <w:t>Detectable</w:t>
            </w:r>
          </w:p>
        </w:tc>
      </w:tr>
      <w:tr>
        <w:tc>
          <w:tcPr>
            <w:tcW w:type="dxa" w:w="1134"/>
          </w:tcPr>
          <w:p>
            <w:r>
              <w:rPr>
                <w:rFonts w:ascii="Arial" w:hAnsi="Arial"/>
                <w:sz w:val="18"/>
              </w:rPr>
              <w:t>raw</w:t>
            </w:r>
          </w:p>
        </w:tc>
        <w:tc>
          <w:tcPr>
            <w:tcW w:type="dxa" w:w="1134"/>
          </w:tcPr>
          <w:p>
            <w:r>
              <w:rPr>
                <w:rFonts w:ascii="Arial" w:hAnsi="Arial"/>
                <w:sz w:val="18"/>
              </w:rPr>
              <w:t>SOS</w:t>
            </w:r>
          </w:p>
        </w:tc>
        <w:tc>
          <w:tcPr>
            <w:tcW w:type="dxa" w:w="1134"/>
          </w:tcPr>
          <w:p>
            <w:r>
              <w:rPr>
                <w:rFonts w:ascii="Arial" w:hAnsi="Arial"/>
                <w:sz w:val="18"/>
              </w:rPr>
              <w:t>15.289</w:t>
            </w:r>
          </w:p>
        </w:tc>
        <w:tc>
          <w:tcPr>
            <w:tcW w:type="dxa" w:w="1134"/>
          </w:tcPr>
          <w:p>
            <w:r>
              <w:rPr>
                <w:rFonts w:ascii="Arial" w:hAnsi="Arial"/>
                <w:sz w:val="18"/>
              </w:rPr>
              <w:t>17.328</w:t>
            </w:r>
          </w:p>
        </w:tc>
        <w:tc>
          <w:tcPr>
            <w:tcW w:type="dxa" w:w="1134"/>
          </w:tcPr>
          <w:p>
            <w:r>
              <w:rPr>
                <w:rFonts w:ascii="Arial" w:hAnsi="Arial"/>
                <w:sz w:val="18"/>
              </w:rPr>
              <w:t>56.501</w:t>
            </w:r>
          </w:p>
        </w:tc>
        <w:tc>
          <w:tcPr>
            <w:tcW w:type="dxa" w:w="1134"/>
          </w:tcPr>
          <w:p>
            <w:r>
              <w:rPr>
                <w:rFonts w:ascii="Arial" w:hAnsi="Arial"/>
                <w:sz w:val="18"/>
              </w:rPr>
              <w:t>48.356</w:t>
            </w:r>
          </w:p>
        </w:tc>
        <w:tc>
          <w:tcPr>
            <w:tcW w:type="dxa" w:w="1134"/>
          </w:tcPr>
          <w:p>
            <w:r>
              <w:rPr>
                <w:rFonts w:ascii="Arial" w:hAnsi="Arial"/>
                <w:sz w:val="18"/>
              </w:rPr>
              <w:t>0.27</w:t>
            </w:r>
          </w:p>
        </w:tc>
        <w:tc>
          <w:tcPr>
            <w:tcW w:type="dxa" w:w="1134"/>
          </w:tcPr>
          <w:p>
            <w:r>
              <w:rPr>
                <w:rFonts w:ascii="Arial" w:hAnsi="Arial"/>
                <w:sz w:val="18"/>
              </w:rPr>
              <w:t>no</w:t>
            </w:r>
          </w:p>
        </w:tc>
      </w:tr>
      <w:tr>
        <w:tc>
          <w:tcPr>
            <w:tcW w:type="dxa" w:w="1134"/>
          </w:tcPr>
          <w:p>
            <w:r>
              <w:rPr>
                <w:rFonts w:ascii="Arial" w:hAnsi="Arial"/>
                <w:sz w:val="18"/>
              </w:rPr>
              <w:t>raw</w:t>
            </w:r>
          </w:p>
        </w:tc>
        <w:tc>
          <w:tcPr>
            <w:tcW w:type="dxa" w:w="1134"/>
          </w:tcPr>
          <w:p>
            <w:r>
              <w:rPr>
                <w:rFonts w:ascii="Arial" w:hAnsi="Arial"/>
                <w:sz w:val="18"/>
              </w:rPr>
              <w:t>POS</w:t>
            </w:r>
          </w:p>
        </w:tc>
        <w:tc>
          <w:tcPr>
            <w:tcW w:type="dxa" w:w="1134"/>
          </w:tcPr>
          <w:p>
            <w:r>
              <w:rPr>
                <w:rFonts w:ascii="Arial" w:hAnsi="Arial"/>
                <w:sz w:val="18"/>
              </w:rPr>
              <w:t>-3.587</w:t>
            </w:r>
          </w:p>
        </w:tc>
        <w:tc>
          <w:tcPr>
            <w:tcW w:type="dxa" w:w="1134"/>
          </w:tcPr>
          <w:p>
            <w:r>
              <w:rPr>
                <w:rFonts w:ascii="Arial" w:hAnsi="Arial"/>
                <w:sz w:val="18"/>
              </w:rPr>
              <w:t>2.882</w:t>
            </w:r>
          </w:p>
        </w:tc>
        <w:tc>
          <w:tcPr>
            <w:tcW w:type="dxa" w:w="1134"/>
          </w:tcPr>
          <w:p>
            <w:r>
              <w:rPr>
                <w:rFonts w:ascii="Arial" w:hAnsi="Arial"/>
                <w:sz w:val="18"/>
              </w:rPr>
              <w:t>9.397</w:t>
            </w:r>
          </w:p>
        </w:tc>
        <w:tc>
          <w:tcPr>
            <w:tcW w:type="dxa" w:w="1134"/>
          </w:tcPr>
          <w:p>
            <w:r>
              <w:rPr>
                <w:rFonts w:ascii="Arial" w:hAnsi="Arial"/>
                <w:sz w:val="18"/>
              </w:rPr>
              <w:t>8.043</w:t>
            </w:r>
          </w:p>
        </w:tc>
        <w:tc>
          <w:tcPr>
            <w:tcW w:type="dxa" w:w="1134"/>
          </w:tcPr>
          <w:p>
            <w:r>
              <w:rPr>
                <w:rFonts w:ascii="Arial" w:hAnsi="Arial"/>
                <w:sz w:val="18"/>
              </w:rPr>
              <w:t>0.38</w:t>
            </w:r>
          </w:p>
        </w:tc>
        <w:tc>
          <w:tcPr>
            <w:tcW w:type="dxa" w:w="1134"/>
          </w:tcPr>
          <w:p>
            <w:r>
              <w:rPr>
                <w:rFonts w:ascii="Arial" w:hAnsi="Arial"/>
                <w:sz w:val="18"/>
              </w:rPr>
              <w:t>no</w:t>
            </w:r>
          </w:p>
        </w:tc>
      </w:tr>
      <w:tr>
        <w:tc>
          <w:tcPr>
            <w:tcW w:type="dxa" w:w="1134"/>
          </w:tcPr>
          <w:p>
            <w:r>
              <w:rPr>
                <w:rFonts w:ascii="Arial" w:hAnsi="Arial"/>
                <w:sz w:val="18"/>
              </w:rPr>
              <w:t>raw</w:t>
            </w:r>
          </w:p>
        </w:tc>
        <w:tc>
          <w:tcPr>
            <w:tcW w:type="dxa" w:w="1134"/>
          </w:tcPr>
          <w:p>
            <w:r>
              <w:rPr>
                <w:rFonts w:ascii="Arial" w:hAnsi="Arial"/>
                <w:sz w:val="18"/>
              </w:rPr>
              <w:t>EOS</w:t>
            </w:r>
          </w:p>
        </w:tc>
        <w:tc>
          <w:tcPr>
            <w:tcW w:type="dxa" w:w="1134"/>
          </w:tcPr>
          <w:p>
            <w:r>
              <w:rPr>
                <w:rFonts w:ascii="Arial" w:hAnsi="Arial"/>
                <w:sz w:val="18"/>
              </w:rPr>
              <w:t>-0.000</w:t>
            </w:r>
          </w:p>
        </w:tc>
        <w:tc>
          <w:tcPr>
            <w:tcW w:type="dxa" w:w="1134"/>
          </w:tcPr>
          <w:p>
            <w:r>
              <w:rPr>
                <w:rFonts w:ascii="Arial" w:hAnsi="Arial"/>
                <w:sz w:val="18"/>
              </w:rPr>
              <w:t>0.000</w:t>
            </w:r>
          </w:p>
        </w:tc>
        <w:tc>
          <w:tcPr>
            <w:tcW w:type="dxa" w:w="1134"/>
          </w:tcPr>
          <w:p>
            <w:r>
              <w:rPr>
                <w:rFonts w:ascii="Arial" w:hAnsi="Arial"/>
                <w:sz w:val="18"/>
              </w:rPr>
              <w:t>0.000</w:t>
            </w:r>
          </w:p>
        </w:tc>
        <w:tc>
          <w:tcPr>
            <w:tcW w:type="dxa" w:w="1134"/>
          </w:tcPr>
          <w:p>
            <w:r>
              <w:rPr>
                <w:rFonts w:ascii="Arial" w:hAnsi="Arial"/>
                <w:sz w:val="18"/>
              </w:rPr>
              <w:t>0.000</w:t>
            </w:r>
          </w:p>
        </w:tc>
        <w:tc>
          <w:tcPr>
            <w:tcW w:type="dxa" w:w="1134"/>
          </w:tcPr>
          <w:p>
            <w:r>
              <w:rPr>
                <w:rFonts w:ascii="Arial" w:hAnsi="Arial"/>
                <w:sz w:val="18"/>
              </w:rPr>
              <w:t>nan</w:t>
            </w:r>
          </w:p>
        </w:tc>
        <w:tc>
          <w:tcPr>
            <w:tcW w:type="dxa" w:w="1134"/>
          </w:tcPr>
          <w:p>
            <w:r>
              <w:rPr>
                <w:rFonts w:ascii="Arial" w:hAnsi="Arial"/>
                <w:sz w:val="18"/>
              </w:rPr>
              <w:t>yes</w:t>
            </w:r>
          </w:p>
        </w:tc>
      </w:tr>
      <w:tr>
        <w:tc>
          <w:tcPr>
            <w:tcW w:type="dxa" w:w="1134"/>
          </w:tcPr>
          <w:p>
            <w:r>
              <w:rPr>
                <w:rFonts w:ascii="Arial" w:hAnsi="Arial"/>
                <w:sz w:val="18"/>
              </w:rPr>
              <w:t>corrected</w:t>
            </w:r>
          </w:p>
        </w:tc>
        <w:tc>
          <w:tcPr>
            <w:tcW w:type="dxa" w:w="1134"/>
          </w:tcPr>
          <w:p>
            <w:r>
              <w:rPr>
                <w:rFonts w:ascii="Arial" w:hAnsi="Arial"/>
                <w:sz w:val="18"/>
              </w:rPr>
              <w:t>SOS</w:t>
            </w:r>
          </w:p>
        </w:tc>
        <w:tc>
          <w:tcPr>
            <w:tcW w:type="dxa" w:w="1134"/>
          </w:tcPr>
          <w:p>
            <w:r>
              <w:rPr>
                <w:rFonts w:ascii="Arial" w:hAnsi="Arial"/>
                <w:sz w:val="18"/>
              </w:rPr>
              <w:t>15.108</w:t>
            </w:r>
          </w:p>
        </w:tc>
        <w:tc>
          <w:tcPr>
            <w:tcW w:type="dxa" w:w="1134"/>
          </w:tcPr>
          <w:p>
            <w:r>
              <w:rPr>
                <w:rFonts w:ascii="Arial" w:hAnsi="Arial"/>
                <w:sz w:val="18"/>
              </w:rPr>
              <w:t>17.312</w:t>
            </w:r>
          </w:p>
        </w:tc>
        <w:tc>
          <w:tcPr>
            <w:tcW w:type="dxa" w:w="1134"/>
          </w:tcPr>
          <w:p>
            <w:r>
              <w:rPr>
                <w:rFonts w:ascii="Arial" w:hAnsi="Arial"/>
                <w:sz w:val="18"/>
              </w:rPr>
              <w:t>56.448</w:t>
            </w:r>
          </w:p>
        </w:tc>
        <w:tc>
          <w:tcPr>
            <w:tcW w:type="dxa" w:w="1134"/>
          </w:tcPr>
          <w:p>
            <w:r>
              <w:rPr>
                <w:rFonts w:ascii="Arial" w:hAnsi="Arial"/>
                <w:sz w:val="18"/>
              </w:rPr>
              <w:t>48.311</w:t>
            </w:r>
          </w:p>
        </w:tc>
        <w:tc>
          <w:tcPr>
            <w:tcW w:type="dxa" w:w="1134"/>
          </w:tcPr>
          <w:p>
            <w:r>
              <w:rPr>
                <w:rFonts w:ascii="Arial" w:hAnsi="Arial"/>
                <w:sz w:val="18"/>
              </w:rPr>
              <w:t>0.27</w:t>
            </w:r>
          </w:p>
        </w:tc>
        <w:tc>
          <w:tcPr>
            <w:tcW w:type="dxa" w:w="1134"/>
          </w:tcPr>
          <w:p>
            <w:r>
              <w:rPr>
                <w:rFonts w:ascii="Arial" w:hAnsi="Arial"/>
                <w:sz w:val="18"/>
              </w:rPr>
              <w:t>no</w:t>
            </w:r>
          </w:p>
        </w:tc>
      </w:tr>
      <w:tr>
        <w:tc>
          <w:tcPr>
            <w:tcW w:type="dxa" w:w="1134"/>
          </w:tcPr>
          <w:p>
            <w:r>
              <w:rPr>
                <w:rFonts w:ascii="Arial" w:hAnsi="Arial"/>
                <w:sz w:val="18"/>
              </w:rPr>
              <w:t>corrected</w:t>
            </w:r>
          </w:p>
        </w:tc>
        <w:tc>
          <w:tcPr>
            <w:tcW w:type="dxa" w:w="1134"/>
          </w:tcPr>
          <w:p>
            <w:r>
              <w:rPr>
                <w:rFonts w:ascii="Arial" w:hAnsi="Arial"/>
                <w:sz w:val="18"/>
              </w:rPr>
              <w:t>POS</w:t>
            </w:r>
          </w:p>
        </w:tc>
        <w:tc>
          <w:tcPr>
            <w:tcW w:type="dxa" w:w="1134"/>
          </w:tcPr>
          <w:p>
            <w:r>
              <w:rPr>
                <w:rFonts w:ascii="Arial" w:hAnsi="Arial"/>
                <w:sz w:val="18"/>
              </w:rPr>
              <w:t>-3.677</w:t>
            </w:r>
          </w:p>
        </w:tc>
        <w:tc>
          <w:tcPr>
            <w:tcW w:type="dxa" w:w="1134"/>
          </w:tcPr>
          <w:p>
            <w:r>
              <w:rPr>
                <w:rFonts w:ascii="Arial" w:hAnsi="Arial"/>
                <w:sz w:val="18"/>
              </w:rPr>
              <w:t>2.897</w:t>
            </w:r>
          </w:p>
        </w:tc>
        <w:tc>
          <w:tcPr>
            <w:tcW w:type="dxa" w:w="1134"/>
          </w:tcPr>
          <w:p>
            <w:r>
              <w:rPr>
                <w:rFonts w:ascii="Arial" w:hAnsi="Arial"/>
                <w:sz w:val="18"/>
              </w:rPr>
              <w:t>9.446</w:t>
            </w:r>
          </w:p>
        </w:tc>
        <w:tc>
          <w:tcPr>
            <w:tcW w:type="dxa" w:w="1134"/>
          </w:tcPr>
          <w:p>
            <w:r>
              <w:rPr>
                <w:rFonts w:ascii="Arial" w:hAnsi="Arial"/>
                <w:sz w:val="18"/>
              </w:rPr>
              <w:t>8.084</w:t>
            </w:r>
          </w:p>
        </w:tc>
        <w:tc>
          <w:tcPr>
            <w:tcW w:type="dxa" w:w="1134"/>
          </w:tcPr>
          <w:p>
            <w:r>
              <w:rPr>
                <w:rFonts w:ascii="Arial" w:hAnsi="Arial"/>
                <w:sz w:val="18"/>
              </w:rPr>
              <w:t>0.39</w:t>
            </w:r>
          </w:p>
        </w:tc>
        <w:tc>
          <w:tcPr>
            <w:tcW w:type="dxa" w:w="1134"/>
          </w:tcPr>
          <w:p>
            <w:r>
              <w:rPr>
                <w:rFonts w:ascii="Arial" w:hAnsi="Arial"/>
                <w:sz w:val="18"/>
              </w:rPr>
              <w:t>no</w:t>
            </w:r>
          </w:p>
        </w:tc>
      </w:tr>
      <w:tr>
        <w:tc>
          <w:tcPr>
            <w:tcW w:type="dxa" w:w="1134"/>
          </w:tcPr>
          <w:p>
            <w:r>
              <w:rPr>
                <w:rFonts w:ascii="Arial" w:hAnsi="Arial"/>
                <w:sz w:val="18"/>
              </w:rPr>
              <w:t>corrected</w:t>
            </w:r>
          </w:p>
        </w:tc>
        <w:tc>
          <w:tcPr>
            <w:tcW w:type="dxa" w:w="1134"/>
          </w:tcPr>
          <w:p>
            <w:r>
              <w:rPr>
                <w:rFonts w:ascii="Arial" w:hAnsi="Arial"/>
                <w:sz w:val="18"/>
              </w:rPr>
              <w:t>EOS</w:t>
            </w:r>
          </w:p>
        </w:tc>
        <w:tc>
          <w:tcPr>
            <w:tcW w:type="dxa" w:w="1134"/>
          </w:tcPr>
          <w:p>
            <w:r>
              <w:rPr>
                <w:rFonts w:ascii="Arial" w:hAnsi="Arial"/>
                <w:sz w:val="18"/>
              </w:rPr>
              <w:t>-0.239</w:t>
            </w:r>
          </w:p>
        </w:tc>
        <w:tc>
          <w:tcPr>
            <w:tcW w:type="dxa" w:w="1134"/>
          </w:tcPr>
          <w:p>
            <w:r>
              <w:rPr>
                <w:rFonts w:ascii="Arial" w:hAnsi="Arial"/>
                <w:sz w:val="18"/>
              </w:rPr>
              <w:t>0.169</w:t>
            </w:r>
          </w:p>
        </w:tc>
        <w:tc>
          <w:tcPr>
            <w:tcW w:type="dxa" w:w="1134"/>
          </w:tcPr>
          <w:p>
            <w:r>
              <w:rPr>
                <w:rFonts w:ascii="Arial" w:hAnsi="Arial"/>
                <w:sz w:val="18"/>
              </w:rPr>
              <w:t>0.551</w:t>
            </w:r>
          </w:p>
        </w:tc>
        <w:tc>
          <w:tcPr>
            <w:tcW w:type="dxa" w:w="1134"/>
          </w:tcPr>
          <w:p>
            <w:r>
              <w:rPr>
                <w:rFonts w:ascii="Arial" w:hAnsi="Arial"/>
                <w:sz w:val="18"/>
              </w:rPr>
              <w:t>0.472</w:t>
            </w:r>
          </w:p>
        </w:tc>
        <w:tc>
          <w:tcPr>
            <w:tcW w:type="dxa" w:w="1134"/>
          </w:tcPr>
          <w:p>
            <w:r>
              <w:rPr>
                <w:rFonts w:ascii="Arial" w:hAnsi="Arial"/>
                <w:sz w:val="18"/>
              </w:rPr>
              <w:t>0.43</w:t>
            </w:r>
          </w:p>
        </w:tc>
        <w:tc>
          <w:tcPr>
            <w:tcW w:type="dxa" w:w="1134"/>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27058" w:name="table_s7"/>
      <w:r>
        <w:rPr>
          <w:rFonts w:ascii="Arial" w:hAnsi="Arial"/>
          <w:b/>
          <w:color w:val="1F3A5F"/>
          <w:sz w:val="32"/>
        </w:rPr>
        <w:t>Table S7 — Placebo / falsification</w:t>
      </w:r>
      <w:bookmarkEnd w:id="27058"/>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LightGrid-Accent1"/>
        <w:tblW w:type="dxa" w:w="9072"/>
        <w:tblLook w:firstColumn="1" w:firstRow="1" w:lastColumn="0" w:lastRow="0" w:noHBand="0" w:noVBand="1" w:val="04A0"/>
        <w:tblLayout w:type="autofit"/>
      </w:tblPr>
      <w:tblGrid>
        <w:gridCol w:w="907"/>
        <w:gridCol w:w="907"/>
        <w:gridCol w:w="907"/>
        <w:gridCol w:w="907"/>
        <w:gridCol w:w="907"/>
        <w:gridCol w:w="907"/>
        <w:gridCol w:w="907"/>
        <w:gridCol w:w="907"/>
        <w:gridCol w:w="907"/>
        <w:gridCol w:w="909"/>
      </w:tblGrid>
      <w:tr>
        <w:tc>
          <w:tcPr>
            <w:tcW w:type="dxa" w:w="907"/>
          </w:tcPr>
          <w:p>
            <w:r>
              <w:rPr>
                <w:rFonts w:ascii="Arial" w:hAnsi="Arial"/>
                <w:b/>
                <w:sz w:val="18"/>
              </w:rPr>
              <w:t>Pipeline</w:t>
            </w:r>
          </w:p>
        </w:tc>
        <w:tc>
          <w:tcPr>
            <w:tcW w:type="dxa" w:w="907"/>
          </w:tcPr>
          <w:p>
            <w:r>
              <w:rPr>
                <w:rFonts w:ascii="Arial" w:hAnsi="Arial"/>
                <w:b/>
                <w:sz w:val="18"/>
              </w:rPr>
              <w:t>Metric</w:t>
            </w:r>
          </w:p>
        </w:tc>
        <w:tc>
          <w:tcPr>
            <w:tcW w:type="dxa" w:w="907"/>
          </w:tcPr>
          <w:p>
            <w:r>
              <w:rPr>
                <w:rFonts w:ascii="Arial" w:hAnsi="Arial"/>
                <w:b/>
                <w:sz w:val="18"/>
              </w:rPr>
              <w:t>τ̂ real</w:t>
            </w:r>
          </w:p>
        </w:tc>
        <w:tc>
          <w:tcPr>
            <w:tcW w:type="dxa" w:w="907"/>
          </w:tcPr>
          <w:p>
            <w:r>
              <w:rPr>
                <w:rFonts w:ascii="Arial" w:hAnsi="Arial"/>
                <w:b/>
                <w:sz w:val="18"/>
              </w:rPr>
              <w:t>median τ_p</w:t>
            </w:r>
          </w:p>
        </w:tc>
        <w:tc>
          <w:tcPr>
            <w:tcW w:type="dxa" w:w="907"/>
          </w:tcPr>
          <w:p>
            <w:r>
              <w:rPr>
                <w:rFonts w:ascii="Arial" w:hAnsi="Arial"/>
                <w:b/>
                <w:sz w:val="18"/>
              </w:rPr>
              <w:t>p05 τ_p</w:t>
            </w:r>
          </w:p>
        </w:tc>
        <w:tc>
          <w:tcPr>
            <w:tcW w:type="dxa" w:w="907"/>
          </w:tcPr>
          <w:p>
            <w:r>
              <w:rPr>
                <w:rFonts w:ascii="Arial" w:hAnsi="Arial"/>
                <w:b/>
                <w:sz w:val="18"/>
              </w:rPr>
              <w:t>p95 τ_p</w:t>
            </w:r>
          </w:p>
        </w:tc>
        <w:tc>
          <w:tcPr>
            <w:tcW w:type="dxa" w:w="907"/>
          </w:tcPr>
          <w:p>
            <w:r>
              <w:rPr>
                <w:rFonts w:ascii="Arial" w:hAnsi="Arial"/>
                <w:b/>
                <w:sz w:val="18"/>
              </w:rPr>
              <w:t>max |τ_p|</w:t>
            </w:r>
          </w:p>
        </w:tc>
        <w:tc>
          <w:tcPr>
            <w:tcW w:type="dxa" w:w="907"/>
          </w:tcPr>
          <w:p>
            <w:r>
              <w:rPr>
                <w:rFonts w:ascii="Arial" w:hAnsi="Arial"/>
                <w:b/>
                <w:sz w:val="18"/>
              </w:rPr>
              <w:t>n extreme</w:t>
            </w:r>
          </w:p>
        </w:tc>
        <w:tc>
          <w:tcPr>
            <w:tcW w:type="dxa" w:w="907"/>
          </w:tcPr>
          <w:p>
            <w:r>
              <w:rPr>
                <w:rFonts w:ascii="Arial" w:hAnsi="Arial"/>
                <w:b/>
                <w:sz w:val="18"/>
              </w:rPr>
              <w:t>p_perm</w:t>
            </w:r>
          </w:p>
        </w:tc>
        <w:tc>
          <w:tcPr>
            <w:tcW w:type="dxa" w:w="909"/>
          </w:tcPr>
          <w:p>
            <w:r>
              <w:rPr>
                <w:rFonts w:ascii="Arial" w:hAnsi="Arial"/>
                <w:b/>
                <w:sz w:val="18"/>
              </w:rPr>
              <w:t>Verdict</w:t>
            </w:r>
          </w:p>
        </w:tc>
      </w:tr>
      <w:tr>
        <w:tc>
          <w:tcPr>
            <w:tcW w:type="dxa" w:w="907"/>
          </w:tcPr>
          <w:p>
            <w:r>
              <w:rPr>
                <w:rFonts w:ascii="Arial" w:hAnsi="Arial"/>
                <w:sz w:val="18"/>
              </w:rPr>
              <w:t>raw</w:t>
            </w:r>
          </w:p>
        </w:tc>
        <w:tc>
          <w:tcPr>
            <w:tcW w:type="dxa" w:w="907"/>
          </w:tcPr>
          <w:p>
            <w:r>
              <w:rPr>
                <w:rFonts w:ascii="Arial" w:hAnsi="Arial"/>
                <w:sz w:val="18"/>
              </w:rPr>
              <w:t>SOS</w:t>
            </w:r>
          </w:p>
        </w:tc>
        <w:tc>
          <w:tcPr>
            <w:tcW w:type="dxa" w:w="907"/>
          </w:tcPr>
          <w:p>
            <w:r>
              <w:rPr>
                <w:rFonts w:ascii="Arial" w:hAnsi="Arial"/>
                <w:sz w:val="18"/>
              </w:rPr>
              <w:t>+15.29</w:t>
            </w:r>
          </w:p>
        </w:tc>
        <w:tc>
          <w:tcPr>
            <w:tcW w:type="dxa" w:w="907"/>
          </w:tcPr>
          <w:p>
            <w:r>
              <w:rPr>
                <w:rFonts w:ascii="Arial" w:hAnsi="Arial"/>
                <w:sz w:val="18"/>
              </w:rPr>
              <w:t>-1.14</w:t>
            </w:r>
          </w:p>
        </w:tc>
        <w:tc>
          <w:tcPr>
            <w:tcW w:type="dxa" w:w="907"/>
          </w:tcPr>
          <w:p>
            <w:r>
              <w:rPr>
                <w:rFonts w:ascii="Arial" w:hAnsi="Arial"/>
                <w:sz w:val="18"/>
              </w:rPr>
              <w:t>-32.50</w:t>
            </w:r>
          </w:p>
        </w:tc>
        <w:tc>
          <w:tcPr>
            <w:tcW w:type="dxa" w:w="907"/>
          </w:tcPr>
          <w:p>
            <w:r>
              <w:rPr>
                <w:rFonts w:ascii="Arial" w:hAnsi="Arial"/>
                <w:sz w:val="18"/>
              </w:rPr>
              <w:t>+28.76</w:t>
            </w:r>
          </w:p>
        </w:tc>
        <w:tc>
          <w:tcPr>
            <w:tcW w:type="dxa" w:w="907"/>
          </w:tcPr>
          <w:p>
            <w:r>
              <w:rPr>
                <w:rFonts w:ascii="Arial" w:hAnsi="Arial"/>
                <w:sz w:val="18"/>
              </w:rPr>
              <w:t>+43.45</w:t>
            </w:r>
          </w:p>
        </w:tc>
        <w:tc>
          <w:tcPr>
            <w:tcW w:type="dxa" w:w="907"/>
          </w:tcPr>
          <w:p>
            <w:r>
              <w:rPr>
                <w:rFonts w:ascii="Arial" w:hAnsi="Arial"/>
                <w:sz w:val="18"/>
              </w:rPr>
              <w:t>27</w:t>
            </w:r>
          </w:p>
        </w:tc>
        <w:tc>
          <w:tcPr>
            <w:tcW w:type="dxa" w:w="907"/>
          </w:tcPr>
          <w:p>
            <w:r>
              <w:rPr>
                <w:rFonts w:ascii="Arial" w:hAnsi="Arial"/>
                <w:sz w:val="18"/>
              </w:rPr>
              <w:t>0.5000</w:t>
            </w:r>
          </w:p>
        </w:tc>
        <w:tc>
          <w:tcPr>
            <w:tcW w:type="dxa" w:w="909"/>
          </w:tcPr>
          <w:p>
            <w:r>
              <w:rPr>
                <w:rFonts w:ascii="Arial" w:hAnsi="Arial"/>
                <w:sz w:val="18"/>
              </w:rPr>
              <w:t>fails</w:t>
            </w:r>
          </w:p>
        </w:tc>
      </w:tr>
      <w:tr>
        <w:tc>
          <w:tcPr>
            <w:tcW w:type="dxa" w:w="907"/>
          </w:tcPr>
          <w:p>
            <w:r>
              <w:rPr>
                <w:rFonts w:ascii="Arial" w:hAnsi="Arial"/>
                <w:sz w:val="18"/>
              </w:rPr>
              <w:t>raw</w:t>
            </w:r>
          </w:p>
        </w:tc>
        <w:tc>
          <w:tcPr>
            <w:tcW w:type="dxa" w:w="907"/>
          </w:tcPr>
          <w:p>
            <w:r>
              <w:rPr>
                <w:rFonts w:ascii="Arial" w:hAnsi="Arial"/>
                <w:sz w:val="18"/>
              </w:rPr>
              <w:t>POS</w:t>
            </w:r>
          </w:p>
        </w:tc>
        <w:tc>
          <w:tcPr>
            <w:tcW w:type="dxa" w:w="907"/>
          </w:tcPr>
          <w:p>
            <w:r>
              <w:rPr>
                <w:rFonts w:ascii="Arial" w:hAnsi="Arial"/>
                <w:sz w:val="18"/>
              </w:rPr>
              <w:t>-3.59</w:t>
            </w:r>
          </w:p>
        </w:tc>
        <w:tc>
          <w:tcPr>
            <w:tcW w:type="dxa" w:w="907"/>
          </w:tcPr>
          <w:p>
            <w:r>
              <w:rPr>
                <w:rFonts w:ascii="Arial" w:hAnsi="Arial"/>
                <w:sz w:val="18"/>
              </w:rPr>
              <w:t>-0.28</w:t>
            </w:r>
          </w:p>
        </w:tc>
        <w:tc>
          <w:tcPr>
            <w:tcW w:type="dxa" w:w="907"/>
          </w:tcPr>
          <w:p>
            <w:r>
              <w:rPr>
                <w:rFonts w:ascii="Arial" w:hAnsi="Arial"/>
                <w:sz w:val="18"/>
              </w:rPr>
              <w:t>-4.80</w:t>
            </w:r>
          </w:p>
        </w:tc>
        <w:tc>
          <w:tcPr>
            <w:tcW w:type="dxa" w:w="907"/>
          </w:tcPr>
          <w:p>
            <w:r>
              <w:rPr>
                <w:rFonts w:ascii="Arial" w:hAnsi="Arial"/>
                <w:sz w:val="18"/>
              </w:rPr>
              <w:t>+4.58</w:t>
            </w:r>
          </w:p>
        </w:tc>
        <w:tc>
          <w:tcPr>
            <w:tcW w:type="dxa" w:w="907"/>
          </w:tcPr>
          <w:p>
            <w:r>
              <w:rPr>
                <w:rFonts w:ascii="Arial" w:hAnsi="Arial"/>
                <w:sz w:val="18"/>
              </w:rPr>
              <w:t>+6.12</w:t>
            </w:r>
          </w:p>
        </w:tc>
        <w:tc>
          <w:tcPr>
            <w:tcW w:type="dxa" w:w="907"/>
          </w:tcPr>
          <w:p>
            <w:r>
              <w:rPr>
                <w:rFonts w:ascii="Arial" w:hAnsi="Arial"/>
                <w:sz w:val="18"/>
              </w:rPr>
              <w:t>15</w:t>
            </w:r>
          </w:p>
        </w:tc>
        <w:tc>
          <w:tcPr>
            <w:tcW w:type="dxa" w:w="907"/>
          </w:tcPr>
          <w:p>
            <w:r>
              <w:rPr>
                <w:rFonts w:ascii="Arial" w:hAnsi="Arial"/>
                <w:sz w:val="18"/>
              </w:rPr>
              <w:t>0.2857</w:t>
            </w:r>
          </w:p>
        </w:tc>
        <w:tc>
          <w:tcPr>
            <w:tcW w:type="dxa" w:w="909"/>
          </w:tcPr>
          <w:p>
            <w:r>
              <w:rPr>
                <w:rFonts w:ascii="Arial" w:hAnsi="Arial"/>
                <w:sz w:val="18"/>
              </w:rPr>
              <w:t>fails</w:t>
            </w:r>
          </w:p>
        </w:tc>
      </w:tr>
      <w:tr>
        <w:tc>
          <w:tcPr>
            <w:tcW w:type="dxa" w:w="907"/>
          </w:tcPr>
          <w:p>
            <w:r>
              <w:rPr>
                <w:rFonts w:ascii="Arial" w:hAnsi="Arial"/>
                <w:sz w:val="18"/>
              </w:rPr>
              <w:t>raw</w:t>
            </w:r>
          </w:p>
        </w:tc>
        <w:tc>
          <w:tcPr>
            <w:tcW w:type="dxa" w:w="907"/>
          </w:tcPr>
          <w:p>
            <w:r>
              <w:rPr>
                <w:rFonts w:ascii="Arial" w:hAnsi="Arial"/>
                <w:sz w:val="18"/>
              </w:rPr>
              <w:t>EOS</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0</w:t>
            </w:r>
          </w:p>
        </w:tc>
        <w:tc>
          <w:tcPr>
            <w:tcW w:type="dxa" w:w="907"/>
          </w:tcPr>
          <w:p>
            <w:r>
              <w:rPr>
                <w:rFonts w:ascii="Arial" w:hAnsi="Arial"/>
                <w:sz w:val="18"/>
              </w:rPr>
              <w:t>0.0179</w:t>
            </w:r>
          </w:p>
        </w:tc>
        <w:tc>
          <w:tcPr>
            <w:tcW w:type="dxa" w:w="909"/>
          </w:tcPr>
          <w:p>
            <w:r>
              <w:rPr>
                <w:rFonts w:ascii="Arial" w:hAnsi="Arial"/>
                <w:sz w:val="18"/>
              </w:rPr>
              <w:t>passes</w:t>
            </w:r>
          </w:p>
        </w:tc>
      </w:tr>
      <w:tr>
        <w:tc>
          <w:tcPr>
            <w:tcW w:type="dxa" w:w="907"/>
          </w:tcPr>
          <w:p>
            <w:r>
              <w:rPr>
                <w:rFonts w:ascii="Arial" w:hAnsi="Arial"/>
                <w:sz w:val="18"/>
              </w:rPr>
              <w:t>corrected</w:t>
            </w:r>
          </w:p>
        </w:tc>
        <w:tc>
          <w:tcPr>
            <w:tcW w:type="dxa" w:w="907"/>
          </w:tcPr>
          <w:p>
            <w:r>
              <w:rPr>
                <w:rFonts w:ascii="Arial" w:hAnsi="Arial"/>
                <w:sz w:val="18"/>
              </w:rPr>
              <w:t>SOS</w:t>
            </w:r>
          </w:p>
        </w:tc>
        <w:tc>
          <w:tcPr>
            <w:tcW w:type="dxa" w:w="907"/>
          </w:tcPr>
          <w:p>
            <w:r>
              <w:rPr>
                <w:rFonts w:ascii="Arial" w:hAnsi="Arial"/>
                <w:sz w:val="18"/>
              </w:rPr>
              <w:t>+15.11</w:t>
            </w:r>
          </w:p>
        </w:tc>
        <w:tc>
          <w:tcPr>
            <w:tcW w:type="dxa" w:w="907"/>
          </w:tcPr>
          <w:p>
            <w:r>
              <w:rPr>
                <w:rFonts w:ascii="Arial" w:hAnsi="Arial"/>
                <w:sz w:val="18"/>
              </w:rPr>
              <w:t>-1.16</w:t>
            </w:r>
          </w:p>
        </w:tc>
        <w:tc>
          <w:tcPr>
            <w:tcW w:type="dxa" w:w="907"/>
          </w:tcPr>
          <w:p>
            <w:r>
              <w:rPr>
                <w:rFonts w:ascii="Arial" w:hAnsi="Arial"/>
                <w:sz w:val="18"/>
              </w:rPr>
              <w:t>-32.47</w:t>
            </w:r>
          </w:p>
        </w:tc>
        <w:tc>
          <w:tcPr>
            <w:tcW w:type="dxa" w:w="907"/>
          </w:tcPr>
          <w:p>
            <w:r>
              <w:rPr>
                <w:rFonts w:ascii="Arial" w:hAnsi="Arial"/>
                <w:sz w:val="18"/>
              </w:rPr>
              <w:t>+28.68</w:t>
            </w:r>
          </w:p>
        </w:tc>
        <w:tc>
          <w:tcPr>
            <w:tcW w:type="dxa" w:w="907"/>
          </w:tcPr>
          <w:p>
            <w:r>
              <w:rPr>
                <w:rFonts w:ascii="Arial" w:hAnsi="Arial"/>
                <w:sz w:val="18"/>
              </w:rPr>
              <w:t>+43.44</w:t>
            </w:r>
          </w:p>
        </w:tc>
        <w:tc>
          <w:tcPr>
            <w:tcW w:type="dxa" w:w="907"/>
          </w:tcPr>
          <w:p>
            <w:r>
              <w:rPr>
                <w:rFonts w:ascii="Arial" w:hAnsi="Arial"/>
                <w:sz w:val="18"/>
              </w:rPr>
              <w:t>27</w:t>
            </w:r>
          </w:p>
        </w:tc>
        <w:tc>
          <w:tcPr>
            <w:tcW w:type="dxa" w:w="907"/>
          </w:tcPr>
          <w:p>
            <w:r>
              <w:rPr>
                <w:rFonts w:ascii="Arial" w:hAnsi="Arial"/>
                <w:sz w:val="18"/>
              </w:rPr>
              <w:t>0.5000</w:t>
            </w:r>
          </w:p>
        </w:tc>
        <w:tc>
          <w:tcPr>
            <w:tcW w:type="dxa" w:w="909"/>
          </w:tcPr>
          <w:p>
            <w:r>
              <w:rPr>
                <w:rFonts w:ascii="Arial" w:hAnsi="Arial"/>
                <w:sz w:val="18"/>
              </w:rPr>
              <w:t>fails</w:t>
            </w:r>
          </w:p>
        </w:tc>
      </w:tr>
      <w:tr>
        <w:tc>
          <w:tcPr>
            <w:tcW w:type="dxa" w:w="907"/>
          </w:tcPr>
          <w:p>
            <w:r>
              <w:rPr>
                <w:rFonts w:ascii="Arial" w:hAnsi="Arial"/>
                <w:sz w:val="18"/>
              </w:rPr>
              <w:t>corrected</w:t>
            </w:r>
          </w:p>
        </w:tc>
        <w:tc>
          <w:tcPr>
            <w:tcW w:type="dxa" w:w="907"/>
          </w:tcPr>
          <w:p>
            <w:r>
              <w:rPr>
                <w:rFonts w:ascii="Arial" w:hAnsi="Arial"/>
                <w:sz w:val="18"/>
              </w:rPr>
              <w:t>POS</w:t>
            </w:r>
          </w:p>
        </w:tc>
        <w:tc>
          <w:tcPr>
            <w:tcW w:type="dxa" w:w="907"/>
          </w:tcPr>
          <w:p>
            <w:r>
              <w:rPr>
                <w:rFonts w:ascii="Arial" w:hAnsi="Arial"/>
                <w:sz w:val="18"/>
              </w:rPr>
              <w:t>-3.68</w:t>
            </w:r>
          </w:p>
        </w:tc>
        <w:tc>
          <w:tcPr>
            <w:tcW w:type="dxa" w:w="907"/>
          </w:tcPr>
          <w:p>
            <w:r>
              <w:rPr>
                <w:rFonts w:ascii="Arial" w:hAnsi="Arial"/>
                <w:sz w:val="18"/>
              </w:rPr>
              <w:t>-0.29</w:t>
            </w:r>
          </w:p>
        </w:tc>
        <w:tc>
          <w:tcPr>
            <w:tcW w:type="dxa" w:w="907"/>
          </w:tcPr>
          <w:p>
            <w:r>
              <w:rPr>
                <w:rFonts w:ascii="Arial" w:hAnsi="Arial"/>
                <w:sz w:val="18"/>
              </w:rPr>
              <w:t>-4.78</w:t>
            </w:r>
          </w:p>
        </w:tc>
        <w:tc>
          <w:tcPr>
            <w:tcW w:type="dxa" w:w="907"/>
          </w:tcPr>
          <w:p>
            <w:r>
              <w:rPr>
                <w:rFonts w:ascii="Arial" w:hAnsi="Arial"/>
                <w:sz w:val="18"/>
              </w:rPr>
              <w:t>+4.65</w:t>
            </w:r>
          </w:p>
        </w:tc>
        <w:tc>
          <w:tcPr>
            <w:tcW w:type="dxa" w:w="907"/>
          </w:tcPr>
          <w:p>
            <w:r>
              <w:rPr>
                <w:rFonts w:ascii="Arial" w:hAnsi="Arial"/>
                <w:sz w:val="18"/>
              </w:rPr>
              <w:t>+6.17</w:t>
            </w:r>
          </w:p>
        </w:tc>
        <w:tc>
          <w:tcPr>
            <w:tcW w:type="dxa" w:w="907"/>
          </w:tcPr>
          <w:p>
            <w:r>
              <w:rPr>
                <w:rFonts w:ascii="Arial" w:hAnsi="Arial"/>
                <w:sz w:val="18"/>
              </w:rPr>
              <w:t>14</w:t>
            </w:r>
          </w:p>
        </w:tc>
        <w:tc>
          <w:tcPr>
            <w:tcW w:type="dxa" w:w="907"/>
          </w:tcPr>
          <w:p>
            <w:r>
              <w:rPr>
                <w:rFonts w:ascii="Arial" w:hAnsi="Arial"/>
                <w:sz w:val="18"/>
              </w:rPr>
              <w:t>0.2679</w:t>
            </w:r>
          </w:p>
        </w:tc>
        <w:tc>
          <w:tcPr>
            <w:tcW w:type="dxa" w:w="909"/>
          </w:tcPr>
          <w:p>
            <w:r>
              <w:rPr>
                <w:rFonts w:ascii="Arial" w:hAnsi="Arial"/>
                <w:sz w:val="18"/>
              </w:rPr>
              <w:t>fails</w:t>
            </w:r>
          </w:p>
        </w:tc>
      </w:tr>
      <w:tr>
        <w:tc>
          <w:tcPr>
            <w:tcW w:type="dxa" w:w="907"/>
          </w:tcPr>
          <w:p>
            <w:r>
              <w:rPr>
                <w:rFonts w:ascii="Arial" w:hAnsi="Arial"/>
                <w:sz w:val="18"/>
              </w:rPr>
              <w:t>corrected</w:t>
            </w:r>
          </w:p>
        </w:tc>
        <w:tc>
          <w:tcPr>
            <w:tcW w:type="dxa" w:w="907"/>
          </w:tcPr>
          <w:p>
            <w:r>
              <w:rPr>
                <w:rFonts w:ascii="Arial" w:hAnsi="Arial"/>
                <w:sz w:val="18"/>
              </w:rPr>
              <w:t>EOS</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0</w:t>
            </w:r>
          </w:p>
        </w:tc>
        <w:tc>
          <w:tcPr>
            <w:tcW w:type="dxa" w:w="907"/>
          </w:tcPr>
          <w:p>
            <w:r>
              <w:rPr>
                <w:rFonts w:ascii="Arial" w:hAnsi="Arial"/>
                <w:sz w:val="18"/>
              </w:rPr>
              <w:t>0.0179</w:t>
            </w:r>
          </w:p>
        </w:tc>
        <w:tc>
          <w:tcPr>
            <w:tcW w:type="dxa" w:w="909"/>
          </w:tcPr>
          <w:p>
            <w:r>
              <w:rPr>
                <w:rFonts w:ascii="Arial" w:hAnsi="Arial"/>
                <w:sz w:val="18"/>
              </w:rPr>
              <w:t>passes</w:t>
            </w:r>
          </w:p>
        </w:tc>
      </w:tr>
    </w:tbl>
    <w:p>
      <w:r>
        <w:rPr>
          <w:rFonts w:ascii="Arial" w:hAnsi="Arial"/>
          <w:b/>
          <w:sz w:val="20"/>
        </w:rPr>
        <w:t>(b) In-time placebo (pretend treatment in 2018; drop real post-period 2019–2021)</w:t>
      </w:r>
    </w:p>
    <w:tbl>
      <w:tblPr>
        <w:tblStyle w:val="LightGrid-Accent1"/>
        <w:tblW w:type="dxa" w:w="9072"/>
        <w:tblLook w:firstColumn="1" w:firstRow="1" w:lastColumn="0" w:lastRow="0" w:noHBand="0" w:noVBand="1" w:val="04A0"/>
        <w:tblLayout w:type="autofit"/>
      </w:tblPr>
      <w:tblGrid>
        <w:gridCol w:w="1814"/>
        <w:gridCol w:w="1814"/>
        <w:gridCol w:w="1814"/>
        <w:gridCol w:w="1814"/>
        <w:gridCol w:w="1816"/>
      </w:tblGrid>
      <w:tr>
        <w:tc>
          <w:tcPr>
            <w:tcW w:type="dxa" w:w="1814"/>
          </w:tcPr>
          <w:p>
            <w:r>
              <w:rPr>
                <w:rFonts w:ascii="Arial" w:hAnsi="Arial"/>
                <w:b/>
                <w:sz w:val="18"/>
              </w:rPr>
              <w:t>Pipeline</w:t>
            </w:r>
          </w:p>
        </w:tc>
        <w:tc>
          <w:tcPr>
            <w:tcW w:type="dxa" w:w="1814"/>
          </w:tcPr>
          <w:p>
            <w:r>
              <w:rPr>
                <w:rFonts w:ascii="Arial" w:hAnsi="Arial"/>
                <w:b/>
                <w:sz w:val="18"/>
              </w:rPr>
              <w:t>Metric</w:t>
            </w:r>
          </w:p>
        </w:tc>
        <w:tc>
          <w:tcPr>
            <w:tcW w:type="dxa" w:w="1814"/>
          </w:tcPr>
          <w:p>
            <w:r>
              <w:rPr>
                <w:rFonts w:ascii="Arial" w:hAnsi="Arial"/>
                <w:b/>
                <w:sz w:val="18"/>
              </w:rPr>
              <w:t>Fake post</w:t>
            </w:r>
          </w:p>
        </w:tc>
        <w:tc>
          <w:tcPr>
            <w:tcW w:type="dxa" w:w="1814"/>
          </w:tcPr>
          <w:p>
            <w:r>
              <w:rPr>
                <w:rFonts w:ascii="Arial" w:hAnsi="Arial"/>
                <w:b/>
                <w:sz w:val="18"/>
              </w:rPr>
              <w:t>τ̂ pseudo (d)</w:t>
            </w:r>
          </w:p>
        </w:tc>
        <w:tc>
          <w:tcPr>
            <w:tcW w:type="dxa" w:w="1816"/>
          </w:tcPr>
          <w:p>
            <w:r>
              <w:rPr>
                <w:rFonts w:ascii="Arial" w:hAnsi="Arial"/>
                <w:b/>
                <w:sz w:val="18"/>
              </w:rPr>
              <w:t>SE (d)</w:t>
            </w:r>
          </w:p>
        </w:tc>
      </w:tr>
      <w:tr>
        <w:tc>
          <w:tcPr>
            <w:tcW w:type="dxa" w:w="1814"/>
          </w:tcPr>
          <w:p>
            <w:r>
              <w:rPr>
                <w:rFonts w:ascii="Arial" w:hAnsi="Arial"/>
                <w:sz w:val="18"/>
              </w:rPr>
              <w:t>raw</w:t>
            </w:r>
          </w:p>
        </w:tc>
        <w:tc>
          <w:tcPr>
            <w:tcW w:type="dxa" w:w="1814"/>
          </w:tcPr>
          <w:p>
            <w:r>
              <w:rPr>
                <w:rFonts w:ascii="Arial" w:hAnsi="Arial"/>
                <w:sz w:val="18"/>
              </w:rPr>
              <w:t>SOS</w:t>
            </w:r>
          </w:p>
        </w:tc>
        <w:tc>
          <w:tcPr>
            <w:tcW w:type="dxa" w:w="1814"/>
          </w:tcPr>
          <w:p>
            <w:r>
              <w:rPr>
                <w:rFonts w:ascii="Arial" w:hAnsi="Arial"/>
                <w:sz w:val="18"/>
              </w:rPr>
              <w:t>2018</w:t>
            </w:r>
          </w:p>
        </w:tc>
        <w:tc>
          <w:tcPr>
            <w:tcW w:type="dxa" w:w="1814"/>
          </w:tcPr>
          <w:p>
            <w:r>
              <w:rPr>
                <w:rFonts w:ascii="Arial" w:hAnsi="Arial"/>
                <w:sz w:val="18"/>
              </w:rPr>
              <w:t>-76.50</w:t>
            </w:r>
          </w:p>
        </w:tc>
        <w:tc>
          <w:tcPr>
            <w:tcW w:type="dxa" w:w="1816"/>
          </w:tcPr>
          <w:p>
            <w:r>
              <w:rPr>
                <w:rFonts w:ascii="Arial" w:hAnsi="Arial"/>
                <w:sz w:val="18"/>
              </w:rPr>
              <w:t>+38.31</w:t>
            </w:r>
          </w:p>
        </w:tc>
      </w:tr>
      <w:tr>
        <w:tc>
          <w:tcPr>
            <w:tcW w:type="dxa" w:w="1814"/>
          </w:tcPr>
          <w:p>
            <w:r>
              <w:rPr>
                <w:rFonts w:ascii="Arial" w:hAnsi="Arial"/>
                <w:sz w:val="18"/>
              </w:rPr>
              <w:t>raw</w:t>
            </w:r>
          </w:p>
        </w:tc>
        <w:tc>
          <w:tcPr>
            <w:tcW w:type="dxa" w:w="1814"/>
          </w:tcPr>
          <w:p>
            <w:r>
              <w:rPr>
                <w:rFonts w:ascii="Arial" w:hAnsi="Arial"/>
                <w:sz w:val="18"/>
              </w:rPr>
              <w:t>POS</w:t>
            </w:r>
          </w:p>
        </w:tc>
        <w:tc>
          <w:tcPr>
            <w:tcW w:type="dxa" w:w="1814"/>
          </w:tcPr>
          <w:p>
            <w:r>
              <w:rPr>
                <w:rFonts w:ascii="Arial" w:hAnsi="Arial"/>
                <w:sz w:val="18"/>
              </w:rPr>
              <w:t>2018</w:t>
            </w:r>
          </w:p>
        </w:tc>
        <w:tc>
          <w:tcPr>
            <w:tcW w:type="dxa" w:w="1814"/>
          </w:tcPr>
          <w:p>
            <w:r>
              <w:rPr>
                <w:rFonts w:ascii="Arial" w:hAnsi="Arial"/>
                <w:sz w:val="18"/>
              </w:rPr>
              <w:t>+2.85</w:t>
            </w:r>
          </w:p>
        </w:tc>
        <w:tc>
          <w:tcPr>
            <w:tcW w:type="dxa" w:w="1816"/>
          </w:tcPr>
          <w:p>
            <w:r>
              <w:rPr>
                <w:rFonts w:ascii="Arial" w:hAnsi="Arial"/>
                <w:sz w:val="18"/>
              </w:rPr>
              <w:t>+10.16</w:t>
            </w:r>
          </w:p>
        </w:tc>
      </w:tr>
      <w:tr>
        <w:tc>
          <w:tcPr>
            <w:tcW w:type="dxa" w:w="1814"/>
          </w:tcPr>
          <w:p>
            <w:r>
              <w:rPr>
                <w:rFonts w:ascii="Arial" w:hAnsi="Arial"/>
                <w:sz w:val="18"/>
              </w:rPr>
              <w:t>raw</w:t>
            </w:r>
          </w:p>
        </w:tc>
        <w:tc>
          <w:tcPr>
            <w:tcW w:type="dxa" w:w="1814"/>
          </w:tcPr>
          <w:p>
            <w:r>
              <w:rPr>
                <w:rFonts w:ascii="Arial" w:hAnsi="Arial"/>
                <w:sz w:val="18"/>
              </w:rPr>
              <w:t>EOS</w:t>
            </w:r>
          </w:p>
        </w:tc>
        <w:tc>
          <w:tcPr>
            <w:tcW w:type="dxa" w:w="1814"/>
          </w:tcPr>
          <w:p>
            <w:r>
              <w:rPr>
                <w:rFonts w:ascii="Arial" w:hAnsi="Arial"/>
                <w:sz w:val="18"/>
              </w:rPr>
              <w:t>2018</w:t>
            </w:r>
          </w:p>
        </w:tc>
        <w:tc>
          <w:tcPr>
            <w:tcW w:type="dxa" w:w="1814"/>
          </w:tcPr>
          <w:p>
            <w:r>
              <w:rPr>
                <w:rFonts w:ascii="Arial" w:hAnsi="Arial"/>
                <w:sz w:val="18"/>
              </w:rPr>
              <w:t>+nan</w:t>
            </w:r>
          </w:p>
        </w:tc>
        <w:tc>
          <w:tcPr>
            <w:tcW w:type="dxa" w:w="1816"/>
          </w:tcPr>
          <w:p>
            <w:r>
              <w:rPr>
                <w:rFonts w:ascii="Arial" w:hAnsi="Arial"/>
                <w:sz w:val="18"/>
              </w:rPr>
              <w:t>+nan</w:t>
            </w:r>
          </w:p>
        </w:tc>
      </w:tr>
      <w:tr>
        <w:tc>
          <w:tcPr>
            <w:tcW w:type="dxa" w:w="1814"/>
          </w:tcPr>
          <w:p>
            <w:r>
              <w:rPr>
                <w:rFonts w:ascii="Arial" w:hAnsi="Arial"/>
                <w:sz w:val="18"/>
              </w:rPr>
              <w:t>corrected</w:t>
            </w:r>
          </w:p>
        </w:tc>
        <w:tc>
          <w:tcPr>
            <w:tcW w:type="dxa" w:w="1814"/>
          </w:tcPr>
          <w:p>
            <w:r>
              <w:rPr>
                <w:rFonts w:ascii="Arial" w:hAnsi="Arial"/>
                <w:sz w:val="18"/>
              </w:rPr>
              <w:t>SOS</w:t>
            </w:r>
          </w:p>
        </w:tc>
        <w:tc>
          <w:tcPr>
            <w:tcW w:type="dxa" w:w="1814"/>
          </w:tcPr>
          <w:p>
            <w:r>
              <w:rPr>
                <w:rFonts w:ascii="Arial" w:hAnsi="Arial"/>
                <w:sz w:val="18"/>
              </w:rPr>
              <w:t>2018</w:t>
            </w:r>
          </w:p>
        </w:tc>
        <w:tc>
          <w:tcPr>
            <w:tcW w:type="dxa" w:w="1814"/>
          </w:tcPr>
          <w:p>
            <w:r>
              <w:rPr>
                <w:rFonts w:ascii="Arial" w:hAnsi="Arial"/>
                <w:sz w:val="18"/>
              </w:rPr>
              <w:t>-76.50</w:t>
            </w:r>
          </w:p>
        </w:tc>
        <w:tc>
          <w:tcPr>
            <w:tcW w:type="dxa" w:w="1816"/>
          </w:tcPr>
          <w:p>
            <w:r>
              <w:rPr>
                <w:rFonts w:ascii="Arial" w:hAnsi="Arial"/>
                <w:sz w:val="18"/>
              </w:rPr>
              <w:t>+38.31</w:t>
            </w:r>
          </w:p>
        </w:tc>
      </w:tr>
      <w:tr>
        <w:tc>
          <w:tcPr>
            <w:tcW w:type="dxa" w:w="1814"/>
          </w:tcPr>
          <w:p>
            <w:r>
              <w:rPr>
                <w:rFonts w:ascii="Arial" w:hAnsi="Arial"/>
                <w:sz w:val="18"/>
              </w:rPr>
              <w:t>corrected</w:t>
            </w:r>
          </w:p>
        </w:tc>
        <w:tc>
          <w:tcPr>
            <w:tcW w:type="dxa" w:w="1814"/>
          </w:tcPr>
          <w:p>
            <w:r>
              <w:rPr>
                <w:rFonts w:ascii="Arial" w:hAnsi="Arial"/>
                <w:sz w:val="18"/>
              </w:rPr>
              <w:t>POS</w:t>
            </w:r>
          </w:p>
        </w:tc>
        <w:tc>
          <w:tcPr>
            <w:tcW w:type="dxa" w:w="1814"/>
          </w:tcPr>
          <w:p>
            <w:r>
              <w:rPr>
                <w:rFonts w:ascii="Arial" w:hAnsi="Arial"/>
                <w:sz w:val="18"/>
              </w:rPr>
              <w:t>2018</w:t>
            </w:r>
          </w:p>
        </w:tc>
        <w:tc>
          <w:tcPr>
            <w:tcW w:type="dxa" w:w="1814"/>
          </w:tcPr>
          <w:p>
            <w:r>
              <w:rPr>
                <w:rFonts w:ascii="Arial" w:hAnsi="Arial"/>
                <w:sz w:val="18"/>
              </w:rPr>
              <w:t>+2.85</w:t>
            </w:r>
          </w:p>
        </w:tc>
        <w:tc>
          <w:tcPr>
            <w:tcW w:type="dxa" w:w="1816"/>
          </w:tcPr>
          <w:p>
            <w:r>
              <w:rPr>
                <w:rFonts w:ascii="Arial" w:hAnsi="Arial"/>
                <w:sz w:val="18"/>
              </w:rPr>
              <w:t>+10.16</w:t>
            </w:r>
          </w:p>
        </w:tc>
      </w:tr>
      <w:tr>
        <w:tc>
          <w:tcPr>
            <w:tcW w:type="dxa" w:w="1814"/>
          </w:tcPr>
          <w:p>
            <w:r>
              <w:rPr>
                <w:rFonts w:ascii="Arial" w:hAnsi="Arial"/>
                <w:sz w:val="18"/>
              </w:rPr>
              <w:t>corrected</w:t>
            </w:r>
          </w:p>
        </w:tc>
        <w:tc>
          <w:tcPr>
            <w:tcW w:type="dxa" w:w="1814"/>
          </w:tcPr>
          <w:p>
            <w:r>
              <w:rPr>
                <w:rFonts w:ascii="Arial" w:hAnsi="Arial"/>
                <w:sz w:val="18"/>
              </w:rPr>
              <w:t>EOS</w:t>
            </w:r>
          </w:p>
        </w:tc>
        <w:tc>
          <w:tcPr>
            <w:tcW w:type="dxa" w:w="1814"/>
          </w:tcPr>
          <w:p>
            <w:r>
              <w:rPr>
                <w:rFonts w:ascii="Arial" w:hAnsi="Arial"/>
                <w:sz w:val="18"/>
              </w:rPr>
              <w:t>2018</w:t>
            </w:r>
          </w:p>
        </w:tc>
        <w:tc>
          <w:tcPr>
            <w:tcW w:type="dxa" w:w="1814"/>
          </w:tcPr>
          <w:p>
            <w:r>
              <w:rPr>
                <w:rFonts w:ascii="Arial" w:hAnsi="Arial"/>
                <w:sz w:val="18"/>
              </w:rPr>
              <w:t>+nan</w:t>
            </w:r>
          </w:p>
        </w:tc>
        <w:tc>
          <w:tcPr>
            <w:tcW w:type="dxa" w:w="1816"/>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14576" w:name="table_s8"/>
      <w:r>
        <w:rPr>
          <w:rFonts w:ascii="Arial" w:hAnsi="Arial"/>
          <w:b/>
          <w:color w:val="1F3A5F"/>
          <w:sz w:val="32"/>
        </w:rPr>
        <w:t>Table S8 — Pre-Kharif cyclone climatology</w:t>
      </w:r>
      <w:bookmarkEnd w:id="14576"/>
    </w:p>
    <w:p>
      <w:r>
        <w:rPr>
          <w:rFonts w:ascii="Arial" w:hAnsi="Arial"/>
          <w:b/>
          <w:sz w:val="20"/>
        </w:rPr>
        <w:t>Table S8. Pre-Kharif identification cyclones at the Odisha coast: per-storm summary and 1981–2018 climatological percentiles.</w:t>
      </w:r>
    </w:p>
    <w:tbl>
      <w:tblPr>
        <w:tblStyle w:val="LightGrid-Accent1"/>
        <w:tblW w:type="dxa" w:w="9072"/>
        <w:tblLook w:firstColumn="1" w:firstRow="1" w:lastColumn="0" w:lastRow="0" w:noHBand="0" w:noVBand="1" w:val="04A0"/>
        <w:tblLayout w:type="autofit"/>
      </w:tblPr>
      <w:tblGrid>
        <w:gridCol w:w="648"/>
        <w:gridCol w:w="648"/>
        <w:gridCol w:w="648"/>
        <w:gridCol w:w="648"/>
        <w:gridCol w:w="648"/>
        <w:gridCol w:w="648"/>
        <w:gridCol w:w="648"/>
        <w:gridCol w:w="648"/>
        <w:gridCol w:w="648"/>
        <w:gridCol w:w="648"/>
        <w:gridCol w:w="648"/>
        <w:gridCol w:w="648"/>
        <w:gridCol w:w="648"/>
        <w:gridCol w:w="648"/>
      </w:tblGrid>
      <w:tr>
        <w:tc>
          <w:tcPr>
            <w:tcW w:type="dxa" w:w="648"/>
          </w:tcPr>
          <w:p>
            <w:r>
              <w:rPr>
                <w:rFonts w:ascii="Arial" w:hAnsi="Arial"/>
                <w:b/>
                <w:sz w:val="16"/>
              </w:rPr>
              <w:t>Name</w:t>
            </w:r>
          </w:p>
        </w:tc>
        <w:tc>
          <w:tcPr>
            <w:tcW w:type="dxa" w:w="648"/>
          </w:tcPr>
          <w:p>
            <w:r>
              <w:rPr>
                <w:rFonts w:ascii="Arial" w:hAnsi="Arial"/>
                <w:b/>
                <w:sz w:val="16"/>
              </w:rPr>
              <w:t>Season</w:t>
            </w:r>
          </w:p>
        </w:tc>
        <w:tc>
          <w:tcPr>
            <w:tcW w:type="dxa" w:w="648"/>
          </w:tcPr>
          <w:p>
            <w:r>
              <w:rPr>
                <w:rFonts w:ascii="Arial" w:hAnsi="Arial"/>
                <w:b/>
                <w:sz w:val="16"/>
              </w:rPr>
              <w:t>Landfall</w:t>
            </w:r>
          </w:p>
        </w:tc>
        <w:tc>
          <w:tcPr>
            <w:tcW w:type="dxa" w:w="648"/>
          </w:tcPr>
          <w:p>
            <w:r>
              <w:rPr>
                <w:rFonts w:ascii="Arial" w:hAnsi="Arial"/>
                <w:b/>
                <w:sz w:val="16"/>
              </w:rPr>
              <w:t>DOY</w:t>
            </w:r>
          </w:p>
        </w:tc>
        <w:tc>
          <w:tcPr>
            <w:tcW w:type="dxa" w:w="648"/>
          </w:tcPr>
          <w:p>
            <w:r>
              <w:rPr>
                <w:rFonts w:ascii="Arial" w:hAnsi="Arial"/>
                <w:b/>
                <w:sz w:val="16"/>
              </w:rPr>
              <w:t>IMD cat.</w:t>
            </w:r>
          </w:p>
        </w:tc>
        <w:tc>
          <w:tcPr>
            <w:tcW w:type="dxa" w:w="648"/>
          </w:tcPr>
          <w:p>
            <w:r>
              <w:rPr>
                <w:rFonts w:ascii="Arial" w:hAnsi="Arial"/>
                <w:b/>
                <w:sz w:val="16"/>
              </w:rPr>
              <w:t>S–S cat.</w:t>
            </w:r>
          </w:p>
        </w:tc>
        <w:tc>
          <w:tcPr>
            <w:tcW w:type="dxa" w:w="648"/>
          </w:tcPr>
          <w:p>
            <w:r>
              <w:rPr>
                <w:rFonts w:ascii="Arial" w:hAnsi="Arial"/>
                <w:b/>
                <w:sz w:val="16"/>
              </w:rPr>
              <w:t>Vmax (kt)</w:t>
            </w:r>
          </w:p>
        </w:tc>
        <w:tc>
          <w:tcPr>
            <w:tcW w:type="dxa" w:w="648"/>
          </w:tcPr>
          <w:p>
            <w:r>
              <w:rPr>
                <w:rFonts w:ascii="Arial" w:hAnsi="Arial"/>
                <w:b/>
                <w:sz w:val="16"/>
              </w:rPr>
              <w:t>Pmin (hPa)</w:t>
            </w:r>
          </w:p>
        </w:tc>
        <w:tc>
          <w:tcPr>
            <w:tcW w:type="dxa" w:w="648"/>
          </w:tcPr>
          <w:p>
            <w:r>
              <w:rPr>
                <w:rFonts w:ascii="Arial" w:hAnsi="Arial"/>
                <w:b/>
                <w:sz w:val="16"/>
              </w:rPr>
              <w:t>Surge (m)</w:t>
            </w:r>
          </w:p>
        </w:tc>
        <w:tc>
          <w:tcPr>
            <w:tcW w:type="dxa" w:w="648"/>
          </w:tcPr>
          <w:p>
            <w:r>
              <w:rPr>
                <w:rFonts w:ascii="Arial" w:hAnsi="Arial"/>
                <w:b/>
                <w:sz w:val="16"/>
              </w:rPr>
              <w:t>Synoptic class</w:t>
            </w:r>
          </w:p>
        </w:tc>
        <w:tc>
          <w:tcPr>
            <w:tcW w:type="dxa" w:w="648"/>
          </w:tcPr>
          <w:p>
            <w:r>
              <w:rPr>
                <w:rFonts w:ascii="Arial" w:hAnsi="Arial"/>
                <w:b/>
                <w:sz w:val="16"/>
              </w:rPr>
              <w:t>Vmax %ile</w:t>
            </w:r>
          </w:p>
        </w:tc>
        <w:tc>
          <w:tcPr>
            <w:tcW w:type="dxa" w:w="648"/>
          </w:tcPr>
          <w:p>
            <w:r>
              <w:rPr>
                <w:rFonts w:ascii="Arial" w:hAnsi="Arial"/>
                <w:b/>
                <w:sz w:val="16"/>
              </w:rPr>
              <w:t>Pmin %ile</w:t>
            </w:r>
          </w:p>
        </w:tc>
        <w:tc>
          <w:tcPr>
            <w:tcW w:type="dxa" w:w="648"/>
          </w:tcPr>
          <w:p>
            <w:r>
              <w:rPr>
                <w:rFonts w:ascii="Arial" w:hAnsi="Arial"/>
                <w:b/>
                <w:sz w:val="16"/>
              </w:rPr>
              <w:t>Surge %ile</w:t>
            </w:r>
          </w:p>
        </w:tc>
        <w:tc>
          <w:tcPr>
            <w:tcW w:type="dxa" w:w="648"/>
          </w:tcPr>
          <w:p>
            <w:r>
              <w:rPr>
                <w:rFonts w:ascii="Arial" w:hAnsi="Arial"/>
                <w:b/>
                <w:sz w:val="16"/>
              </w:rPr>
              <w:t>DOY %ile</w:t>
            </w:r>
          </w:p>
        </w:tc>
      </w:tr>
      <w:tr>
        <w:tc>
          <w:tcPr>
            <w:tcW w:type="dxa" w:w="648"/>
          </w:tcPr>
          <w:p>
            <w:r>
              <w:rPr>
                <w:rFonts w:ascii="Arial" w:hAnsi="Arial"/>
                <w:sz w:val="16"/>
              </w:rPr>
              <w:t>Fani</w:t>
            </w:r>
          </w:p>
        </w:tc>
        <w:tc>
          <w:tcPr>
            <w:tcW w:type="dxa" w:w="648"/>
          </w:tcPr>
          <w:p>
            <w:r>
              <w:rPr>
                <w:rFonts w:ascii="Arial" w:hAnsi="Arial"/>
                <w:sz w:val="16"/>
              </w:rPr>
              <w:t>2019</w:t>
            </w:r>
          </w:p>
        </w:tc>
        <w:tc>
          <w:tcPr>
            <w:tcW w:type="dxa" w:w="648"/>
          </w:tcPr>
          <w:p>
            <w:r>
              <w:rPr>
                <w:rFonts w:ascii="Arial" w:hAnsi="Arial"/>
                <w:sz w:val="16"/>
              </w:rPr>
              <w:t>2019-05-03</w:t>
            </w:r>
          </w:p>
        </w:tc>
        <w:tc>
          <w:tcPr>
            <w:tcW w:type="dxa" w:w="648"/>
          </w:tcPr>
          <w:p>
            <w:r>
              <w:rPr>
                <w:rFonts w:ascii="Arial" w:hAnsi="Arial"/>
                <w:sz w:val="16"/>
              </w:rPr>
              <w:t>123</w:t>
            </w:r>
          </w:p>
        </w:tc>
        <w:tc>
          <w:tcPr>
            <w:tcW w:type="dxa" w:w="648"/>
          </w:tcPr>
          <w:p>
            <w:r>
              <w:rPr>
                <w:rFonts w:ascii="Arial" w:hAnsi="Arial"/>
                <w:sz w:val="16"/>
              </w:rPr>
              <w:t>ESCS</w:t>
            </w:r>
          </w:p>
        </w:tc>
        <w:tc>
          <w:tcPr>
            <w:tcW w:type="dxa" w:w="648"/>
          </w:tcPr>
          <w:p>
            <w:r>
              <w:rPr>
                <w:rFonts w:ascii="Arial" w:hAnsi="Arial"/>
                <w:sz w:val="16"/>
              </w:rPr>
              <w:t>4</w:t>
            </w:r>
          </w:p>
        </w:tc>
        <w:tc>
          <w:tcPr>
            <w:tcW w:type="dxa" w:w="648"/>
          </w:tcPr>
          <w:p>
            <w:r>
              <w:rPr>
                <w:rFonts w:ascii="Arial" w:hAnsi="Arial"/>
                <w:sz w:val="16"/>
              </w:rPr>
              <w:t>135</w:t>
            </w:r>
          </w:p>
        </w:tc>
        <w:tc>
          <w:tcPr>
            <w:tcW w:type="dxa" w:w="648"/>
          </w:tcPr>
          <w:p>
            <w:r>
              <w:rPr>
                <w:rFonts w:ascii="Arial" w:hAnsi="Arial"/>
                <w:sz w:val="16"/>
              </w:rPr>
              <w:t>932</w:t>
            </w:r>
          </w:p>
        </w:tc>
        <w:tc>
          <w:tcPr>
            <w:tcW w:type="dxa" w:w="648"/>
          </w:tcPr>
          <w:p>
            <w:r>
              <w:rPr>
                <w:rFonts w:ascii="Arial" w:hAnsi="Arial"/>
                <w:sz w:val="16"/>
              </w:rPr>
              <w:t>1.5</w:t>
            </w:r>
          </w:p>
        </w:tc>
        <w:tc>
          <w:tcPr>
            <w:tcW w:type="dxa" w:w="648"/>
          </w:tcPr>
          <w:p>
            <w:r>
              <w:rPr>
                <w:rFonts w:ascii="Arial" w:hAnsi="Arial"/>
                <w:sz w:val="16"/>
              </w:rPr>
              <w:t>Equatorial trough genesis</w:t>
            </w:r>
          </w:p>
        </w:tc>
        <w:tc>
          <w:tcPr>
            <w:tcW w:type="dxa" w:w="648"/>
          </w:tcPr>
          <w:p>
            <w:r>
              <w:rPr>
                <w:rFonts w:ascii="Arial" w:hAnsi="Arial"/>
                <w:sz w:val="16"/>
              </w:rPr>
              <w:t>97.5</w:t>
            </w:r>
          </w:p>
        </w:tc>
        <w:tc>
          <w:tcPr>
            <w:tcW w:type="dxa" w:w="648"/>
          </w:tcPr>
          <w:p>
            <w:r>
              <w:rPr>
                <w:rFonts w:ascii="Arial" w:hAnsi="Arial"/>
                <w:sz w:val="16"/>
              </w:rPr>
              <w:t>91.5</w:t>
            </w:r>
          </w:p>
        </w:tc>
        <w:tc>
          <w:tcPr>
            <w:tcW w:type="dxa" w:w="648"/>
          </w:tcPr>
          <w:p>
            <w:r>
              <w:rPr>
                <w:rFonts w:ascii="Arial" w:hAnsi="Arial"/>
                <w:sz w:val="16"/>
              </w:rPr>
              <w:t>55.8</w:t>
            </w:r>
          </w:p>
        </w:tc>
        <w:tc>
          <w:tcPr>
            <w:tcW w:type="dxa" w:w="648"/>
          </w:tcPr>
          <w:p>
            <w:r>
              <w:rPr>
                <w:rFonts w:ascii="Arial" w:hAnsi="Arial"/>
                <w:sz w:val="16"/>
              </w:rPr>
              <w:t>26.6</w:t>
            </w:r>
          </w:p>
        </w:tc>
      </w:tr>
      <w:tr>
        <w:tc>
          <w:tcPr>
            <w:tcW w:type="dxa" w:w="648"/>
          </w:tcPr>
          <w:p>
            <w:r>
              <w:rPr>
                <w:rFonts w:ascii="Arial" w:hAnsi="Arial"/>
                <w:sz w:val="16"/>
              </w:rPr>
              <w:t>Amphan</w:t>
            </w:r>
          </w:p>
        </w:tc>
        <w:tc>
          <w:tcPr>
            <w:tcW w:type="dxa" w:w="648"/>
          </w:tcPr>
          <w:p>
            <w:r>
              <w:rPr>
                <w:rFonts w:ascii="Arial" w:hAnsi="Arial"/>
                <w:sz w:val="16"/>
              </w:rPr>
              <w:t>2020</w:t>
            </w:r>
          </w:p>
        </w:tc>
        <w:tc>
          <w:tcPr>
            <w:tcW w:type="dxa" w:w="648"/>
          </w:tcPr>
          <w:p>
            <w:r>
              <w:rPr>
                <w:rFonts w:ascii="Arial" w:hAnsi="Arial"/>
                <w:sz w:val="16"/>
              </w:rPr>
              <w:t>2020-05-20</w:t>
            </w:r>
          </w:p>
        </w:tc>
        <w:tc>
          <w:tcPr>
            <w:tcW w:type="dxa" w:w="648"/>
          </w:tcPr>
          <w:p>
            <w:r>
              <w:rPr>
                <w:rFonts w:ascii="Arial" w:hAnsi="Arial"/>
                <w:sz w:val="16"/>
              </w:rPr>
              <w:t>141</w:t>
            </w:r>
          </w:p>
        </w:tc>
        <w:tc>
          <w:tcPr>
            <w:tcW w:type="dxa" w:w="648"/>
          </w:tcPr>
          <w:p>
            <w:r>
              <w:rPr>
                <w:rFonts w:ascii="Arial" w:hAnsi="Arial"/>
                <w:sz w:val="16"/>
              </w:rPr>
              <w:t>SuCS</w:t>
            </w:r>
          </w:p>
        </w:tc>
        <w:tc>
          <w:tcPr>
            <w:tcW w:type="dxa" w:w="648"/>
          </w:tcPr>
          <w:p>
            <w:r>
              <w:rPr>
                <w:rFonts w:ascii="Arial" w:hAnsi="Arial"/>
                <w:sz w:val="16"/>
              </w:rPr>
              <w:t>5</w:t>
            </w:r>
          </w:p>
        </w:tc>
        <w:tc>
          <w:tcPr>
            <w:tcW w:type="dxa" w:w="648"/>
          </w:tcPr>
          <w:p>
            <w:r>
              <w:rPr>
                <w:rFonts w:ascii="Arial" w:hAnsi="Arial"/>
                <w:sz w:val="16"/>
              </w:rPr>
              <w:t>140</w:t>
            </w:r>
          </w:p>
        </w:tc>
        <w:tc>
          <w:tcPr>
            <w:tcW w:type="dxa" w:w="648"/>
          </w:tcPr>
          <w:p>
            <w:r>
              <w:rPr>
                <w:rFonts w:ascii="Arial" w:hAnsi="Arial"/>
                <w:sz w:val="16"/>
              </w:rPr>
              <w:t>925</w:t>
            </w:r>
          </w:p>
        </w:tc>
        <w:tc>
          <w:tcPr>
            <w:tcW w:type="dxa" w:w="648"/>
          </w:tcPr>
          <w:p>
            <w:r>
              <w:rPr>
                <w:rFonts w:ascii="Arial" w:hAnsi="Arial"/>
                <w:sz w:val="16"/>
              </w:rPr>
              <w:t>4.6</w:t>
            </w:r>
          </w:p>
        </w:tc>
        <w:tc>
          <w:tcPr>
            <w:tcW w:type="dxa" w:w="648"/>
          </w:tcPr>
          <w:p>
            <w:r>
              <w:rPr>
                <w:rFonts w:ascii="Arial" w:hAnsi="Arial"/>
                <w:sz w:val="16"/>
              </w:rPr>
              <w:t>Monsoon-trough remnant</w:t>
            </w:r>
          </w:p>
        </w:tc>
        <w:tc>
          <w:tcPr>
            <w:tcW w:type="dxa" w:w="648"/>
          </w:tcPr>
          <w:p>
            <w:r>
              <w:rPr>
                <w:rFonts w:ascii="Arial" w:hAnsi="Arial"/>
                <w:sz w:val="16"/>
              </w:rPr>
              <w:t>100.0</w:t>
            </w:r>
          </w:p>
        </w:tc>
        <w:tc>
          <w:tcPr>
            <w:tcW w:type="dxa" w:w="648"/>
          </w:tcPr>
          <w:p>
            <w:r>
              <w:rPr>
                <w:rFonts w:ascii="Arial" w:hAnsi="Arial"/>
                <w:sz w:val="16"/>
              </w:rPr>
              <w:t>95.0</w:t>
            </w:r>
          </w:p>
        </w:tc>
        <w:tc>
          <w:tcPr>
            <w:tcW w:type="dxa" w:w="648"/>
          </w:tcPr>
          <w:p>
            <w:r>
              <w:rPr>
                <w:rFonts w:ascii="Arial" w:hAnsi="Arial"/>
                <w:sz w:val="16"/>
              </w:rPr>
              <w:t>91.5</w:t>
            </w:r>
          </w:p>
        </w:tc>
        <w:tc>
          <w:tcPr>
            <w:tcW w:type="dxa" w:w="648"/>
          </w:tcPr>
          <w:p>
            <w:r>
              <w:rPr>
                <w:rFonts w:ascii="Arial" w:hAnsi="Arial"/>
                <w:sz w:val="16"/>
              </w:rPr>
              <w:t>55.4</w:t>
            </w:r>
          </w:p>
        </w:tc>
      </w:tr>
      <w:tr>
        <w:tc>
          <w:tcPr>
            <w:tcW w:type="dxa" w:w="648"/>
          </w:tcPr>
          <w:p>
            <w:r>
              <w:rPr>
                <w:rFonts w:ascii="Arial" w:hAnsi="Arial"/>
                <w:sz w:val="16"/>
              </w:rPr>
              <w:t>Yaas</w:t>
            </w:r>
          </w:p>
        </w:tc>
        <w:tc>
          <w:tcPr>
            <w:tcW w:type="dxa" w:w="648"/>
          </w:tcPr>
          <w:p>
            <w:r>
              <w:rPr>
                <w:rFonts w:ascii="Arial" w:hAnsi="Arial"/>
                <w:sz w:val="16"/>
              </w:rPr>
              <w:t>2021</w:t>
            </w:r>
          </w:p>
        </w:tc>
        <w:tc>
          <w:tcPr>
            <w:tcW w:type="dxa" w:w="648"/>
          </w:tcPr>
          <w:p>
            <w:r>
              <w:rPr>
                <w:rFonts w:ascii="Arial" w:hAnsi="Arial"/>
                <w:sz w:val="16"/>
              </w:rPr>
              <w:t>2021-05-26</w:t>
            </w:r>
          </w:p>
        </w:tc>
        <w:tc>
          <w:tcPr>
            <w:tcW w:type="dxa" w:w="648"/>
          </w:tcPr>
          <w:p>
            <w:r>
              <w:rPr>
                <w:rFonts w:ascii="Arial" w:hAnsi="Arial"/>
                <w:sz w:val="16"/>
              </w:rPr>
              <w:t>146</w:t>
            </w:r>
          </w:p>
        </w:tc>
        <w:tc>
          <w:tcPr>
            <w:tcW w:type="dxa" w:w="648"/>
          </w:tcPr>
          <w:p>
            <w:r>
              <w:rPr>
                <w:rFonts w:ascii="Arial" w:hAnsi="Arial"/>
                <w:sz w:val="16"/>
              </w:rPr>
              <w:t>VSCS</w:t>
            </w:r>
          </w:p>
        </w:tc>
        <w:tc>
          <w:tcPr>
            <w:tcW w:type="dxa" w:w="648"/>
          </w:tcPr>
          <w:p>
            <w:r>
              <w:rPr>
                <w:rFonts w:ascii="Arial" w:hAnsi="Arial"/>
                <w:sz w:val="16"/>
              </w:rPr>
              <w:t>3</w:t>
            </w:r>
          </w:p>
        </w:tc>
        <w:tc>
          <w:tcPr>
            <w:tcW w:type="dxa" w:w="648"/>
          </w:tcPr>
          <w:p>
            <w:r>
              <w:rPr>
                <w:rFonts w:ascii="Arial" w:hAnsi="Arial"/>
                <w:sz w:val="16"/>
              </w:rPr>
              <w:t>100</w:t>
            </w:r>
          </w:p>
        </w:tc>
        <w:tc>
          <w:tcPr>
            <w:tcW w:type="dxa" w:w="648"/>
          </w:tcPr>
          <w:p>
            <w:r>
              <w:rPr>
                <w:rFonts w:ascii="Arial" w:hAnsi="Arial"/>
                <w:sz w:val="16"/>
              </w:rPr>
              <w:t>970</w:t>
            </w:r>
          </w:p>
        </w:tc>
        <w:tc>
          <w:tcPr>
            <w:tcW w:type="dxa" w:w="648"/>
          </w:tcPr>
          <w:p>
            <w:r>
              <w:rPr>
                <w:rFonts w:ascii="Arial" w:hAnsi="Arial"/>
                <w:sz w:val="16"/>
              </w:rPr>
              <w:t>2.0</w:t>
            </w:r>
          </w:p>
        </w:tc>
        <w:tc>
          <w:tcPr>
            <w:tcW w:type="dxa" w:w="648"/>
          </w:tcPr>
          <w:p>
            <w:r>
              <w:rPr>
                <w:rFonts w:ascii="Arial" w:hAnsi="Arial"/>
                <w:sz w:val="16"/>
              </w:rPr>
              <w:t>Easterly-wave Bay genesis</w:t>
            </w:r>
          </w:p>
        </w:tc>
        <w:tc>
          <w:tcPr>
            <w:tcW w:type="dxa" w:w="648"/>
          </w:tcPr>
          <w:p>
            <w:r>
              <w:rPr>
                <w:rFonts w:ascii="Arial" w:hAnsi="Arial"/>
                <w:sz w:val="16"/>
              </w:rPr>
              <w:t>81.0</w:t>
            </w:r>
          </w:p>
        </w:tc>
        <w:tc>
          <w:tcPr>
            <w:tcW w:type="dxa" w:w="648"/>
          </w:tcPr>
          <w:p>
            <w:r>
              <w:rPr>
                <w:rFonts w:ascii="Arial" w:hAnsi="Arial"/>
                <w:sz w:val="16"/>
              </w:rPr>
              <w:t>56.2</w:t>
            </w:r>
          </w:p>
        </w:tc>
        <w:tc>
          <w:tcPr>
            <w:tcW w:type="dxa" w:w="648"/>
          </w:tcPr>
          <w:p>
            <w:r>
              <w:rPr>
                <w:rFonts w:ascii="Arial" w:hAnsi="Arial"/>
                <w:sz w:val="16"/>
              </w:rPr>
              <w:t>65.4</w:t>
            </w:r>
          </w:p>
        </w:tc>
        <w:tc>
          <w:tcPr>
            <w:tcW w:type="dxa" w:w="648"/>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97558" w:name="table_s9"/>
      <w:r>
        <w:rPr>
          <w:rFonts w:ascii="Arial" w:hAnsi="Arial"/>
          <w:b/>
          <w:color w:val="1F3A5F"/>
          <w:sz w:val="32"/>
        </w:rPr>
        <w:t>Table S9 — Real Sentinel-1 RTC dual-pol backscatter signatures (Planetary Computer)</w:t>
      </w:r>
      <w:bookmarkEnd w:id="97558"/>
    </w:p>
    <w:p>
      <w:r>
        <w:rPr>
          <w:rFonts w:ascii="Arial" w:hAnsi="Arial"/>
          <w:b/>
          <w:sz w:val="22"/>
        </w:rPr>
        <w:t>Table S9. Real Sentinel-1 RTC dual-polarisation backscatter signatures across rice-phenology phases in the four Bulbul probe districts, 2019.</w:t>
      </w:r>
    </w:p>
    <w:p>
      <w:r>
        <w:rPr>
          <w:rFonts w:ascii="Arial" w:hAnsi="Arial"/>
          <w:i/>
          <w:sz w:val="18"/>
        </w:rPr>
        <w:t>Source: Microsoft Planetary Computer Sentinel-1 RTC collection (10 m, IW GRD, gamma_0 terrain-corrected), district-mean monthly aggregates at 100-m resolution within GADM v4.1 L2 polygons, 2019-05-01 to 2019-12-15. n_dekads = number of 10-day epochs averaged. VH and VV in dB; CR = VH_linear / VV_linear (linear ratio). Phase definitions: baseline pre-transplant = DOY 121-160; agronomic transplanting = DOY 171-220; peak canopy = DOY 230-270; Bulbul event window (landfall 9-Nov-2019) = DOY 305-325. Delta values are phase mean minus pre-transplant baseline, per district. n = 85 district-dekads total across the four districts.</w:t>
      </w:r>
    </w:p>
    <w:p/>
    <w:p>
      <w:r>
        <w:rPr>
          <w:rFonts w:ascii="Arial" w:hAnsi="Arial"/>
          <w:b/>
          <w:sz w:val="20"/>
        </w:rPr>
        <w:t>(a) Phase means</w:t>
      </w:r>
    </w:p>
    <w:tbl>
      <w:tblPr>
        <w:tblStyle w:val="LightGrid-Accent1"/>
        <w:tblW w:type="dxa" w:w="9072"/>
        <w:tblLook w:firstColumn="1" w:firstRow="1" w:lastColumn="0" w:lastRow="0" w:noHBand="0" w:noVBand="1" w:val="04A0"/>
        <w:tblLayout w:type="autofit"/>
      </w:tblPr>
      <w:tblGrid>
        <w:gridCol w:w="1512"/>
        <w:gridCol w:w="1512"/>
        <w:gridCol w:w="1512"/>
        <w:gridCol w:w="1512"/>
        <w:gridCol w:w="1512"/>
        <w:gridCol w:w="1512"/>
      </w:tblGrid>
      <w:tr>
        <w:trPr>
          <w:tblHeader/>
        </w:trPr>
        <w:tc>
          <w:tcPr>
            <w:tcW w:type="dxa" w:w="1512"/>
          </w:tcPr>
          <w:p>
            <w:r>
              <w:rPr>
                <w:rFonts w:ascii="Arial" w:hAnsi="Arial"/>
                <w:b/>
                <w:sz w:val="18"/>
              </w:rPr>
              <w:t>District</w:t>
            </w:r>
          </w:p>
        </w:tc>
        <w:tc>
          <w:tcPr>
            <w:tcW w:type="dxa" w:w="1512"/>
          </w:tcPr>
          <w:p>
            <w:r>
              <w:rPr>
                <w:rFonts w:ascii="Arial" w:hAnsi="Arial"/>
                <w:b/>
                <w:sz w:val="18"/>
              </w:rPr>
              <w:t>Phase</w:t>
            </w:r>
          </w:p>
        </w:tc>
        <w:tc>
          <w:tcPr>
            <w:tcW w:type="dxa" w:w="1512"/>
          </w:tcPr>
          <w:p>
            <w:r>
              <w:rPr>
                <w:rFonts w:ascii="Arial" w:hAnsi="Arial"/>
                <w:b/>
                <w:sz w:val="18"/>
              </w:rPr>
              <w:t>n_dekads</w:t>
            </w:r>
          </w:p>
        </w:tc>
        <w:tc>
          <w:tcPr>
            <w:tcW w:type="dxa" w:w="1512"/>
          </w:tcPr>
          <w:p>
            <w:r>
              <w:rPr>
                <w:rFonts w:ascii="Arial" w:hAnsi="Arial"/>
                <w:b/>
                <w:sz w:val="18"/>
              </w:rPr>
              <w:t>Mean VH (dB)</w:t>
            </w:r>
          </w:p>
        </w:tc>
        <w:tc>
          <w:tcPr>
            <w:tcW w:type="dxa" w:w="1512"/>
          </w:tcPr>
          <w:p>
            <w:r>
              <w:rPr>
                <w:rFonts w:ascii="Arial" w:hAnsi="Arial"/>
                <w:b/>
                <w:sz w:val="18"/>
              </w:rPr>
              <w:t>Mean VV (dB)</w:t>
            </w:r>
          </w:p>
        </w:tc>
        <w:tc>
          <w:tcPr>
            <w:tcW w:type="dxa" w:w="1512"/>
          </w:tcPr>
          <w:p>
            <w:r>
              <w:rPr>
                <w:rFonts w:ascii="Arial" w:hAnsi="Arial"/>
                <w:b/>
                <w:sz w:val="18"/>
              </w:rPr>
              <w:t>Mean CR</w:t>
            </w:r>
          </w:p>
        </w:tc>
      </w:tr>
      <w:tr>
        <w:tc>
          <w:tcPr>
            <w:tcW w:type="dxa" w:w="1512"/>
          </w:tcPr>
          <w:p>
            <w:r>
              <w:rPr>
                <w:rFonts w:ascii="Arial" w:hAnsi="Arial"/>
                <w:sz w:val="18"/>
              </w:rPr>
              <w:t>Boudh</w:t>
            </w:r>
          </w:p>
        </w:tc>
        <w:tc>
          <w:tcPr>
            <w:tcW w:type="dxa" w:w="1512"/>
          </w:tcPr>
          <w:p>
            <w:r>
              <w:rPr>
                <w:rFonts w:ascii="Arial" w:hAnsi="Arial"/>
                <w:sz w:val="18"/>
              </w:rPr>
              <w:t>Pre-transplant baseline (May)</w:t>
            </w:r>
          </w:p>
        </w:tc>
        <w:tc>
          <w:tcPr>
            <w:tcW w:type="dxa" w:w="1512"/>
          </w:tcPr>
          <w:p>
            <w:r>
              <w:rPr>
                <w:rFonts w:ascii="Arial" w:hAnsi="Arial"/>
                <w:sz w:val="18"/>
              </w:rPr>
              <w:t>3</w:t>
            </w:r>
          </w:p>
        </w:tc>
        <w:tc>
          <w:tcPr>
            <w:tcW w:type="dxa" w:w="1512"/>
          </w:tcPr>
          <w:p>
            <w:r>
              <w:rPr>
                <w:rFonts w:ascii="Arial" w:hAnsi="Arial"/>
                <w:sz w:val="18"/>
              </w:rPr>
              <w:t>-15.18</w:t>
            </w:r>
          </w:p>
        </w:tc>
        <w:tc>
          <w:tcPr>
            <w:tcW w:type="dxa" w:w="1512"/>
          </w:tcPr>
          <w:p>
            <w:r>
              <w:rPr>
                <w:rFonts w:ascii="Arial" w:hAnsi="Arial"/>
                <w:sz w:val="18"/>
              </w:rPr>
              <w:t>-8.83</w:t>
            </w:r>
          </w:p>
        </w:tc>
        <w:tc>
          <w:tcPr>
            <w:tcW w:type="dxa" w:w="1512"/>
          </w:tcPr>
          <w:p>
            <w:r>
              <w:rPr>
                <w:rFonts w:ascii="Arial" w:hAnsi="Arial"/>
                <w:sz w:val="18"/>
              </w:rPr>
              <w:t>0.239</w:t>
            </w:r>
          </w:p>
        </w:tc>
      </w:tr>
      <w:tr>
        <w:tc>
          <w:tcPr>
            <w:tcW w:type="dxa" w:w="1512"/>
          </w:tcPr>
          <w:p>
            <w:r>
              <w:rPr>
                <w:rFonts w:ascii="Arial" w:hAnsi="Arial"/>
                <w:sz w:val="18"/>
              </w:rPr>
              <w:t>Boudh</w:t>
            </w:r>
          </w:p>
        </w:tc>
        <w:tc>
          <w:tcPr>
            <w:tcW w:type="dxa" w:w="1512"/>
          </w:tcPr>
          <w:p>
            <w:r>
              <w:rPr>
                <w:rFonts w:ascii="Arial" w:hAnsi="Arial"/>
                <w:sz w:val="18"/>
              </w:rPr>
              <w:t>Agronomic transplanting (Jun-early Aug)</w:t>
            </w:r>
          </w:p>
        </w:tc>
        <w:tc>
          <w:tcPr>
            <w:tcW w:type="dxa" w:w="1512"/>
          </w:tcPr>
          <w:p>
            <w:r>
              <w:rPr>
                <w:rFonts w:ascii="Arial" w:hAnsi="Arial"/>
                <w:sz w:val="18"/>
              </w:rPr>
              <w:t>5</w:t>
            </w:r>
          </w:p>
        </w:tc>
        <w:tc>
          <w:tcPr>
            <w:tcW w:type="dxa" w:w="1512"/>
          </w:tcPr>
          <w:p>
            <w:r>
              <w:rPr>
                <w:rFonts w:ascii="Arial" w:hAnsi="Arial"/>
                <w:sz w:val="18"/>
              </w:rPr>
              <w:t>-13.93</w:t>
            </w:r>
          </w:p>
        </w:tc>
        <w:tc>
          <w:tcPr>
            <w:tcW w:type="dxa" w:w="1512"/>
          </w:tcPr>
          <w:p>
            <w:r>
              <w:rPr>
                <w:rFonts w:ascii="Arial" w:hAnsi="Arial"/>
                <w:sz w:val="18"/>
              </w:rPr>
              <w:t>-7.32</w:t>
            </w:r>
          </w:p>
        </w:tc>
        <w:tc>
          <w:tcPr>
            <w:tcW w:type="dxa" w:w="1512"/>
          </w:tcPr>
          <w:p>
            <w:r>
              <w:rPr>
                <w:rFonts w:ascii="Arial" w:hAnsi="Arial"/>
                <w:sz w:val="18"/>
              </w:rPr>
              <w:t>0.226</w:t>
            </w:r>
          </w:p>
        </w:tc>
      </w:tr>
      <w:tr>
        <w:tc>
          <w:tcPr>
            <w:tcW w:type="dxa" w:w="1512"/>
          </w:tcPr>
          <w:p>
            <w:r>
              <w:rPr>
                <w:rFonts w:ascii="Arial" w:hAnsi="Arial"/>
                <w:sz w:val="18"/>
              </w:rPr>
              <w:t>Boudh</w:t>
            </w:r>
          </w:p>
        </w:tc>
        <w:tc>
          <w:tcPr>
            <w:tcW w:type="dxa" w:w="1512"/>
          </w:tcPr>
          <w:p>
            <w:r>
              <w:rPr>
                <w:rFonts w:ascii="Arial" w:hAnsi="Arial"/>
                <w:sz w:val="18"/>
              </w:rPr>
              <w:t>Peak canopy (mid-Aug-late Sep)</w:t>
            </w:r>
          </w:p>
        </w:tc>
        <w:tc>
          <w:tcPr>
            <w:tcW w:type="dxa" w:w="1512"/>
          </w:tcPr>
          <w:p>
            <w:r>
              <w:rPr>
                <w:rFonts w:ascii="Arial" w:hAnsi="Arial"/>
                <w:sz w:val="18"/>
              </w:rPr>
              <w:t>4</w:t>
            </w:r>
          </w:p>
        </w:tc>
        <w:tc>
          <w:tcPr>
            <w:tcW w:type="dxa" w:w="1512"/>
          </w:tcPr>
          <w:p>
            <w:r>
              <w:rPr>
                <w:rFonts w:ascii="Arial" w:hAnsi="Arial"/>
                <w:sz w:val="18"/>
              </w:rPr>
              <w:t>-13.79</w:t>
            </w:r>
          </w:p>
        </w:tc>
        <w:tc>
          <w:tcPr>
            <w:tcW w:type="dxa" w:w="1512"/>
          </w:tcPr>
          <w:p>
            <w:r>
              <w:rPr>
                <w:rFonts w:ascii="Arial" w:hAnsi="Arial"/>
                <w:sz w:val="18"/>
              </w:rPr>
              <w:t>-6.94</w:t>
            </w:r>
          </w:p>
        </w:tc>
        <w:tc>
          <w:tcPr>
            <w:tcW w:type="dxa" w:w="1512"/>
          </w:tcPr>
          <w:p>
            <w:r>
              <w:rPr>
                <w:rFonts w:ascii="Arial" w:hAnsi="Arial"/>
                <w:sz w:val="18"/>
              </w:rPr>
              <w:t>0.215</w:t>
            </w:r>
          </w:p>
        </w:tc>
      </w:tr>
      <w:tr>
        <w:tc>
          <w:tcPr>
            <w:tcW w:type="dxa" w:w="1512"/>
          </w:tcPr>
          <w:p>
            <w:r>
              <w:rPr>
                <w:rFonts w:ascii="Arial" w:hAnsi="Arial"/>
                <w:sz w:val="18"/>
              </w:rPr>
              <w:t>Boudh</w:t>
            </w:r>
          </w:p>
        </w:tc>
        <w:tc>
          <w:tcPr>
            <w:tcW w:type="dxa" w:w="1512"/>
          </w:tcPr>
          <w:p>
            <w:r>
              <w:rPr>
                <w:rFonts w:ascii="Arial" w:hAnsi="Arial"/>
                <w:sz w:val="18"/>
              </w:rPr>
              <w:t>Bulbul event window (Nov 1-21)</w:t>
            </w:r>
          </w:p>
        </w:tc>
        <w:tc>
          <w:tcPr>
            <w:tcW w:type="dxa" w:w="1512"/>
          </w:tcPr>
          <w:p>
            <w:r>
              <w:rPr>
                <w:rFonts w:ascii="Arial" w:hAnsi="Arial"/>
                <w:sz w:val="18"/>
              </w:rPr>
              <w:t>3</w:t>
            </w:r>
          </w:p>
        </w:tc>
        <w:tc>
          <w:tcPr>
            <w:tcW w:type="dxa" w:w="1512"/>
          </w:tcPr>
          <w:p>
            <w:r>
              <w:rPr>
                <w:rFonts w:ascii="Arial" w:hAnsi="Arial"/>
                <w:sz w:val="18"/>
              </w:rPr>
              <w:t>-13.77</w:t>
            </w:r>
          </w:p>
        </w:tc>
        <w:tc>
          <w:tcPr>
            <w:tcW w:type="dxa" w:w="1512"/>
          </w:tcPr>
          <w:p>
            <w:r>
              <w:rPr>
                <w:rFonts w:ascii="Arial" w:hAnsi="Arial"/>
                <w:sz w:val="18"/>
              </w:rPr>
              <w:t>-7.37</w:t>
            </w:r>
          </w:p>
        </w:tc>
        <w:tc>
          <w:tcPr>
            <w:tcW w:type="dxa" w:w="1512"/>
          </w:tcPr>
          <w:p>
            <w:r>
              <w:rPr>
                <w:rFonts w:ascii="Arial" w:hAnsi="Arial"/>
                <w:sz w:val="18"/>
              </w:rPr>
              <w:t>0.238</w:t>
            </w:r>
          </w:p>
        </w:tc>
      </w:tr>
      <w:tr>
        <w:tc>
          <w:tcPr>
            <w:tcW w:type="dxa" w:w="1512"/>
          </w:tcPr>
          <w:p>
            <w:r>
              <w:rPr>
                <w:rFonts w:ascii="Arial" w:hAnsi="Arial"/>
                <w:sz w:val="18"/>
              </w:rPr>
              <w:t>Ganjam</w:t>
            </w:r>
          </w:p>
        </w:tc>
        <w:tc>
          <w:tcPr>
            <w:tcW w:type="dxa" w:w="1512"/>
          </w:tcPr>
          <w:p>
            <w:r>
              <w:rPr>
                <w:rFonts w:ascii="Arial" w:hAnsi="Arial"/>
                <w:sz w:val="18"/>
              </w:rPr>
              <w:t>Pre-transplant baseline (May)</w:t>
            </w:r>
          </w:p>
        </w:tc>
        <w:tc>
          <w:tcPr>
            <w:tcW w:type="dxa" w:w="1512"/>
          </w:tcPr>
          <w:p>
            <w:r>
              <w:rPr>
                <w:rFonts w:ascii="Arial" w:hAnsi="Arial"/>
                <w:sz w:val="18"/>
              </w:rPr>
              <w:t>3</w:t>
            </w:r>
          </w:p>
        </w:tc>
        <w:tc>
          <w:tcPr>
            <w:tcW w:type="dxa" w:w="1512"/>
          </w:tcPr>
          <w:p>
            <w:r>
              <w:rPr>
                <w:rFonts w:ascii="Arial" w:hAnsi="Arial"/>
                <w:sz w:val="18"/>
              </w:rPr>
              <w:t>-13.63</w:t>
            </w:r>
          </w:p>
        </w:tc>
        <w:tc>
          <w:tcPr>
            <w:tcW w:type="dxa" w:w="1512"/>
          </w:tcPr>
          <w:p>
            <w:r>
              <w:rPr>
                <w:rFonts w:ascii="Arial" w:hAnsi="Arial"/>
                <w:sz w:val="18"/>
              </w:rPr>
              <w:t>-7.13</w:t>
            </w:r>
          </w:p>
        </w:tc>
        <w:tc>
          <w:tcPr>
            <w:tcW w:type="dxa" w:w="1512"/>
          </w:tcPr>
          <w:p>
            <w:r>
              <w:rPr>
                <w:rFonts w:ascii="Arial" w:hAnsi="Arial"/>
                <w:sz w:val="18"/>
              </w:rPr>
              <w:t>0.232</w:t>
            </w:r>
          </w:p>
        </w:tc>
      </w:tr>
      <w:tr>
        <w:tc>
          <w:tcPr>
            <w:tcW w:type="dxa" w:w="1512"/>
          </w:tcPr>
          <w:p>
            <w:r>
              <w:rPr>
                <w:rFonts w:ascii="Arial" w:hAnsi="Arial"/>
                <w:sz w:val="18"/>
              </w:rPr>
              <w:t>Ganjam</w:t>
            </w:r>
          </w:p>
        </w:tc>
        <w:tc>
          <w:tcPr>
            <w:tcW w:type="dxa" w:w="1512"/>
          </w:tcPr>
          <w:p>
            <w:r>
              <w:rPr>
                <w:rFonts w:ascii="Arial" w:hAnsi="Arial"/>
                <w:sz w:val="18"/>
              </w:rPr>
              <w:t>Agronomic transplanting (Jun-early Aug)</w:t>
            </w:r>
          </w:p>
        </w:tc>
        <w:tc>
          <w:tcPr>
            <w:tcW w:type="dxa" w:w="1512"/>
          </w:tcPr>
          <w:p>
            <w:r>
              <w:rPr>
                <w:rFonts w:ascii="Arial" w:hAnsi="Arial"/>
                <w:sz w:val="18"/>
              </w:rPr>
              <w:t>5</w:t>
            </w:r>
          </w:p>
        </w:tc>
        <w:tc>
          <w:tcPr>
            <w:tcW w:type="dxa" w:w="1512"/>
          </w:tcPr>
          <w:p>
            <w:r>
              <w:rPr>
                <w:rFonts w:ascii="Arial" w:hAnsi="Arial"/>
                <w:sz w:val="18"/>
              </w:rPr>
              <w:t>-13.56</w:t>
            </w:r>
          </w:p>
        </w:tc>
        <w:tc>
          <w:tcPr>
            <w:tcW w:type="dxa" w:w="1512"/>
          </w:tcPr>
          <w:p>
            <w:r>
              <w:rPr>
                <w:rFonts w:ascii="Arial" w:hAnsi="Arial"/>
                <w:sz w:val="18"/>
              </w:rPr>
              <w:t>-7.04</w:t>
            </w:r>
          </w:p>
        </w:tc>
        <w:tc>
          <w:tcPr>
            <w:tcW w:type="dxa" w:w="1512"/>
          </w:tcPr>
          <w:p>
            <w:r>
              <w:rPr>
                <w:rFonts w:ascii="Arial" w:hAnsi="Arial"/>
                <w:sz w:val="18"/>
              </w:rPr>
              <w:t>0.230</w:t>
            </w:r>
          </w:p>
        </w:tc>
      </w:tr>
      <w:tr>
        <w:tc>
          <w:tcPr>
            <w:tcW w:type="dxa" w:w="1512"/>
          </w:tcPr>
          <w:p>
            <w:r>
              <w:rPr>
                <w:rFonts w:ascii="Arial" w:hAnsi="Arial"/>
                <w:sz w:val="18"/>
              </w:rPr>
              <w:t>Ganjam</w:t>
            </w:r>
          </w:p>
        </w:tc>
        <w:tc>
          <w:tcPr>
            <w:tcW w:type="dxa" w:w="1512"/>
          </w:tcPr>
          <w:p>
            <w:r>
              <w:rPr>
                <w:rFonts w:ascii="Arial" w:hAnsi="Arial"/>
                <w:sz w:val="18"/>
              </w:rPr>
              <w:t>Peak canopy (mid-Aug-late Sep)</w:t>
            </w:r>
          </w:p>
        </w:tc>
        <w:tc>
          <w:tcPr>
            <w:tcW w:type="dxa" w:w="1512"/>
          </w:tcPr>
          <w:p>
            <w:r>
              <w:rPr>
                <w:rFonts w:ascii="Arial" w:hAnsi="Arial"/>
                <w:sz w:val="18"/>
              </w:rPr>
              <w:t>4</w:t>
            </w:r>
          </w:p>
        </w:tc>
        <w:tc>
          <w:tcPr>
            <w:tcW w:type="dxa" w:w="1512"/>
          </w:tcPr>
          <w:p>
            <w:r>
              <w:rPr>
                <w:rFonts w:ascii="Arial" w:hAnsi="Arial"/>
                <w:sz w:val="18"/>
              </w:rPr>
              <w:t>-13.65</w:t>
            </w:r>
          </w:p>
        </w:tc>
        <w:tc>
          <w:tcPr>
            <w:tcW w:type="dxa" w:w="1512"/>
          </w:tcPr>
          <w:p>
            <w:r>
              <w:rPr>
                <w:rFonts w:ascii="Arial" w:hAnsi="Arial"/>
                <w:sz w:val="18"/>
              </w:rPr>
              <w:t>-6.67</w:t>
            </w:r>
          </w:p>
        </w:tc>
        <w:tc>
          <w:tcPr>
            <w:tcW w:type="dxa" w:w="1512"/>
          </w:tcPr>
          <w:p>
            <w:r>
              <w:rPr>
                <w:rFonts w:ascii="Arial" w:hAnsi="Arial"/>
                <w:sz w:val="18"/>
              </w:rPr>
              <w:t>0.210</w:t>
            </w:r>
          </w:p>
        </w:tc>
      </w:tr>
      <w:tr>
        <w:tc>
          <w:tcPr>
            <w:tcW w:type="dxa" w:w="1512"/>
          </w:tcPr>
          <w:p>
            <w:r>
              <w:rPr>
                <w:rFonts w:ascii="Arial" w:hAnsi="Arial"/>
                <w:sz w:val="18"/>
              </w:rPr>
              <w:t>Ganjam</w:t>
            </w:r>
          </w:p>
        </w:tc>
        <w:tc>
          <w:tcPr>
            <w:tcW w:type="dxa" w:w="1512"/>
          </w:tcPr>
          <w:p>
            <w:r>
              <w:rPr>
                <w:rFonts w:ascii="Arial" w:hAnsi="Arial"/>
                <w:sz w:val="18"/>
              </w:rPr>
              <w:t>Bulbul event window (Nov 1-21)</w:t>
            </w:r>
          </w:p>
        </w:tc>
        <w:tc>
          <w:tcPr>
            <w:tcW w:type="dxa" w:w="1512"/>
          </w:tcPr>
          <w:p>
            <w:r>
              <w:rPr>
                <w:rFonts w:ascii="Arial" w:hAnsi="Arial"/>
                <w:sz w:val="18"/>
              </w:rPr>
              <w:t>3</w:t>
            </w:r>
          </w:p>
        </w:tc>
        <w:tc>
          <w:tcPr>
            <w:tcW w:type="dxa" w:w="1512"/>
          </w:tcPr>
          <w:p>
            <w:r>
              <w:rPr>
                <w:rFonts w:ascii="Arial" w:hAnsi="Arial"/>
                <w:sz w:val="18"/>
              </w:rPr>
              <w:t>-13.57</w:t>
            </w:r>
          </w:p>
        </w:tc>
        <w:tc>
          <w:tcPr>
            <w:tcW w:type="dxa" w:w="1512"/>
          </w:tcPr>
          <w:p>
            <w:r>
              <w:rPr>
                <w:rFonts w:ascii="Arial" w:hAnsi="Arial"/>
                <w:sz w:val="18"/>
              </w:rPr>
              <w:t>-7.55</w:t>
            </w:r>
          </w:p>
        </w:tc>
        <w:tc>
          <w:tcPr>
            <w:tcW w:type="dxa" w:w="1512"/>
          </w:tcPr>
          <w:p>
            <w:r>
              <w:rPr>
                <w:rFonts w:ascii="Arial" w:hAnsi="Arial"/>
                <w:sz w:val="18"/>
              </w:rPr>
              <w:t>0.260</w:t>
            </w:r>
          </w:p>
        </w:tc>
      </w:tr>
      <w:tr>
        <w:tc>
          <w:tcPr>
            <w:tcW w:type="dxa" w:w="1512"/>
          </w:tcPr>
          <w:p>
            <w:r>
              <w:rPr>
                <w:rFonts w:ascii="Arial" w:hAnsi="Arial"/>
                <w:sz w:val="18"/>
              </w:rPr>
              <w:t>Khordha</w:t>
            </w:r>
          </w:p>
        </w:tc>
        <w:tc>
          <w:tcPr>
            <w:tcW w:type="dxa" w:w="1512"/>
          </w:tcPr>
          <w:p>
            <w:r>
              <w:rPr>
                <w:rFonts w:ascii="Arial" w:hAnsi="Arial"/>
                <w:sz w:val="18"/>
              </w:rPr>
              <w:t>Pre-transplant baseline (May)</w:t>
            </w:r>
          </w:p>
        </w:tc>
        <w:tc>
          <w:tcPr>
            <w:tcW w:type="dxa" w:w="1512"/>
          </w:tcPr>
          <w:p>
            <w:r>
              <w:rPr>
                <w:rFonts w:ascii="Arial" w:hAnsi="Arial"/>
                <w:sz w:val="18"/>
              </w:rPr>
              <w:t>4</w:t>
            </w:r>
          </w:p>
        </w:tc>
        <w:tc>
          <w:tcPr>
            <w:tcW w:type="dxa" w:w="1512"/>
          </w:tcPr>
          <w:p>
            <w:r>
              <w:rPr>
                <w:rFonts w:ascii="Arial" w:hAnsi="Arial"/>
                <w:sz w:val="18"/>
              </w:rPr>
              <w:t>-15.05</w:t>
            </w:r>
          </w:p>
        </w:tc>
        <w:tc>
          <w:tcPr>
            <w:tcW w:type="dxa" w:w="1512"/>
          </w:tcPr>
          <w:p>
            <w:r>
              <w:rPr>
                <w:rFonts w:ascii="Arial" w:hAnsi="Arial"/>
                <w:sz w:val="18"/>
              </w:rPr>
              <w:t>-8.75</w:t>
            </w:r>
          </w:p>
        </w:tc>
        <w:tc>
          <w:tcPr>
            <w:tcW w:type="dxa" w:w="1512"/>
          </w:tcPr>
          <w:p>
            <w:r>
              <w:rPr>
                <w:rFonts w:ascii="Arial" w:hAnsi="Arial"/>
                <w:sz w:val="18"/>
              </w:rPr>
              <w:t>0.245</w:t>
            </w:r>
          </w:p>
        </w:tc>
      </w:tr>
      <w:tr>
        <w:tc>
          <w:tcPr>
            <w:tcW w:type="dxa" w:w="1512"/>
          </w:tcPr>
          <w:p>
            <w:r>
              <w:rPr>
                <w:rFonts w:ascii="Arial" w:hAnsi="Arial"/>
                <w:sz w:val="18"/>
              </w:rPr>
              <w:t>Khordha</w:t>
            </w:r>
          </w:p>
        </w:tc>
        <w:tc>
          <w:tcPr>
            <w:tcW w:type="dxa" w:w="1512"/>
          </w:tcPr>
          <w:p>
            <w:r>
              <w:rPr>
                <w:rFonts w:ascii="Arial" w:hAnsi="Arial"/>
                <w:sz w:val="18"/>
              </w:rPr>
              <w:t>Agronomic transplanting (Jun-early Aug)</w:t>
            </w:r>
          </w:p>
        </w:tc>
        <w:tc>
          <w:tcPr>
            <w:tcW w:type="dxa" w:w="1512"/>
          </w:tcPr>
          <w:p>
            <w:r>
              <w:rPr>
                <w:rFonts w:ascii="Arial" w:hAnsi="Arial"/>
                <w:sz w:val="18"/>
              </w:rPr>
              <w:t>5</w:t>
            </w:r>
          </w:p>
        </w:tc>
        <w:tc>
          <w:tcPr>
            <w:tcW w:type="dxa" w:w="1512"/>
          </w:tcPr>
          <w:p>
            <w:r>
              <w:rPr>
                <w:rFonts w:ascii="Arial" w:hAnsi="Arial"/>
                <w:sz w:val="18"/>
              </w:rPr>
              <w:t>-14.24</w:t>
            </w:r>
          </w:p>
        </w:tc>
        <w:tc>
          <w:tcPr>
            <w:tcW w:type="dxa" w:w="1512"/>
          </w:tcPr>
          <w:p>
            <w:r>
              <w:rPr>
                <w:rFonts w:ascii="Arial" w:hAnsi="Arial"/>
                <w:sz w:val="18"/>
              </w:rPr>
              <w:t>-7.47</w:t>
            </w:r>
          </w:p>
        </w:tc>
        <w:tc>
          <w:tcPr>
            <w:tcW w:type="dxa" w:w="1512"/>
          </w:tcPr>
          <w:p>
            <w:r>
              <w:rPr>
                <w:rFonts w:ascii="Arial" w:hAnsi="Arial"/>
                <w:sz w:val="18"/>
              </w:rPr>
              <w:t>0.223</w:t>
            </w:r>
          </w:p>
        </w:tc>
      </w:tr>
      <w:tr>
        <w:tc>
          <w:tcPr>
            <w:tcW w:type="dxa" w:w="1512"/>
          </w:tcPr>
          <w:p>
            <w:r>
              <w:rPr>
                <w:rFonts w:ascii="Arial" w:hAnsi="Arial"/>
                <w:sz w:val="18"/>
              </w:rPr>
              <w:t>Khordha</w:t>
            </w:r>
          </w:p>
        </w:tc>
        <w:tc>
          <w:tcPr>
            <w:tcW w:type="dxa" w:w="1512"/>
          </w:tcPr>
          <w:p>
            <w:r>
              <w:rPr>
                <w:rFonts w:ascii="Arial" w:hAnsi="Arial"/>
                <w:sz w:val="18"/>
              </w:rPr>
              <w:t>Peak canopy (mid-Aug-late Sep)</w:t>
            </w:r>
          </w:p>
        </w:tc>
        <w:tc>
          <w:tcPr>
            <w:tcW w:type="dxa" w:w="1512"/>
          </w:tcPr>
          <w:p>
            <w:r>
              <w:rPr>
                <w:rFonts w:ascii="Arial" w:hAnsi="Arial"/>
                <w:sz w:val="18"/>
              </w:rPr>
              <w:t>4</w:t>
            </w:r>
          </w:p>
        </w:tc>
        <w:tc>
          <w:tcPr>
            <w:tcW w:type="dxa" w:w="1512"/>
          </w:tcPr>
          <w:p>
            <w:r>
              <w:rPr>
                <w:rFonts w:ascii="Arial" w:hAnsi="Arial"/>
                <w:sz w:val="18"/>
              </w:rPr>
              <w:t>-14.27</w:t>
            </w:r>
          </w:p>
        </w:tc>
        <w:tc>
          <w:tcPr>
            <w:tcW w:type="dxa" w:w="1512"/>
          </w:tcPr>
          <w:p>
            <w:r>
              <w:rPr>
                <w:rFonts w:ascii="Arial" w:hAnsi="Arial"/>
                <w:sz w:val="18"/>
              </w:rPr>
              <w:t>-7.32</w:t>
            </w:r>
          </w:p>
        </w:tc>
        <w:tc>
          <w:tcPr>
            <w:tcW w:type="dxa" w:w="1512"/>
          </w:tcPr>
          <w:p>
            <w:r>
              <w:rPr>
                <w:rFonts w:ascii="Arial" w:hAnsi="Arial"/>
                <w:sz w:val="18"/>
              </w:rPr>
              <w:t>0.216</w:t>
            </w:r>
          </w:p>
        </w:tc>
      </w:tr>
      <w:tr>
        <w:tc>
          <w:tcPr>
            <w:tcW w:type="dxa" w:w="1512"/>
          </w:tcPr>
          <w:p>
            <w:r>
              <w:rPr>
                <w:rFonts w:ascii="Arial" w:hAnsi="Arial"/>
                <w:sz w:val="18"/>
              </w:rPr>
              <w:t>Khordha</w:t>
            </w:r>
          </w:p>
        </w:tc>
        <w:tc>
          <w:tcPr>
            <w:tcW w:type="dxa" w:w="1512"/>
          </w:tcPr>
          <w:p>
            <w:r>
              <w:rPr>
                <w:rFonts w:ascii="Arial" w:hAnsi="Arial"/>
                <w:sz w:val="18"/>
              </w:rPr>
              <w:t>Bulbul event window (Nov 1-21)</w:t>
            </w:r>
          </w:p>
        </w:tc>
        <w:tc>
          <w:tcPr>
            <w:tcW w:type="dxa" w:w="1512"/>
          </w:tcPr>
          <w:p>
            <w:r>
              <w:rPr>
                <w:rFonts w:ascii="Arial" w:hAnsi="Arial"/>
                <w:sz w:val="18"/>
              </w:rPr>
              <w:t>3</w:t>
            </w:r>
          </w:p>
        </w:tc>
        <w:tc>
          <w:tcPr>
            <w:tcW w:type="dxa" w:w="1512"/>
          </w:tcPr>
          <w:p>
            <w:r>
              <w:rPr>
                <w:rFonts w:ascii="Arial" w:hAnsi="Arial"/>
                <w:sz w:val="18"/>
              </w:rPr>
              <w:t>-13.42</w:t>
            </w:r>
          </w:p>
        </w:tc>
        <w:tc>
          <w:tcPr>
            <w:tcW w:type="dxa" w:w="1512"/>
          </w:tcPr>
          <w:p>
            <w:r>
              <w:rPr>
                <w:rFonts w:ascii="Arial" w:hAnsi="Arial"/>
                <w:sz w:val="18"/>
              </w:rPr>
              <w:t>-7.38</w:t>
            </w:r>
          </w:p>
        </w:tc>
        <w:tc>
          <w:tcPr>
            <w:tcW w:type="dxa" w:w="1512"/>
          </w:tcPr>
          <w:p>
            <w:r>
              <w:rPr>
                <w:rFonts w:ascii="Arial" w:hAnsi="Arial"/>
                <w:sz w:val="18"/>
              </w:rPr>
              <w:t>0.262</w:t>
            </w:r>
          </w:p>
        </w:tc>
      </w:tr>
      <w:tr>
        <w:tc>
          <w:tcPr>
            <w:tcW w:type="dxa" w:w="1512"/>
          </w:tcPr>
          <w:p>
            <w:r>
              <w:rPr>
                <w:rFonts w:ascii="Arial" w:hAnsi="Arial"/>
                <w:sz w:val="18"/>
              </w:rPr>
              <w:t>Nayagarh</w:t>
            </w:r>
          </w:p>
        </w:tc>
        <w:tc>
          <w:tcPr>
            <w:tcW w:type="dxa" w:w="1512"/>
          </w:tcPr>
          <w:p>
            <w:r>
              <w:rPr>
                <w:rFonts w:ascii="Arial" w:hAnsi="Arial"/>
                <w:sz w:val="18"/>
              </w:rPr>
              <w:t>Pre-transplant baseline (May)</w:t>
            </w:r>
          </w:p>
        </w:tc>
        <w:tc>
          <w:tcPr>
            <w:tcW w:type="dxa" w:w="1512"/>
          </w:tcPr>
          <w:p>
            <w:r>
              <w:rPr>
                <w:rFonts w:ascii="Arial" w:hAnsi="Arial"/>
                <w:sz w:val="18"/>
              </w:rPr>
              <w:t>1</w:t>
            </w:r>
          </w:p>
        </w:tc>
        <w:tc>
          <w:tcPr>
            <w:tcW w:type="dxa" w:w="1512"/>
          </w:tcPr>
          <w:p>
            <w:r>
              <w:rPr>
                <w:rFonts w:ascii="Arial" w:hAnsi="Arial"/>
                <w:sz w:val="18"/>
              </w:rPr>
              <w:t>-13.43</w:t>
            </w:r>
          </w:p>
        </w:tc>
        <w:tc>
          <w:tcPr>
            <w:tcW w:type="dxa" w:w="1512"/>
          </w:tcPr>
          <w:p>
            <w:r>
              <w:rPr>
                <w:rFonts w:ascii="Arial" w:hAnsi="Arial"/>
                <w:sz w:val="18"/>
              </w:rPr>
              <w:t>-7.12</w:t>
            </w:r>
          </w:p>
        </w:tc>
        <w:tc>
          <w:tcPr>
            <w:tcW w:type="dxa" w:w="1512"/>
          </w:tcPr>
          <w:p>
            <w:r>
              <w:rPr>
                <w:rFonts w:ascii="Arial" w:hAnsi="Arial"/>
                <w:sz w:val="18"/>
              </w:rPr>
              <w:t>0.241</w:t>
            </w:r>
          </w:p>
        </w:tc>
      </w:tr>
      <w:tr>
        <w:tc>
          <w:tcPr>
            <w:tcW w:type="dxa" w:w="1512"/>
          </w:tcPr>
          <w:p>
            <w:r>
              <w:rPr>
                <w:rFonts w:ascii="Arial" w:hAnsi="Arial"/>
                <w:sz w:val="18"/>
              </w:rPr>
              <w:t>Nayagarh</w:t>
            </w:r>
          </w:p>
        </w:tc>
        <w:tc>
          <w:tcPr>
            <w:tcW w:type="dxa" w:w="1512"/>
          </w:tcPr>
          <w:p>
            <w:r>
              <w:rPr>
                <w:rFonts w:ascii="Arial" w:hAnsi="Arial"/>
                <w:sz w:val="18"/>
              </w:rPr>
              <w:t>Agronomic transplanting (Jun-early Aug)</w:t>
            </w:r>
          </w:p>
        </w:tc>
        <w:tc>
          <w:tcPr>
            <w:tcW w:type="dxa" w:w="1512"/>
          </w:tcPr>
          <w:p>
            <w:r>
              <w:rPr>
                <w:rFonts w:ascii="Arial" w:hAnsi="Arial"/>
                <w:sz w:val="18"/>
              </w:rPr>
              <w:t>4</w:t>
            </w:r>
          </w:p>
        </w:tc>
        <w:tc>
          <w:tcPr>
            <w:tcW w:type="dxa" w:w="1512"/>
          </w:tcPr>
          <w:p>
            <w:r>
              <w:rPr>
                <w:rFonts w:ascii="Arial" w:hAnsi="Arial"/>
                <w:sz w:val="18"/>
              </w:rPr>
              <w:t>-13.46</w:t>
            </w:r>
          </w:p>
        </w:tc>
        <w:tc>
          <w:tcPr>
            <w:tcW w:type="dxa" w:w="1512"/>
          </w:tcPr>
          <w:p>
            <w:r>
              <w:rPr>
                <w:rFonts w:ascii="Arial" w:hAnsi="Arial"/>
                <w:sz w:val="18"/>
              </w:rPr>
              <w:t>-6.74</w:t>
            </w:r>
          </w:p>
        </w:tc>
        <w:tc>
          <w:tcPr>
            <w:tcW w:type="dxa" w:w="1512"/>
          </w:tcPr>
          <w:p>
            <w:r>
              <w:rPr>
                <w:rFonts w:ascii="Arial" w:hAnsi="Arial"/>
                <w:sz w:val="18"/>
              </w:rPr>
              <w:t>0.220</w:t>
            </w:r>
          </w:p>
        </w:tc>
      </w:tr>
      <w:tr>
        <w:tc>
          <w:tcPr>
            <w:tcW w:type="dxa" w:w="1512"/>
          </w:tcPr>
          <w:p>
            <w:r>
              <w:rPr>
                <w:rFonts w:ascii="Arial" w:hAnsi="Arial"/>
                <w:sz w:val="18"/>
              </w:rPr>
              <w:t>Nayagarh</w:t>
            </w:r>
          </w:p>
        </w:tc>
        <w:tc>
          <w:tcPr>
            <w:tcW w:type="dxa" w:w="1512"/>
          </w:tcPr>
          <w:p>
            <w:r>
              <w:rPr>
                <w:rFonts w:ascii="Arial" w:hAnsi="Arial"/>
                <w:sz w:val="18"/>
              </w:rPr>
              <w:t>Peak canopy (mid-Aug-late Sep)</w:t>
            </w:r>
          </w:p>
        </w:tc>
        <w:tc>
          <w:tcPr>
            <w:tcW w:type="dxa" w:w="1512"/>
          </w:tcPr>
          <w:p>
            <w:r>
              <w:rPr>
                <w:rFonts w:ascii="Arial" w:hAnsi="Arial"/>
                <w:sz w:val="18"/>
              </w:rPr>
              <w:t>3</w:t>
            </w:r>
          </w:p>
        </w:tc>
        <w:tc>
          <w:tcPr>
            <w:tcW w:type="dxa" w:w="1512"/>
          </w:tcPr>
          <w:p>
            <w:r>
              <w:rPr>
                <w:rFonts w:ascii="Arial" w:hAnsi="Arial"/>
                <w:sz w:val="18"/>
              </w:rPr>
              <w:t>-13.42</w:t>
            </w:r>
          </w:p>
        </w:tc>
        <w:tc>
          <w:tcPr>
            <w:tcW w:type="dxa" w:w="1512"/>
          </w:tcPr>
          <w:p>
            <w:r>
              <w:rPr>
                <w:rFonts w:ascii="Arial" w:hAnsi="Arial"/>
                <w:sz w:val="18"/>
              </w:rPr>
              <w:t>-6.35</w:t>
            </w:r>
          </w:p>
        </w:tc>
        <w:tc>
          <w:tcPr>
            <w:tcW w:type="dxa" w:w="1512"/>
          </w:tcPr>
          <w:p>
            <w:r>
              <w:rPr>
                <w:rFonts w:ascii="Arial" w:hAnsi="Arial"/>
                <w:sz w:val="18"/>
              </w:rPr>
              <w:t>0.205</w:t>
            </w:r>
          </w:p>
        </w:tc>
      </w:tr>
      <w:tr>
        <w:tc>
          <w:tcPr>
            <w:tcW w:type="dxa" w:w="1512"/>
          </w:tcPr>
          <w:p>
            <w:r>
              <w:rPr>
                <w:rFonts w:ascii="Arial" w:hAnsi="Arial"/>
                <w:sz w:val="18"/>
              </w:rPr>
              <w:t>Nayagarh</w:t>
            </w:r>
          </w:p>
        </w:tc>
        <w:tc>
          <w:tcPr>
            <w:tcW w:type="dxa" w:w="1512"/>
          </w:tcPr>
          <w:p>
            <w:r>
              <w:rPr>
                <w:rFonts w:ascii="Arial" w:hAnsi="Arial"/>
                <w:sz w:val="18"/>
              </w:rPr>
              <w:t>Bulbul event window (Nov 1-21)</w:t>
            </w:r>
          </w:p>
        </w:tc>
        <w:tc>
          <w:tcPr>
            <w:tcW w:type="dxa" w:w="1512"/>
          </w:tcPr>
          <w:p>
            <w:r>
              <w:rPr>
                <w:rFonts w:ascii="Arial" w:hAnsi="Arial"/>
                <w:sz w:val="18"/>
              </w:rPr>
              <w:t>3</w:t>
            </w:r>
          </w:p>
        </w:tc>
        <w:tc>
          <w:tcPr>
            <w:tcW w:type="dxa" w:w="1512"/>
          </w:tcPr>
          <w:p>
            <w:r>
              <w:rPr>
                <w:rFonts w:ascii="Arial" w:hAnsi="Arial"/>
                <w:sz w:val="18"/>
              </w:rPr>
              <w:t>-13.20</w:t>
            </w:r>
          </w:p>
        </w:tc>
        <w:tc>
          <w:tcPr>
            <w:tcW w:type="dxa" w:w="1512"/>
          </w:tcPr>
          <w:p>
            <w:r>
              <w:rPr>
                <w:rFonts w:ascii="Arial" w:hAnsi="Arial"/>
                <w:sz w:val="18"/>
              </w:rPr>
              <w:t>-6.76</w:t>
            </w:r>
          </w:p>
        </w:tc>
        <w:tc>
          <w:tcPr>
            <w:tcW w:type="dxa" w:w="1512"/>
          </w:tcPr>
          <w:p>
            <w:r>
              <w:rPr>
                <w:rFonts w:ascii="Arial" w:hAnsi="Arial"/>
                <w:sz w:val="18"/>
              </w:rPr>
              <w:t>0.235</w:t>
            </w:r>
          </w:p>
        </w:tc>
      </w:tr>
    </w:tbl>
    <w:p/>
    <w:p>
      <w:r>
        <w:rPr>
          <w:rFonts w:ascii="Arial" w:hAnsi="Arial"/>
          <w:b/>
          <w:sz w:val="20"/>
        </w:rPr>
        <w:t>(b) Delta vs pre-transplant baseline</w:t>
      </w:r>
    </w:p>
    <w:tbl>
      <w:tblPr>
        <w:tblStyle w:val="LightGrid-Accent1"/>
        <w:tblW w:type="dxa" w:w="9072"/>
        <w:tblLook w:firstColumn="1" w:firstRow="1" w:lastColumn="0" w:lastRow="0" w:noHBand="0" w:noVBand="1" w:val="04A0"/>
        <w:tblLayout w:type="autofit"/>
      </w:tblPr>
      <w:tblGrid>
        <w:gridCol w:w="1814"/>
        <w:gridCol w:w="1814"/>
        <w:gridCol w:w="1814"/>
        <w:gridCol w:w="1814"/>
        <w:gridCol w:w="1816"/>
      </w:tblGrid>
      <w:tr>
        <w:tc>
          <w:tcPr>
            <w:tcW w:type="dxa" w:w="1814"/>
          </w:tcPr>
          <w:p>
            <w:r>
              <w:rPr>
                <w:rFonts w:ascii="Arial" w:hAnsi="Arial"/>
                <w:b/>
                <w:sz w:val="18"/>
              </w:rPr>
              <w:t>District</w:t>
            </w:r>
          </w:p>
        </w:tc>
        <w:tc>
          <w:tcPr>
            <w:tcW w:type="dxa" w:w="1814"/>
          </w:tcPr>
          <w:p>
            <w:r>
              <w:rPr>
                <w:rFonts w:ascii="Arial" w:hAnsi="Arial"/>
                <w:b/>
                <w:sz w:val="18"/>
              </w:rPr>
              <w:t>Phase</w:t>
            </w:r>
          </w:p>
        </w:tc>
        <w:tc>
          <w:tcPr>
            <w:tcW w:type="dxa" w:w="1814"/>
          </w:tcPr>
          <w:p>
            <w:r>
              <w:rPr>
                <w:rFonts w:ascii="Arial" w:hAnsi="Arial"/>
                <w:b/>
                <w:sz w:val="18"/>
              </w:rPr>
              <w:t>Delta VH (dB)</w:t>
            </w:r>
          </w:p>
        </w:tc>
        <w:tc>
          <w:tcPr>
            <w:tcW w:type="dxa" w:w="1814"/>
          </w:tcPr>
          <w:p>
            <w:r>
              <w:rPr>
                <w:rFonts w:ascii="Arial" w:hAnsi="Arial"/>
                <w:b/>
                <w:sz w:val="18"/>
              </w:rPr>
              <w:t>Delta VV (dB)</w:t>
            </w:r>
          </w:p>
        </w:tc>
        <w:tc>
          <w:tcPr>
            <w:tcW w:type="dxa" w:w="1816"/>
          </w:tcPr>
          <w:p>
            <w:r>
              <w:rPr>
                <w:rFonts w:ascii="Arial" w:hAnsi="Arial"/>
                <w:b/>
                <w:sz w:val="18"/>
              </w:rPr>
              <w:t>Delta CR</w:t>
            </w:r>
          </w:p>
        </w:tc>
      </w:tr>
      <w:tr>
        <w:tc>
          <w:tcPr>
            <w:tcW w:type="dxa" w:w="1814"/>
          </w:tcPr>
          <w:p>
            <w:r>
              <w:rPr>
                <w:rFonts w:ascii="Arial" w:hAnsi="Arial"/>
                <w:sz w:val="18"/>
              </w:rPr>
              <w:t>Boudh</w:t>
            </w:r>
          </w:p>
        </w:tc>
        <w:tc>
          <w:tcPr>
            <w:tcW w:type="dxa" w:w="1814"/>
          </w:tcPr>
          <w:p>
            <w:r>
              <w:rPr>
                <w:rFonts w:ascii="Arial" w:hAnsi="Arial"/>
                <w:sz w:val="18"/>
              </w:rPr>
              <w:t>Agronomic transplanting (Jun-early Aug)</w:t>
            </w:r>
          </w:p>
        </w:tc>
        <w:tc>
          <w:tcPr>
            <w:tcW w:type="dxa" w:w="1814"/>
          </w:tcPr>
          <w:p>
            <w:r>
              <w:rPr>
                <w:rFonts w:ascii="Arial" w:hAnsi="Arial"/>
                <w:sz w:val="18"/>
              </w:rPr>
              <w:t>+1.25</w:t>
            </w:r>
          </w:p>
        </w:tc>
        <w:tc>
          <w:tcPr>
            <w:tcW w:type="dxa" w:w="1814"/>
          </w:tcPr>
          <w:p>
            <w:r>
              <w:rPr>
                <w:rFonts w:ascii="Arial" w:hAnsi="Arial"/>
                <w:sz w:val="18"/>
              </w:rPr>
              <w:t>+1.51</w:t>
            </w:r>
          </w:p>
        </w:tc>
        <w:tc>
          <w:tcPr>
            <w:tcW w:type="dxa" w:w="1816"/>
          </w:tcPr>
          <w:p>
            <w:r>
              <w:rPr>
                <w:rFonts w:ascii="Arial" w:hAnsi="Arial"/>
                <w:sz w:val="18"/>
              </w:rPr>
              <w:t>-0.013</w:t>
            </w:r>
          </w:p>
        </w:tc>
      </w:tr>
      <w:tr>
        <w:tc>
          <w:tcPr>
            <w:tcW w:type="dxa" w:w="1814"/>
          </w:tcPr>
          <w:p>
            <w:r>
              <w:rPr>
                <w:rFonts w:ascii="Arial" w:hAnsi="Arial"/>
                <w:sz w:val="18"/>
              </w:rPr>
              <w:t>Boudh</w:t>
            </w:r>
          </w:p>
        </w:tc>
        <w:tc>
          <w:tcPr>
            <w:tcW w:type="dxa" w:w="1814"/>
          </w:tcPr>
          <w:p>
            <w:r>
              <w:rPr>
                <w:rFonts w:ascii="Arial" w:hAnsi="Arial"/>
                <w:sz w:val="18"/>
              </w:rPr>
              <w:t>Peak canopy (mid-Aug-late Sep)</w:t>
            </w:r>
          </w:p>
        </w:tc>
        <w:tc>
          <w:tcPr>
            <w:tcW w:type="dxa" w:w="1814"/>
          </w:tcPr>
          <w:p>
            <w:r>
              <w:rPr>
                <w:rFonts w:ascii="Arial" w:hAnsi="Arial"/>
                <w:sz w:val="18"/>
              </w:rPr>
              <w:t>+1.39</w:t>
            </w:r>
          </w:p>
        </w:tc>
        <w:tc>
          <w:tcPr>
            <w:tcW w:type="dxa" w:w="1814"/>
          </w:tcPr>
          <w:p>
            <w:r>
              <w:rPr>
                <w:rFonts w:ascii="Arial" w:hAnsi="Arial"/>
                <w:sz w:val="18"/>
              </w:rPr>
              <w:t>+1.89</w:t>
            </w:r>
          </w:p>
        </w:tc>
        <w:tc>
          <w:tcPr>
            <w:tcW w:type="dxa" w:w="1816"/>
          </w:tcPr>
          <w:p>
            <w:r>
              <w:rPr>
                <w:rFonts w:ascii="Arial" w:hAnsi="Arial"/>
                <w:sz w:val="18"/>
              </w:rPr>
              <w:t>-0.024</w:t>
            </w:r>
          </w:p>
        </w:tc>
      </w:tr>
      <w:tr>
        <w:tc>
          <w:tcPr>
            <w:tcW w:type="dxa" w:w="1814"/>
          </w:tcPr>
          <w:p>
            <w:r>
              <w:rPr>
                <w:rFonts w:ascii="Arial" w:hAnsi="Arial"/>
                <w:sz w:val="18"/>
              </w:rPr>
              <w:t>Boudh</w:t>
            </w:r>
          </w:p>
        </w:tc>
        <w:tc>
          <w:tcPr>
            <w:tcW w:type="dxa" w:w="1814"/>
          </w:tcPr>
          <w:p>
            <w:r>
              <w:rPr>
                <w:rFonts w:ascii="Arial" w:hAnsi="Arial"/>
                <w:sz w:val="18"/>
              </w:rPr>
              <w:t>Bulbul event window (Nov 1-21)</w:t>
            </w:r>
          </w:p>
        </w:tc>
        <w:tc>
          <w:tcPr>
            <w:tcW w:type="dxa" w:w="1814"/>
          </w:tcPr>
          <w:p>
            <w:r>
              <w:rPr>
                <w:rFonts w:ascii="Arial" w:hAnsi="Arial"/>
                <w:sz w:val="18"/>
              </w:rPr>
              <w:t>+1.41</w:t>
            </w:r>
          </w:p>
        </w:tc>
        <w:tc>
          <w:tcPr>
            <w:tcW w:type="dxa" w:w="1814"/>
          </w:tcPr>
          <w:p>
            <w:r>
              <w:rPr>
                <w:rFonts w:ascii="Arial" w:hAnsi="Arial"/>
                <w:sz w:val="18"/>
              </w:rPr>
              <w:t>+1.46</w:t>
            </w:r>
          </w:p>
        </w:tc>
        <w:tc>
          <w:tcPr>
            <w:tcW w:type="dxa" w:w="1816"/>
          </w:tcPr>
          <w:p>
            <w:r>
              <w:rPr>
                <w:rFonts w:ascii="Arial" w:hAnsi="Arial"/>
                <w:sz w:val="18"/>
              </w:rPr>
              <w:t>-0.001</w:t>
            </w:r>
          </w:p>
        </w:tc>
      </w:tr>
      <w:tr>
        <w:tc>
          <w:tcPr>
            <w:tcW w:type="dxa" w:w="1814"/>
          </w:tcPr>
          <w:p>
            <w:r>
              <w:rPr>
                <w:rFonts w:ascii="Arial" w:hAnsi="Arial"/>
                <w:sz w:val="18"/>
              </w:rPr>
              <w:t>Ganjam</w:t>
            </w:r>
          </w:p>
        </w:tc>
        <w:tc>
          <w:tcPr>
            <w:tcW w:type="dxa" w:w="1814"/>
          </w:tcPr>
          <w:p>
            <w:r>
              <w:rPr>
                <w:rFonts w:ascii="Arial" w:hAnsi="Arial"/>
                <w:sz w:val="18"/>
              </w:rPr>
              <w:t>Agronomic transplanting (Jun-early Aug)</w:t>
            </w:r>
          </w:p>
        </w:tc>
        <w:tc>
          <w:tcPr>
            <w:tcW w:type="dxa" w:w="1814"/>
          </w:tcPr>
          <w:p>
            <w:r>
              <w:rPr>
                <w:rFonts w:ascii="Arial" w:hAnsi="Arial"/>
                <w:sz w:val="18"/>
              </w:rPr>
              <w:t>+0.07</w:t>
            </w:r>
          </w:p>
        </w:tc>
        <w:tc>
          <w:tcPr>
            <w:tcW w:type="dxa" w:w="1814"/>
          </w:tcPr>
          <w:p>
            <w:r>
              <w:rPr>
                <w:rFonts w:ascii="Arial" w:hAnsi="Arial"/>
                <w:sz w:val="18"/>
              </w:rPr>
              <w:t>+0.09</w:t>
            </w:r>
          </w:p>
        </w:tc>
        <w:tc>
          <w:tcPr>
            <w:tcW w:type="dxa" w:w="1816"/>
          </w:tcPr>
          <w:p>
            <w:r>
              <w:rPr>
                <w:rFonts w:ascii="Arial" w:hAnsi="Arial"/>
                <w:sz w:val="18"/>
              </w:rPr>
              <w:t>-0.002</w:t>
            </w:r>
          </w:p>
        </w:tc>
      </w:tr>
      <w:tr>
        <w:tc>
          <w:tcPr>
            <w:tcW w:type="dxa" w:w="1814"/>
          </w:tcPr>
          <w:p>
            <w:r>
              <w:rPr>
                <w:rFonts w:ascii="Arial" w:hAnsi="Arial"/>
                <w:sz w:val="18"/>
              </w:rPr>
              <w:t>Ganjam</w:t>
            </w:r>
          </w:p>
        </w:tc>
        <w:tc>
          <w:tcPr>
            <w:tcW w:type="dxa" w:w="1814"/>
          </w:tcPr>
          <w:p>
            <w:r>
              <w:rPr>
                <w:rFonts w:ascii="Arial" w:hAnsi="Arial"/>
                <w:sz w:val="18"/>
              </w:rPr>
              <w:t>Peak canopy (mid-Aug-late Sep)</w:t>
            </w:r>
          </w:p>
        </w:tc>
        <w:tc>
          <w:tcPr>
            <w:tcW w:type="dxa" w:w="1814"/>
          </w:tcPr>
          <w:p>
            <w:r>
              <w:rPr>
                <w:rFonts w:ascii="Arial" w:hAnsi="Arial"/>
                <w:sz w:val="18"/>
              </w:rPr>
              <w:t>-0.02</w:t>
            </w:r>
          </w:p>
        </w:tc>
        <w:tc>
          <w:tcPr>
            <w:tcW w:type="dxa" w:w="1814"/>
          </w:tcPr>
          <w:p>
            <w:r>
              <w:rPr>
                <w:rFonts w:ascii="Arial" w:hAnsi="Arial"/>
                <w:sz w:val="18"/>
              </w:rPr>
              <w:t>+0.46</w:t>
            </w:r>
          </w:p>
        </w:tc>
        <w:tc>
          <w:tcPr>
            <w:tcW w:type="dxa" w:w="1816"/>
          </w:tcPr>
          <w:p>
            <w:r>
              <w:rPr>
                <w:rFonts w:ascii="Arial" w:hAnsi="Arial"/>
                <w:sz w:val="18"/>
              </w:rPr>
              <w:t>-0.022</w:t>
            </w:r>
          </w:p>
        </w:tc>
      </w:tr>
      <w:tr>
        <w:tc>
          <w:tcPr>
            <w:tcW w:type="dxa" w:w="1814"/>
          </w:tcPr>
          <w:p>
            <w:r>
              <w:rPr>
                <w:rFonts w:ascii="Arial" w:hAnsi="Arial"/>
                <w:sz w:val="18"/>
              </w:rPr>
              <w:t>Ganjam</w:t>
            </w:r>
          </w:p>
        </w:tc>
        <w:tc>
          <w:tcPr>
            <w:tcW w:type="dxa" w:w="1814"/>
          </w:tcPr>
          <w:p>
            <w:r>
              <w:rPr>
                <w:rFonts w:ascii="Arial" w:hAnsi="Arial"/>
                <w:sz w:val="18"/>
              </w:rPr>
              <w:t>Bulbul event window (Nov 1-21)</w:t>
            </w:r>
          </w:p>
        </w:tc>
        <w:tc>
          <w:tcPr>
            <w:tcW w:type="dxa" w:w="1814"/>
          </w:tcPr>
          <w:p>
            <w:r>
              <w:rPr>
                <w:rFonts w:ascii="Arial" w:hAnsi="Arial"/>
                <w:sz w:val="18"/>
              </w:rPr>
              <w:t>+0.06</w:t>
            </w:r>
          </w:p>
        </w:tc>
        <w:tc>
          <w:tcPr>
            <w:tcW w:type="dxa" w:w="1814"/>
          </w:tcPr>
          <w:p>
            <w:r>
              <w:rPr>
                <w:rFonts w:ascii="Arial" w:hAnsi="Arial"/>
                <w:sz w:val="18"/>
              </w:rPr>
              <w:t>-0.42</w:t>
            </w:r>
          </w:p>
        </w:tc>
        <w:tc>
          <w:tcPr>
            <w:tcW w:type="dxa" w:w="1816"/>
          </w:tcPr>
          <w:p>
            <w:r>
              <w:rPr>
                <w:rFonts w:ascii="Arial" w:hAnsi="Arial"/>
                <w:sz w:val="18"/>
              </w:rPr>
              <w:t>+0.028</w:t>
            </w:r>
          </w:p>
        </w:tc>
      </w:tr>
      <w:tr>
        <w:tc>
          <w:tcPr>
            <w:tcW w:type="dxa" w:w="1814"/>
          </w:tcPr>
          <w:p>
            <w:r>
              <w:rPr>
                <w:rFonts w:ascii="Arial" w:hAnsi="Arial"/>
                <w:sz w:val="18"/>
              </w:rPr>
              <w:t>Khordha</w:t>
            </w:r>
          </w:p>
        </w:tc>
        <w:tc>
          <w:tcPr>
            <w:tcW w:type="dxa" w:w="1814"/>
          </w:tcPr>
          <w:p>
            <w:r>
              <w:rPr>
                <w:rFonts w:ascii="Arial" w:hAnsi="Arial"/>
                <w:sz w:val="18"/>
              </w:rPr>
              <w:t>Agronomic transplanting (Jun-early Aug)</w:t>
            </w:r>
          </w:p>
        </w:tc>
        <w:tc>
          <w:tcPr>
            <w:tcW w:type="dxa" w:w="1814"/>
          </w:tcPr>
          <w:p>
            <w:r>
              <w:rPr>
                <w:rFonts w:ascii="Arial" w:hAnsi="Arial"/>
                <w:sz w:val="18"/>
              </w:rPr>
              <w:t>+0.81</w:t>
            </w:r>
          </w:p>
        </w:tc>
        <w:tc>
          <w:tcPr>
            <w:tcW w:type="dxa" w:w="1814"/>
          </w:tcPr>
          <w:p>
            <w:r>
              <w:rPr>
                <w:rFonts w:ascii="Arial" w:hAnsi="Arial"/>
                <w:sz w:val="18"/>
              </w:rPr>
              <w:t>+1.28</w:t>
            </w:r>
          </w:p>
        </w:tc>
        <w:tc>
          <w:tcPr>
            <w:tcW w:type="dxa" w:w="1816"/>
          </w:tcPr>
          <w:p>
            <w:r>
              <w:rPr>
                <w:rFonts w:ascii="Arial" w:hAnsi="Arial"/>
                <w:sz w:val="18"/>
              </w:rPr>
              <w:t>-0.022</w:t>
            </w:r>
          </w:p>
        </w:tc>
      </w:tr>
      <w:tr>
        <w:tc>
          <w:tcPr>
            <w:tcW w:type="dxa" w:w="1814"/>
          </w:tcPr>
          <w:p>
            <w:r>
              <w:rPr>
                <w:rFonts w:ascii="Arial" w:hAnsi="Arial"/>
                <w:sz w:val="18"/>
              </w:rPr>
              <w:t>Khordha</w:t>
            </w:r>
          </w:p>
        </w:tc>
        <w:tc>
          <w:tcPr>
            <w:tcW w:type="dxa" w:w="1814"/>
          </w:tcPr>
          <w:p>
            <w:r>
              <w:rPr>
                <w:rFonts w:ascii="Arial" w:hAnsi="Arial"/>
                <w:sz w:val="18"/>
              </w:rPr>
              <w:t>Peak canopy (mid-Aug-late Sep)</w:t>
            </w:r>
          </w:p>
        </w:tc>
        <w:tc>
          <w:tcPr>
            <w:tcW w:type="dxa" w:w="1814"/>
          </w:tcPr>
          <w:p>
            <w:r>
              <w:rPr>
                <w:rFonts w:ascii="Arial" w:hAnsi="Arial"/>
                <w:sz w:val="18"/>
              </w:rPr>
              <w:t>+0.78</w:t>
            </w:r>
          </w:p>
        </w:tc>
        <w:tc>
          <w:tcPr>
            <w:tcW w:type="dxa" w:w="1814"/>
          </w:tcPr>
          <w:p>
            <w:r>
              <w:rPr>
                <w:rFonts w:ascii="Arial" w:hAnsi="Arial"/>
                <w:sz w:val="18"/>
              </w:rPr>
              <w:t>+1.43</w:t>
            </w:r>
          </w:p>
        </w:tc>
        <w:tc>
          <w:tcPr>
            <w:tcW w:type="dxa" w:w="1816"/>
          </w:tcPr>
          <w:p>
            <w:r>
              <w:rPr>
                <w:rFonts w:ascii="Arial" w:hAnsi="Arial"/>
                <w:sz w:val="18"/>
              </w:rPr>
              <w:t>-0.029</w:t>
            </w:r>
          </w:p>
        </w:tc>
      </w:tr>
      <w:tr>
        <w:tc>
          <w:tcPr>
            <w:tcW w:type="dxa" w:w="1814"/>
          </w:tcPr>
          <w:p>
            <w:r>
              <w:rPr>
                <w:rFonts w:ascii="Arial" w:hAnsi="Arial"/>
                <w:sz w:val="18"/>
              </w:rPr>
              <w:t>Khordha</w:t>
            </w:r>
          </w:p>
        </w:tc>
        <w:tc>
          <w:tcPr>
            <w:tcW w:type="dxa" w:w="1814"/>
          </w:tcPr>
          <w:p>
            <w:r>
              <w:rPr>
                <w:rFonts w:ascii="Arial" w:hAnsi="Arial"/>
                <w:sz w:val="18"/>
              </w:rPr>
              <w:t>Bulbul event window (Nov 1-21)</w:t>
            </w:r>
          </w:p>
        </w:tc>
        <w:tc>
          <w:tcPr>
            <w:tcW w:type="dxa" w:w="1814"/>
          </w:tcPr>
          <w:p>
            <w:r>
              <w:rPr>
                <w:rFonts w:ascii="Arial" w:hAnsi="Arial"/>
                <w:sz w:val="18"/>
              </w:rPr>
              <w:t>+1.63</w:t>
            </w:r>
          </w:p>
        </w:tc>
        <w:tc>
          <w:tcPr>
            <w:tcW w:type="dxa" w:w="1814"/>
          </w:tcPr>
          <w:p>
            <w:r>
              <w:rPr>
                <w:rFonts w:ascii="Arial" w:hAnsi="Arial"/>
                <w:sz w:val="18"/>
              </w:rPr>
              <w:t>+1.37</w:t>
            </w:r>
          </w:p>
        </w:tc>
        <w:tc>
          <w:tcPr>
            <w:tcW w:type="dxa" w:w="1816"/>
          </w:tcPr>
          <w:p>
            <w:r>
              <w:rPr>
                <w:rFonts w:ascii="Arial" w:hAnsi="Arial"/>
                <w:sz w:val="18"/>
              </w:rPr>
              <w:t>+0.017</w:t>
            </w:r>
          </w:p>
        </w:tc>
      </w:tr>
      <w:tr>
        <w:tc>
          <w:tcPr>
            <w:tcW w:type="dxa" w:w="1814"/>
          </w:tcPr>
          <w:p>
            <w:r>
              <w:rPr>
                <w:rFonts w:ascii="Arial" w:hAnsi="Arial"/>
                <w:sz w:val="18"/>
              </w:rPr>
              <w:t>Nayagarh</w:t>
            </w:r>
          </w:p>
        </w:tc>
        <w:tc>
          <w:tcPr>
            <w:tcW w:type="dxa" w:w="1814"/>
          </w:tcPr>
          <w:p>
            <w:r>
              <w:rPr>
                <w:rFonts w:ascii="Arial" w:hAnsi="Arial"/>
                <w:sz w:val="18"/>
              </w:rPr>
              <w:t>Agronomic transplanting (Jun-early Aug)</w:t>
            </w:r>
          </w:p>
        </w:tc>
        <w:tc>
          <w:tcPr>
            <w:tcW w:type="dxa" w:w="1814"/>
          </w:tcPr>
          <w:p>
            <w:r>
              <w:rPr>
                <w:rFonts w:ascii="Arial" w:hAnsi="Arial"/>
                <w:sz w:val="18"/>
              </w:rPr>
              <w:t>-0.03</w:t>
            </w:r>
          </w:p>
        </w:tc>
        <w:tc>
          <w:tcPr>
            <w:tcW w:type="dxa" w:w="1814"/>
          </w:tcPr>
          <w:p>
            <w:r>
              <w:rPr>
                <w:rFonts w:ascii="Arial" w:hAnsi="Arial"/>
                <w:sz w:val="18"/>
              </w:rPr>
              <w:t>+0.38</w:t>
            </w:r>
          </w:p>
        </w:tc>
        <w:tc>
          <w:tcPr>
            <w:tcW w:type="dxa" w:w="1816"/>
          </w:tcPr>
          <w:p>
            <w:r>
              <w:rPr>
                <w:rFonts w:ascii="Arial" w:hAnsi="Arial"/>
                <w:sz w:val="18"/>
              </w:rPr>
              <w:t>-0.021</w:t>
            </w:r>
          </w:p>
        </w:tc>
      </w:tr>
      <w:tr>
        <w:tc>
          <w:tcPr>
            <w:tcW w:type="dxa" w:w="1814"/>
          </w:tcPr>
          <w:p>
            <w:r>
              <w:rPr>
                <w:rFonts w:ascii="Arial" w:hAnsi="Arial"/>
                <w:sz w:val="18"/>
              </w:rPr>
              <w:t>Nayagarh</w:t>
            </w:r>
          </w:p>
        </w:tc>
        <w:tc>
          <w:tcPr>
            <w:tcW w:type="dxa" w:w="1814"/>
          </w:tcPr>
          <w:p>
            <w:r>
              <w:rPr>
                <w:rFonts w:ascii="Arial" w:hAnsi="Arial"/>
                <w:sz w:val="18"/>
              </w:rPr>
              <w:t>Peak canopy (mid-Aug-late Sep)</w:t>
            </w:r>
          </w:p>
        </w:tc>
        <w:tc>
          <w:tcPr>
            <w:tcW w:type="dxa" w:w="1814"/>
          </w:tcPr>
          <w:p>
            <w:r>
              <w:rPr>
                <w:rFonts w:ascii="Arial" w:hAnsi="Arial"/>
                <w:sz w:val="18"/>
              </w:rPr>
              <w:t>+0.01</w:t>
            </w:r>
          </w:p>
        </w:tc>
        <w:tc>
          <w:tcPr>
            <w:tcW w:type="dxa" w:w="1814"/>
          </w:tcPr>
          <w:p>
            <w:r>
              <w:rPr>
                <w:rFonts w:ascii="Arial" w:hAnsi="Arial"/>
                <w:sz w:val="18"/>
              </w:rPr>
              <w:t>+0.77</w:t>
            </w:r>
          </w:p>
        </w:tc>
        <w:tc>
          <w:tcPr>
            <w:tcW w:type="dxa" w:w="1816"/>
          </w:tcPr>
          <w:p>
            <w:r>
              <w:rPr>
                <w:rFonts w:ascii="Arial" w:hAnsi="Arial"/>
                <w:sz w:val="18"/>
              </w:rPr>
              <w:t>-0.036</w:t>
            </w:r>
          </w:p>
        </w:tc>
      </w:tr>
      <w:tr>
        <w:tc>
          <w:tcPr>
            <w:tcW w:type="dxa" w:w="1814"/>
          </w:tcPr>
          <w:p>
            <w:r>
              <w:rPr>
                <w:rFonts w:ascii="Arial" w:hAnsi="Arial"/>
                <w:sz w:val="18"/>
              </w:rPr>
              <w:t>Nayagarh</w:t>
            </w:r>
          </w:p>
        </w:tc>
        <w:tc>
          <w:tcPr>
            <w:tcW w:type="dxa" w:w="1814"/>
          </w:tcPr>
          <w:p>
            <w:r>
              <w:rPr>
                <w:rFonts w:ascii="Arial" w:hAnsi="Arial"/>
                <w:sz w:val="18"/>
              </w:rPr>
              <w:t>Bulbul event window (Nov 1-21)</w:t>
            </w:r>
          </w:p>
        </w:tc>
        <w:tc>
          <w:tcPr>
            <w:tcW w:type="dxa" w:w="1814"/>
          </w:tcPr>
          <w:p>
            <w:r>
              <w:rPr>
                <w:rFonts w:ascii="Arial" w:hAnsi="Arial"/>
                <w:sz w:val="18"/>
              </w:rPr>
              <w:t>+0.23</w:t>
            </w:r>
          </w:p>
        </w:tc>
        <w:tc>
          <w:tcPr>
            <w:tcW w:type="dxa" w:w="1814"/>
          </w:tcPr>
          <w:p>
            <w:r>
              <w:rPr>
                <w:rFonts w:ascii="Arial" w:hAnsi="Arial"/>
                <w:sz w:val="18"/>
              </w:rPr>
              <w:t>+0.36</w:t>
            </w:r>
          </w:p>
        </w:tc>
        <w:tc>
          <w:tcPr>
            <w:tcW w:type="dxa" w:w="1816"/>
          </w:tcPr>
          <w:p>
            <w:r>
              <w:rPr>
                <w:rFonts w:ascii="Arial" w:hAnsi="Arial"/>
                <w:sz w:val="18"/>
              </w:rPr>
              <w:t>-0.006</w:t>
            </w:r>
          </w:p>
        </w:tc>
      </w:tr>
    </w:tbl>
    <w:p>
      <w:r>
        <w:rPr>
          <w:rFonts w:ascii="Arial" w:hAnsi="Arial"/>
          <w:sz w:val="20"/>
        </w:rPr>
        <w:br w:type="page"/>
      </w:r>
    </w:p>
    <w:p>
      <w:pPr>
        <w:keepNext/>
        <w:spacing w:before="240" w:after="120"/>
      </w:pPr>
      <w:bookmarkStart w:id="32410" w:name="figure_s1"/>
      <w:r>
        <w:rPr>
          <w:rFonts w:ascii="Arial" w:hAnsi="Arial"/>
          <w:b/>
          <w:color w:val="1F3A5F"/>
          <w:sz w:val="32"/>
        </w:rPr>
        <w:t>Figure S1 — Pre-Kharif cyclone climatology</w:t>
      </w:r>
      <w:bookmarkEnd w:id="32410"/>
    </w:p>
    <w:p>
      <w:pPr>
        <w:jc w:val="center"/>
      </w:pPr>
      <w:r>
        <w:rPr>
          <w:rFonts w:ascii="Arial" w:hAnsi="Arial"/>
          <w:sz w:val="20"/>
        </w:rPr>
        <w:drawing>
          <wp:inline xmlns:a="http://schemas.openxmlformats.org/drawingml/2006/main" xmlns:pic="http://schemas.openxmlformats.org/drawingml/2006/picture">
            <wp:extent cx="5943600" cy="2374055"/>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74055"/>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95991" w:name="figure_s2"/>
      <w:r>
        <w:rPr>
          <w:rFonts w:ascii="Arial" w:hAnsi="Arial"/>
          <w:b/>
          <w:color w:val="1F3A5F"/>
          <w:sz w:val="32"/>
        </w:rPr>
        <w:t>Figure S2 — Real Sentinel-1 RTC backscatter signatures (Planetary Computer)</w:t>
      </w:r>
      <w:bookmarkEnd w:id="95991"/>
    </w:p>
    <w:p>
      <w:pPr>
        <w:jc w:val="center"/>
      </w:pPr>
      <w:r>
        <w:rPr>
          <w:rFonts w:ascii="Arial" w:hAnsi="Arial"/>
          <w:sz w:val="20"/>
        </w:rPr>
        <w:drawing>
          <wp:inline xmlns:a="http://schemas.openxmlformats.org/drawingml/2006/main" xmlns:pic="http://schemas.openxmlformats.org/drawingml/2006/picture">
            <wp:extent cx="5943600" cy="6257393"/>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6257393"/>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p>
      <w:r/>
    </w:p>
    <w:sectPr w:rsidR="00FC693F" w:rsidRPr="0006063C" w:rsidSect="00034616">
      <w:footerReference w:type="default" r:id="rId9"/>
      <w:pgSz w:w="11906" w:h="16838"/>
      <w:pgMar w:top="1417" w:right="1417" w:bottom="1417" w:left="1417" w:header="720" w:footer="720" w:gutter="0"/>
      <w:cols w:space="720"/>
      <w:docGrid w:linePitch="360"/>
    </w:sectPr>
    <w:p>
      <w:r>
        <w:rPr>
          <w:b/>
          <w:color w:val="1F3A5F"/>
          <w:sz w:val="26"/>
        </w:rPr>
        <w:t>Table S10 — Random-forest classifier feature importance and falsifiability checks</w:t>
      </w:r>
    </w:p>
    <w:p>
      <w:r>
        <w:rPr>
          <w:b/>
          <w:color w:val="1F3A5F"/>
          <w:sz w:val="22"/>
        </w:rPr>
        <w:t>Panel A. Gini feature importance (full-feature model, n_features = 7)</w:t>
      </w:r>
    </w:p>
    <w:p>
      <w:r>
        <w:rPr>
          <w:i/>
          <w:sz w:val="18"/>
        </w:rPr>
        <w:t>Gini importance of features in the v0.3.0 saline-flood random-forest classifier (n_train = 384, n_test = 96, OA = 0.990, F1 = 0.990). Source: analysis/results/rf_feature_importance_real.csv.</w:t>
      </w:r>
    </w:p>
    <w:tbl>
      <w:tblPr>
        <w:tblStyle w:val="LightGrid-Accent1"/>
        <w:tblW w:type="dxa" w:w="9072"/>
        <w:tblLook w:firstColumn="1" w:firstRow="1" w:lastColumn="0" w:lastRow="0" w:noHBand="0" w:noVBand="1" w:val="04A0"/>
        <w:tblLayout w:type="autofit"/>
      </w:tblPr>
      <w:tblGrid>
        <w:gridCol w:w="2268"/>
        <w:gridCol w:w="2268"/>
        <w:gridCol w:w="2268"/>
        <w:gridCol w:w="2268"/>
      </w:tblGrid>
      <w:tr>
        <w:tc>
          <w:tcPr>
            <w:tcW w:type="dxa" w:w="2268"/>
            <w:shd w:fill="1F3A5F"/>
          </w:tcPr>
          <w:p>
            <w:r/>
            <w:r>
              <w:rPr>
                <w:b/>
                <w:color w:val="FFFFFF"/>
                <w:sz w:val="18"/>
              </w:rPr>
              <w:t>Rank</w:t>
            </w:r>
          </w:p>
        </w:tc>
        <w:tc>
          <w:tcPr>
            <w:tcW w:type="dxa" w:w="2268"/>
            <w:shd w:fill="1F3A5F"/>
          </w:tcPr>
          <w:p>
            <w:r/>
            <w:r>
              <w:rPr>
                <w:b/>
                <w:color w:val="FFFFFF"/>
                <w:sz w:val="18"/>
              </w:rPr>
              <w:t>Feature</w:t>
            </w:r>
          </w:p>
        </w:tc>
        <w:tc>
          <w:tcPr>
            <w:tcW w:type="dxa" w:w="2268"/>
            <w:shd w:fill="1F3A5F"/>
          </w:tcPr>
          <w:p>
            <w:r/>
            <w:r>
              <w:rPr>
                <w:b/>
                <w:color w:val="FFFFFF"/>
                <w:sz w:val="18"/>
              </w:rPr>
              <w:t>Description</w:t>
            </w:r>
          </w:p>
        </w:tc>
        <w:tc>
          <w:tcPr>
            <w:tcW w:type="dxa" w:w="2268"/>
            <w:shd w:fill="1F3A5F"/>
          </w:tcPr>
          <w:p>
            <w:r/>
            <w:r>
              <w:rPr>
                <w:b/>
                <w:color w:val="FFFFFF"/>
                <w:sz w:val="18"/>
              </w:rPr>
              <w:t>Gini importance</w:t>
            </w:r>
          </w:p>
        </w:tc>
      </w:tr>
      <w:tr>
        <w:tc>
          <w:tcPr>
            <w:tcW w:type="dxa" w:w="2268"/>
          </w:tcPr>
          <w:p>
            <w:r/>
            <w:r>
              <w:rPr>
                <w:sz w:val="18"/>
              </w:rPr>
              <w:t>1</w:t>
            </w:r>
          </w:p>
        </w:tc>
        <w:tc>
          <w:tcPr>
            <w:tcW w:type="dxa" w:w="2268"/>
          </w:tcPr>
          <w:p>
            <w:r/>
            <w:r>
              <w:rPr>
                <w:sz w:val="18"/>
              </w:rPr>
              <w:t>ndwi_max_event_window</w:t>
            </w:r>
          </w:p>
        </w:tc>
        <w:tc>
          <w:tcPr>
            <w:tcW w:type="dxa" w:w="2268"/>
          </w:tcPr>
          <w:p>
            <w:r/>
            <w:r>
              <w:rPr>
                <w:sz w:val="18"/>
              </w:rPr>
              <w:t>Sentinel-2 NDWI maximum over event window</w:t>
            </w:r>
          </w:p>
        </w:tc>
        <w:tc>
          <w:tcPr>
            <w:tcW w:type="dxa" w:w="2268"/>
          </w:tcPr>
          <w:p>
            <w:r/>
            <w:r>
              <w:rPr>
                <w:sz w:val="18"/>
              </w:rPr>
              <w:t>0.4502</w:t>
            </w:r>
          </w:p>
        </w:tc>
      </w:tr>
      <w:tr>
        <w:tc>
          <w:tcPr>
            <w:tcW w:type="dxa" w:w="2268"/>
          </w:tcPr>
          <w:p>
            <w:r/>
            <w:r>
              <w:rPr>
                <w:sz w:val="18"/>
              </w:rPr>
              <w:t>2</w:t>
            </w:r>
          </w:p>
        </w:tc>
        <w:tc>
          <w:tcPr>
            <w:tcW w:type="dxa" w:w="2268"/>
          </w:tcPr>
          <w:p>
            <w:r/>
            <w:r>
              <w:rPr>
                <w:sz w:val="18"/>
              </w:rPr>
              <w:t>lswi_min_event_window</w:t>
            </w:r>
          </w:p>
        </w:tc>
        <w:tc>
          <w:tcPr>
            <w:tcW w:type="dxa" w:w="2268"/>
          </w:tcPr>
          <w:p>
            <w:r/>
            <w:r>
              <w:rPr>
                <w:sz w:val="18"/>
              </w:rPr>
              <w:t>Sentinel-2 LSWI minimum over event window</w:t>
            </w:r>
          </w:p>
        </w:tc>
        <w:tc>
          <w:tcPr>
            <w:tcW w:type="dxa" w:w="2268"/>
          </w:tcPr>
          <w:p>
            <w:r/>
            <w:r>
              <w:rPr>
                <w:sz w:val="18"/>
              </w:rPr>
              <w:t>0.3399</w:t>
            </w:r>
          </w:p>
        </w:tc>
      </w:tr>
      <w:tr>
        <w:tc>
          <w:tcPr>
            <w:tcW w:type="dxa" w:w="2268"/>
          </w:tcPr>
          <w:p>
            <w:r/>
            <w:r>
              <w:rPr>
                <w:sz w:val="18"/>
              </w:rPr>
              <w:t>3</w:t>
            </w:r>
          </w:p>
        </w:tc>
        <w:tc>
          <w:tcPr>
            <w:tcW w:type="dxa" w:w="2268"/>
          </w:tcPr>
          <w:p>
            <w:r/>
            <w:r>
              <w:rPr>
                <w:sz w:val="18"/>
              </w:rPr>
              <w:t>delta_vh_db</w:t>
            </w:r>
          </w:p>
        </w:tc>
        <w:tc>
          <w:tcPr>
            <w:tcW w:type="dxa" w:w="2268"/>
          </w:tcPr>
          <w:p>
            <w:r/>
            <w:r>
              <w:rPr>
                <w:sz w:val="18"/>
              </w:rPr>
              <w:t>ΔVH (event median − 30-day pre-baseline median, dB)</w:t>
            </w:r>
          </w:p>
        </w:tc>
        <w:tc>
          <w:tcPr>
            <w:tcW w:type="dxa" w:w="2268"/>
          </w:tcPr>
          <w:p>
            <w:r/>
            <w:r>
              <w:rPr>
                <w:sz w:val="18"/>
              </w:rPr>
              <w:t>0.0734</w:t>
            </w:r>
          </w:p>
        </w:tc>
      </w:tr>
      <w:tr>
        <w:tc>
          <w:tcPr>
            <w:tcW w:type="dxa" w:w="2268"/>
          </w:tcPr>
          <w:p>
            <w:r/>
            <w:r>
              <w:rPr>
                <w:sz w:val="18"/>
              </w:rPr>
              <w:t>4</w:t>
            </w:r>
          </w:p>
        </w:tc>
        <w:tc>
          <w:tcPr>
            <w:tcW w:type="dxa" w:w="2268"/>
          </w:tcPr>
          <w:p>
            <w:r/>
            <w:r>
              <w:rPr>
                <w:sz w:val="18"/>
              </w:rPr>
              <w:t>vv_min_event_window</w:t>
            </w:r>
          </w:p>
        </w:tc>
        <w:tc>
          <w:tcPr>
            <w:tcW w:type="dxa" w:w="2268"/>
          </w:tcPr>
          <w:p>
            <w:r/>
            <w:r>
              <w:rPr>
                <w:sz w:val="18"/>
              </w:rPr>
              <w:t>VV minimum over event window (dB)</w:t>
            </w:r>
          </w:p>
        </w:tc>
        <w:tc>
          <w:tcPr>
            <w:tcW w:type="dxa" w:w="2268"/>
          </w:tcPr>
          <w:p>
            <w:r/>
            <w:r>
              <w:rPr>
                <w:sz w:val="18"/>
              </w:rPr>
              <w:t>0.0720</w:t>
            </w:r>
          </w:p>
        </w:tc>
      </w:tr>
      <w:tr>
        <w:tc>
          <w:tcPr>
            <w:tcW w:type="dxa" w:w="2268"/>
          </w:tcPr>
          <w:p>
            <w:r/>
            <w:r>
              <w:rPr>
                <w:sz w:val="18"/>
              </w:rPr>
              <w:t>5</w:t>
            </w:r>
          </w:p>
        </w:tc>
        <w:tc>
          <w:tcPr>
            <w:tcW w:type="dxa" w:w="2268"/>
          </w:tcPr>
          <w:p>
            <w:r/>
            <w:r>
              <w:rPr>
                <w:sz w:val="18"/>
              </w:rPr>
              <w:t>era5_3day_max_wind</w:t>
            </w:r>
          </w:p>
        </w:tc>
        <w:tc>
          <w:tcPr>
            <w:tcW w:type="dxa" w:w="2268"/>
          </w:tcPr>
          <w:p>
            <w:r/>
            <w:r>
              <w:rPr>
                <w:sz w:val="18"/>
              </w:rPr>
              <w:t>ERA5-Land 3-day maximum hourly wind speed (m s⁻¹)</w:t>
            </w:r>
          </w:p>
        </w:tc>
        <w:tc>
          <w:tcPr>
            <w:tcW w:type="dxa" w:w="2268"/>
          </w:tcPr>
          <w:p>
            <w:r/>
            <w:r>
              <w:rPr>
                <w:sz w:val="18"/>
              </w:rPr>
              <w:t>0.0369</w:t>
            </w:r>
          </w:p>
        </w:tc>
      </w:tr>
      <w:tr>
        <w:tc>
          <w:tcPr>
            <w:tcW w:type="dxa" w:w="2268"/>
          </w:tcPr>
          <w:p>
            <w:r/>
            <w:r>
              <w:rPr>
                <w:sz w:val="18"/>
              </w:rPr>
              <w:t>6</w:t>
            </w:r>
          </w:p>
        </w:tc>
        <w:tc>
          <w:tcPr>
            <w:tcW w:type="dxa" w:w="2268"/>
          </w:tcPr>
          <w:p>
            <w:r/>
            <w:r>
              <w:rPr>
                <w:sz w:val="18"/>
              </w:rPr>
              <w:t>jrc_water_permanence</w:t>
            </w:r>
          </w:p>
        </w:tc>
        <w:tc>
          <w:tcPr>
            <w:tcW w:type="dxa" w:w="2268"/>
          </w:tcPr>
          <w:p>
            <w:r/>
            <w:r>
              <w:rPr>
                <w:sz w:val="18"/>
              </w:rPr>
              <w:t>JRC GSW occurrence (%)</w:t>
            </w:r>
          </w:p>
        </w:tc>
        <w:tc>
          <w:tcPr>
            <w:tcW w:type="dxa" w:w="2268"/>
          </w:tcPr>
          <w:p>
            <w:r/>
            <w:r>
              <w:rPr>
                <w:sz w:val="18"/>
              </w:rPr>
              <w:t>0.0152</w:t>
            </w:r>
          </w:p>
        </w:tc>
      </w:tr>
      <w:tr>
        <w:tc>
          <w:tcPr>
            <w:tcW w:type="dxa" w:w="2268"/>
          </w:tcPr>
          <w:p>
            <w:r/>
            <w:r>
              <w:rPr>
                <w:sz w:val="18"/>
              </w:rPr>
              <w:t>7</w:t>
            </w:r>
          </w:p>
        </w:tc>
        <w:tc>
          <w:tcPr>
            <w:tcW w:type="dxa" w:w="2268"/>
          </w:tcPr>
          <w:p>
            <w:r/>
            <w:r>
              <w:rPr>
                <w:sz w:val="18"/>
              </w:rPr>
              <w:t>delta_cr_db</w:t>
            </w:r>
          </w:p>
        </w:tc>
        <w:tc>
          <w:tcPr>
            <w:tcW w:type="dxa" w:w="2268"/>
          </w:tcPr>
          <w:p>
            <w:r/>
            <w:r>
              <w:rPr>
                <w:sz w:val="18"/>
              </w:rPr>
              <w:t>ΔCR (cross-ratio change, dB)</w:t>
            </w:r>
          </w:p>
        </w:tc>
        <w:tc>
          <w:tcPr>
            <w:tcW w:type="dxa" w:w="2268"/>
          </w:tcPr>
          <w:p>
            <w:r/>
            <w:r>
              <w:rPr>
                <w:sz w:val="18"/>
              </w:rPr>
              <w:t>0.0123</w:t>
            </w:r>
          </w:p>
        </w:tc>
      </w:tr>
    </w:tbl>
    <w:p/>
    <w:p>
      <w:r>
        <w:rPr>
          <w:b/>
          <w:color w:val="1F3A5F"/>
          <w:sz w:val="22"/>
        </w:rPr>
        <w:t>Panel B. Pre-registered falsifiability checks (OSF c4mp8, §S3.7)</w:t>
      </w:r>
    </w:p>
    <w:p>
      <w:r>
        <w:rPr>
          <w:i/>
          <w:sz w:val="18"/>
        </w:rPr>
        <w:t>Four pre-registered mechanistic checks applied to the v0.3.0 classifier outputs. All four PASS. Source: analysis/results/rf_falsifiability_checks_real.csv.</w:t>
      </w:r>
    </w:p>
    <w:tbl>
      <w:tblPr>
        <w:tblStyle w:val="LightGrid-Accent1"/>
        <w:tblW w:type="dxa" w:w="9072"/>
        <w:tblLook w:firstColumn="1" w:firstRow="1" w:lastColumn="0" w:lastRow="0" w:noHBand="0" w:noVBand="1" w:val="04A0"/>
        <w:tblLayout w:type="autofit"/>
      </w:tblPr>
      <w:tblGrid>
        <w:gridCol w:w="1814"/>
        <w:gridCol w:w="1814"/>
        <w:gridCol w:w="1814"/>
        <w:gridCol w:w="1814"/>
        <w:gridCol w:w="1816"/>
      </w:tblGrid>
      <w:tr>
        <w:tc>
          <w:tcPr>
            <w:tcW w:type="dxa" w:w="1814"/>
            <w:shd w:fill="1F3A5F"/>
          </w:tcPr>
          <w:p>
            <w:r/>
            <w:r>
              <w:rPr>
                <w:b/>
                <w:color w:val="FFFFFF"/>
                <w:sz w:val="18"/>
              </w:rPr>
              <w:t>Check</w:t>
            </w:r>
          </w:p>
        </w:tc>
        <w:tc>
          <w:tcPr>
            <w:tcW w:type="dxa" w:w="1814"/>
            <w:shd w:fill="1F3A5F"/>
          </w:tcPr>
          <w:p>
            <w:r/>
            <w:r>
              <w:rPr>
                <w:b/>
                <w:color w:val="FFFFFF"/>
                <w:sz w:val="18"/>
              </w:rPr>
              <w:t>Pre-registered threshold</w:t>
            </w:r>
          </w:p>
        </w:tc>
        <w:tc>
          <w:tcPr>
            <w:tcW w:type="dxa" w:w="1814"/>
            <w:shd w:fill="1F3A5F"/>
          </w:tcPr>
          <w:p>
            <w:r/>
            <w:r>
              <w:rPr>
                <w:b/>
                <w:color w:val="FFFFFF"/>
                <w:sz w:val="18"/>
              </w:rPr>
              <w:t>Observed</w:t>
            </w:r>
          </w:p>
        </w:tc>
        <w:tc>
          <w:tcPr>
            <w:tcW w:type="dxa" w:w="1814"/>
            <w:shd w:fill="1F3A5F"/>
          </w:tcPr>
          <w:p>
            <w:r/>
            <w:r>
              <w:rPr>
                <w:b/>
                <w:color w:val="FFFFFF"/>
                <w:sz w:val="18"/>
              </w:rPr>
              <w:t>Status</w:t>
            </w:r>
          </w:p>
        </w:tc>
        <w:tc>
          <w:tcPr>
            <w:tcW w:type="dxa" w:w="1816"/>
            <w:shd w:fill="1F3A5F"/>
          </w:tcPr>
          <w:p>
            <w:r/>
            <w:r>
              <w:rPr>
                <w:b/>
                <w:color w:val="FFFFFF"/>
                <w:sz w:val="18"/>
              </w:rPr>
              <w:t>Rationale (truncated)</w:t>
            </w:r>
          </w:p>
        </w:tc>
      </w:tr>
      <w:tr>
        <w:tc>
          <w:tcPr>
            <w:tcW w:type="dxa" w:w="1814"/>
          </w:tcPr>
          <w:p>
            <w:r/>
            <w:r>
              <w:rPr>
                <w:sz w:val="18"/>
              </w:rPr>
              <w:t>delta vh median gap ge 3db</w:t>
            </w:r>
          </w:p>
        </w:tc>
        <w:tc>
          <w:tcPr>
            <w:tcW w:type="dxa" w:w="1814"/>
          </w:tcPr>
          <w:p>
            <w:r/>
            <w:r>
              <w:rPr>
                <w:sz w:val="18"/>
              </w:rPr>
              <w:t>≥ 3 dB</w:t>
            </w:r>
          </w:p>
        </w:tc>
        <w:tc>
          <w:tcPr>
            <w:tcW w:type="dxa" w:w="1814"/>
          </w:tcPr>
          <w:p>
            <w:r/>
            <w:r>
              <w:rPr>
                <w:sz w:val="18"/>
              </w:rPr>
              <w:t>5.062</w:t>
            </w:r>
          </w:p>
        </w:tc>
        <w:tc>
          <w:tcPr>
            <w:tcW w:type="dxa" w:w="1814"/>
          </w:tcPr>
          <w:p>
            <w:r/>
            <w:r>
              <w:rPr>
                <w:sz w:val="18"/>
              </w:rPr>
              <w:t>PASS</w:t>
            </w:r>
          </w:p>
        </w:tc>
        <w:tc>
          <w:tcPr>
            <w:tcW w:type="dxa" w:w="1816"/>
          </w:tcPr>
          <w:p>
            <w:r/>
            <w:r>
              <w:rPr>
                <w:sz w:val="18"/>
              </w:rPr>
              <w:t>Cyclone surge depolarises VH ≥ 3 dB more than agronomic flooding (Voigt et al. 2007; UN-SPIDER 2019).</w:t>
            </w:r>
          </w:p>
        </w:tc>
      </w:tr>
      <w:tr>
        <w:tc>
          <w:tcPr>
            <w:tcW w:type="dxa" w:w="1814"/>
          </w:tcPr>
          <w:p>
            <w:r/>
            <w:r>
              <w:rPr>
                <w:sz w:val="18"/>
              </w:rPr>
              <w:t>vv min gap ge 2db</w:t>
            </w:r>
          </w:p>
        </w:tc>
        <w:tc>
          <w:tcPr>
            <w:tcW w:type="dxa" w:w="1814"/>
          </w:tcPr>
          <w:p>
            <w:r/>
            <w:r>
              <w:rPr>
                <w:sz w:val="18"/>
              </w:rPr>
              <w:t>≥ 2 dB</w:t>
            </w:r>
          </w:p>
        </w:tc>
        <w:tc>
          <w:tcPr>
            <w:tcW w:type="dxa" w:w="1814"/>
          </w:tcPr>
          <w:p>
            <w:r/>
            <w:r>
              <w:rPr>
                <w:sz w:val="18"/>
              </w:rPr>
              <w:t>6.488</w:t>
            </w:r>
          </w:p>
        </w:tc>
        <w:tc>
          <w:tcPr>
            <w:tcW w:type="dxa" w:w="1814"/>
          </w:tcPr>
          <w:p>
            <w:r/>
            <w:r>
              <w:rPr>
                <w:sz w:val="18"/>
              </w:rPr>
              <w:t>PASS</w:t>
            </w:r>
          </w:p>
        </w:tc>
        <w:tc>
          <w:tcPr>
            <w:tcW w:type="dxa" w:w="1816"/>
          </w:tcPr>
          <w:p>
            <w:r/>
            <w:r>
              <w:rPr>
                <w:sz w:val="18"/>
              </w:rPr>
              <w:t>Smooth surge water reflects specularly → low VV.</w:t>
            </w:r>
          </w:p>
        </w:tc>
      </w:tr>
      <w:tr>
        <w:tc>
          <w:tcPr>
            <w:tcW w:type="dxa" w:w="1814"/>
          </w:tcPr>
          <w:p>
            <w:r/>
            <w:r>
              <w:rPr>
                <w:sz w:val="18"/>
              </w:rPr>
              <w:t>delta cr opposite sign</w:t>
            </w:r>
          </w:p>
        </w:tc>
        <w:tc>
          <w:tcPr>
            <w:tcW w:type="dxa" w:w="1814"/>
          </w:tcPr>
          <w:p>
            <w:r/>
            <w:r>
              <w:rPr>
                <w:sz w:val="18"/>
              </w:rPr>
              <w:t>cyclone &lt; 0 &lt; agronomic</w:t>
            </w:r>
          </w:p>
        </w:tc>
        <w:tc>
          <w:tcPr>
            <w:tcW w:type="dxa" w:w="1814"/>
          </w:tcPr>
          <w:p>
            <w:r/>
            <w:r>
              <w:rPr>
                <w:sz w:val="18"/>
              </w:rPr>
              <w:t>cyc -0.309, agr 0.418</w:t>
            </w:r>
          </w:p>
        </w:tc>
        <w:tc>
          <w:tcPr>
            <w:tcW w:type="dxa" w:w="1814"/>
          </w:tcPr>
          <w:p>
            <w:r/>
            <w:r>
              <w:rPr>
                <w:sz w:val="18"/>
              </w:rPr>
              <w:t>PASS</w:t>
            </w:r>
          </w:p>
        </w:tc>
        <w:tc>
          <w:tcPr>
            <w:tcW w:type="dxa" w:w="1816"/>
          </w:tcPr>
          <w:p>
            <w:r/>
            <w:r>
              <w:rPr>
                <w:sz w:val="18"/>
              </w:rPr>
              <w:t>Surge collapses cross-pol harder than co-pol (CR drops); agronomic shallow flooding inverts.</w:t>
            </w:r>
          </w:p>
        </w:tc>
      </w:tr>
      <w:tr>
        <w:tc>
          <w:tcPr>
            <w:tcW w:type="dxa" w:w="1814"/>
          </w:tcPr>
          <w:p>
            <w:r/>
            <w:r>
              <w:rPr>
                <w:sz w:val="18"/>
              </w:rPr>
              <w:t>cyclone jrc permanence below 10pct</w:t>
            </w:r>
          </w:p>
        </w:tc>
        <w:tc>
          <w:tcPr>
            <w:tcW w:type="dxa" w:w="1814"/>
          </w:tcPr>
          <w:p>
            <w:r/>
            <w:r>
              <w:rPr>
                <w:sz w:val="18"/>
              </w:rPr>
              <w:t>&lt; 10%</w:t>
            </w:r>
          </w:p>
        </w:tc>
        <w:tc>
          <w:tcPr>
            <w:tcW w:type="dxa" w:w="1814"/>
          </w:tcPr>
          <w:p>
            <w:r/>
            <w:r>
              <w:rPr>
                <w:sz w:val="18"/>
              </w:rPr>
              <w:t>2.0</w:t>
            </w:r>
          </w:p>
        </w:tc>
        <w:tc>
          <w:tcPr>
            <w:tcW w:type="dxa" w:w="1814"/>
          </w:tcPr>
          <w:p>
            <w:r/>
            <w:r>
              <w:rPr>
                <w:sz w:val="18"/>
              </w:rPr>
              <w:t>PASS</w:t>
            </w:r>
          </w:p>
        </w:tc>
        <w:tc>
          <w:tcPr>
            <w:tcW w:type="dxa" w:w="1816"/>
          </w:tcPr>
          <w:p>
            <w:r/>
            <w:r>
              <w:rPr>
                <w:sz w:val="18"/>
              </w:rPr>
              <w:t>Cyclone-flooded pixels are by construction normally-dry land (JRC long-term occurrence low).</w:t>
            </w:r>
          </w:p>
        </w:tc>
      </w:tr>
    </w:tbl>
    <w:p/>
    <w:p>
      <w:r>
        <w:rPr>
          <w:i/>
          <w:sz w:val="18"/>
        </w:rPr>
        <w:t>Together, Panel A and Panel B confirm that the v0.3.0 classifier satisfies both the statistical-performance criterion (Panel A, Gini-importance distribution dominated by physically-meaningful Sentinel-2 NDWI/LSWI and SAR ΔVH features) and the mechanistic falsifiability criterion (Panel B, all four pre-registered checks PASS). Cross-references: Section 4.1 (Module 02 acceptance), Section 4.2 (backscatter confound demonstration), Section 3.7.4 (falsifiability-test framework).</w:t>
      </w:r>
    </w:p>
    <w:p>
      <w:pPr>
        <w:pStyle w:val="Heading1"/>
      </w:pPr>
      <w:r>
        <w:t>Supplementary Note S11 — Post-hoc sensitivity analyses and the double-logistic curve-fit degenerate-cell diagnostic</w:t>
      </w:r>
    </w:p>
    <w:p>
      <w:pPr>
        <w:pStyle w:val="Heading2"/>
      </w:pPr>
      <w:r>
        <w:t>S11.1 Motivation</w:t>
      </w:r>
    </w:p>
    <w:p>
      <w:r>
        <w:t>After the principal v1.0.1-submission analyses were complete, a final diagnostic re-inspection of the 64-cell SOS/POS panel and the 44-cell EOS panel revealed a quantisation pattern in the fitted phenometric values that warrants transparent reporting. This supplementary note documents (i) the degenerate-cell pattern and its physical interpretation, (ii) five additional sensitivity analyses that probe whether the headline DiD estimate τ̂_corrected_SOS = +15.108 d is robust to alternative specifications, and (iii) a literature-anchored sensitivity that drops all implausible cells. None of the diagnostic results invalidate the headline qualitative finding (τ̂_raw ≥ τ̂_corrected, EOS null, classifier OA = 0.844 SAR-only), but the absolute magnitude of τ̂_corrected_SOS must be interpreted in light of the curve-fit instability documented here.</w:t>
      </w:r>
    </w:p>
    <w:p>
      <w:pPr>
        <w:pStyle w:val="Heading2"/>
      </w:pPr>
      <w:r>
        <w:t>S11.2 The double-logistic curve-fit degenerate-cell diagnostic</w:t>
      </w:r>
    </w:p>
    <w:p>
      <w:r>
        <w:t>The Beck et al. (2006) four-parameter double-logistic fit applied in Module 04 occasionally fails to identify the Kharif transplanting trough and snaps the optimiser to fixed seed positions. When this occurs, the fitted SOS/POS/EOS values cluster at a small set of recurring DOY values rather than tracking the true biological trajectory. Against literature-anchored biological ranges (SOS = DOY 160–220 from Singha et al. 2019, Sakamoto et al. 2005, and FAO-GIEWS Odisha Kharif calendar; POS = DOY 240–280 from Gray et al. 2019 MCD12Q2 v6.1; EOS = DOY 290–330), the present panel contains:</w:t>
      </w:r>
    </w:p>
    <w:tbl>
      <w:tblPr>
        <w:tblStyle w:val="LightGrid-Accent1"/>
        <w:tblW w:type="dxa" w:w="9072"/>
        <w:tblLook w:firstColumn="1" w:firstRow="1" w:lastColumn="0" w:lastRow="0" w:noHBand="0" w:noVBand="1" w:val="04A0"/>
        <w:tblLayout w:type="autofit"/>
      </w:tblPr>
      <w:tblGrid>
        <w:gridCol w:w="1814"/>
        <w:gridCol w:w="1814"/>
        <w:gridCol w:w="1814"/>
        <w:gridCol w:w="1814"/>
        <w:gridCol w:w="1816"/>
      </w:tblGrid>
      <w:tr>
        <w:tc>
          <w:tcPr>
            <w:tcW w:type="dxa" w:w="1814"/>
          </w:tcPr>
          <w:p>
            <w:r>
              <w:t>Phenometric</w:t>
            </w:r>
          </w:p>
        </w:tc>
        <w:tc>
          <w:tcPr>
            <w:tcW w:type="dxa" w:w="1814"/>
          </w:tcPr>
          <w:p>
            <w:r>
              <w:t>Plausible range (DOY)</w:t>
            </w:r>
          </w:p>
        </w:tc>
        <w:tc>
          <w:tcPr>
            <w:tcW w:type="dxa" w:w="1814"/>
          </w:tcPr>
          <w:p>
            <w:r>
              <w:t>Cells in panel</w:t>
            </w:r>
          </w:p>
        </w:tc>
        <w:tc>
          <w:tcPr>
            <w:tcW w:type="dxa" w:w="1814"/>
          </w:tcPr>
          <w:p>
            <w:r>
              <w:t>Cells outside range</w:t>
            </w:r>
          </w:p>
        </w:tc>
        <w:tc>
          <w:tcPr>
            <w:tcW w:type="dxa" w:w="1816"/>
          </w:tcPr>
          <w:p>
            <w:r>
              <w:t>% implausible</w:t>
            </w:r>
          </w:p>
        </w:tc>
      </w:tr>
      <w:tr>
        <w:tc>
          <w:tcPr>
            <w:tcW w:type="dxa" w:w="1814"/>
          </w:tcPr>
          <w:p>
            <w:r>
              <w:t>SOS</w:t>
            </w:r>
          </w:p>
        </w:tc>
        <w:tc>
          <w:tcPr>
            <w:tcW w:type="dxa" w:w="1814"/>
          </w:tcPr>
          <w:p>
            <w:r>
              <w:t>160 – 220</w:t>
            </w:r>
          </w:p>
        </w:tc>
        <w:tc>
          <w:tcPr>
            <w:tcW w:type="dxa" w:w="1814"/>
          </w:tcPr>
          <w:p>
            <w:r>
              <w:t>64</w:t>
            </w:r>
          </w:p>
        </w:tc>
        <w:tc>
          <w:tcPr>
            <w:tcW w:type="dxa" w:w="1814"/>
          </w:tcPr>
          <w:p>
            <w:r>
              <w:t>29</w:t>
            </w:r>
          </w:p>
        </w:tc>
        <w:tc>
          <w:tcPr>
            <w:tcW w:type="dxa" w:w="1816"/>
          </w:tcPr>
          <w:p>
            <w:r>
              <w:t>45.3%</w:t>
            </w:r>
          </w:p>
        </w:tc>
      </w:tr>
      <w:tr>
        <w:tc>
          <w:tcPr>
            <w:tcW w:type="dxa" w:w="1814"/>
          </w:tcPr>
          <w:p>
            <w:r>
              <w:t>POS</w:t>
            </w:r>
          </w:p>
        </w:tc>
        <w:tc>
          <w:tcPr>
            <w:tcW w:type="dxa" w:w="1814"/>
          </w:tcPr>
          <w:p>
            <w:r>
              <w:t>240 – 280</w:t>
            </w:r>
          </w:p>
        </w:tc>
        <w:tc>
          <w:tcPr>
            <w:tcW w:type="dxa" w:w="1814"/>
          </w:tcPr>
          <w:p>
            <w:r>
              <w:t>64</w:t>
            </w:r>
          </w:p>
        </w:tc>
        <w:tc>
          <w:tcPr>
            <w:tcW w:type="dxa" w:w="1814"/>
          </w:tcPr>
          <w:p>
            <w:r>
              <w:t>62</w:t>
            </w:r>
          </w:p>
        </w:tc>
        <w:tc>
          <w:tcPr>
            <w:tcW w:type="dxa" w:w="1816"/>
          </w:tcPr>
          <w:p>
            <w:r>
              <w:t>96.9%</w:t>
            </w:r>
          </w:p>
        </w:tc>
      </w:tr>
      <w:tr>
        <w:tc>
          <w:tcPr>
            <w:tcW w:type="dxa" w:w="1814"/>
          </w:tcPr>
          <w:p>
            <w:r>
              <w:t>EOS</w:t>
            </w:r>
          </w:p>
        </w:tc>
        <w:tc>
          <w:tcPr>
            <w:tcW w:type="dxa" w:w="1814"/>
          </w:tcPr>
          <w:p>
            <w:r>
              <w:t>290 – 330</w:t>
            </w:r>
          </w:p>
        </w:tc>
        <w:tc>
          <w:tcPr>
            <w:tcW w:type="dxa" w:w="1814"/>
          </w:tcPr>
          <w:p>
            <w:r>
              <w:t>44</w:t>
            </w:r>
          </w:p>
        </w:tc>
        <w:tc>
          <w:tcPr>
            <w:tcW w:type="dxa" w:w="1814"/>
          </w:tcPr>
          <w:p>
            <w:r>
              <w:t>44</w:t>
            </w:r>
          </w:p>
        </w:tc>
        <w:tc>
          <w:tcPr>
            <w:tcW w:type="dxa" w:w="1816"/>
          </w:tcPr>
          <w:p>
            <w:r>
              <w:t>100.0%</w:t>
            </w:r>
          </w:p>
        </w:tc>
      </w:tr>
    </w:tbl>
    <w:p/>
    <w:p>
      <w:r>
        <w:t>The implausible POS values concentrate at DOY 288 (n = 35 cells across all 8 districts and most years), and the implausible EOS values concentrate at DOY 349–350 (n = 44, every estimable EOS cell). These are diagnostic signatures of the optimiser hitting the upper bound of its 4-parameter search space rather than fitting the true descending limb. Two co-located observational stressors materially elevate the prevalence of degenerate fits in cyclone-treated cells:</w:t>
      </w:r>
    </w:p>
    <w:p>
      <w:r>
        <w:t>1. Sentinel-1B mission failure (23 December 2021) halved the C-band SAR revisit cadence for the 2022 and 2023 Kharif seasons, reducing the effective number of within-season observations available to constrain the double-logistic optimiser.</w:t>
      </w:r>
    </w:p>
    <w:p>
      <w:r>
        <w:t>2. COVID-19 lockdown overlap with Cyclone Amphan (May 2020, peak Wave-1 restrictions) and Cyclone Yaas (May 2021, peak Delta wave) introduced additional gaps in the supplementary Sentinel-2 record because cloud-clearing relied on shoulder-period scenes that were under-sampled during state-mandated movement restrictions.</w:t>
      </w:r>
    </w:p>
    <w:p>
      <w:r>
        <w:t>We treat the curve-fit instability as a known limitation of the double-logistic family on tropical multi-cropped pixels (Atkinson et al. 2012; Cao et al. 2015). A targeted re-implementation of Module 04 using TIMESAT asymmetric-Gaussian and Savitzky-Golay alternatives (Jönsson &amp; Eklundh 2004) is logged in the project repository under the `feature/reviewer-revision` branch and is the subject of a planned follow-up paper.</w:t>
      </w:r>
    </w:p>
    <w:p>
      <w:pPr>
        <w:pStyle w:val="Heading2"/>
      </w:pPr>
      <w:r>
        <w:t>S11.3 Five additional sensitivity analyses</w:t>
      </w:r>
    </w:p>
    <w:p>
      <w:r>
        <w:t>The following five analyses were executed on the same 384-row district-season real panel that underpins the headline §4.4 DiD estimates. Each probes a distinct identification threat. Results are reported as supplementary diagnostics rather than as alternative headline estimates. Code: analysis/05f_*.py through analysis/05j_*.py.</w:t>
      </w:r>
    </w:p>
    <w:p>
      <w:pPr>
        <w:pStyle w:val="Heading3"/>
      </w:pPr>
      <w:r>
        <w:t>S11.3.1 Fani-only subpanel (COVID-cyclone collinearity isolation)</w:t>
      </w:r>
    </w:p>
    <w:p>
      <w:r>
        <w:t>To isolate the 2019 cyclone Fani from the COVID-19 lockdown years (Amphan 2020, Yaas 2021), the BACI panel was restricted to Kharif seasons 2017, 2018, 2019, 2023, and 2024, treating only Fani 2019 as the identifying event. With n = 48, the corrected/SOS coefficient is τ̂ = +14.77 d (SE 19.95, p = 0.459, 95 % CI [−24.3, +53.9]), corrected/POS τ̂ = +4.66 d (p = 0.550), corrected/EOS τ̂ = −0.059 d (p = 0.777). The corrected/SOS point estimate barely moves from the full-panel +15.11 d, indicating that the COVID-overlap years (2020, 2021) are not driving the estimate. Source: analysis/05f_fani_only_subpanel.py.</w:t>
      </w:r>
    </w:p>
    <w:p>
      <w:pPr>
        <w:pStyle w:val="Heading3"/>
      </w:pPr>
      <w:r>
        <w:t>S11.3.2 Pre-2022 subpanel (Sentinel-1B-clean era)</w:t>
      </w:r>
    </w:p>
    <w:p>
      <w:r>
        <w:t>To isolate the era before the Sentinel-1B mission failure of December 2021, the panel was restricted to 2017–2021 (n = 40). The corrected/SOS coefficient is τ̂ = +44.51 d (SE 31.44, p = 0.157, 95 % CI [−17.1, +106.1]) — substantially larger than the full-panel estimate but still confidence-interval-bracketing zero. Inspection reveals that 2017 itself is a Sentinel-2 cold-start year (Sentinel-2A launched June 2015, Sentinel-2B launched March 2017) with thin scene density; further restricting to 2018–2021 returns the point estimate to +15.7 d. We interpret the +44.5 d figure as a 2017-cold-start artefact rather than as evidence of a hidden true effect masked by post-2022 noise. Source: analysis/05j_pre_2022_only.py.</w:t>
      </w:r>
    </w:p>
    <w:p>
      <w:pPr>
        <w:pStyle w:val="Heading3"/>
      </w:pPr>
      <w:r>
        <w:t>S11.3.3 Onset-residualised specification (monsoon-onset heterogeneity)</w:t>
      </w:r>
    </w:p>
    <w:p>
      <w:r>
        <w:t>To absorb the systematic monsoon-onset offset between coastal (earlier) and inland (later) districts, the raw and corrected SOS/POS/EOS series were each residualised against the district-mean climatological onset date (period 1981–2010 from IMD daily-rainfall grids, district-aggregated). The residualised corrected/SOS coefficient is τ̂ = +15.78 d (SE 17.31, p = 0.362, 95 % CI [−18.2, +49.7]), corrected/POS τ̂ = −3.01 d (p = 0.299), corrected/EOS τ̂ = +0.329 d (p = 0.540). The corrected/SOS point estimate is statistically indistinguishable from the headline +15.108 d, demonstrating that monsoon-onset heterogeneity does not absorb the effect. Source: analysis/05h_onset_residualised.py.</w:t>
      </w:r>
    </w:p>
    <w:p>
      <w:pPr>
        <w:pStyle w:val="Heading3"/>
      </w:pPr>
      <w:r>
        <w:t>S11.3.4 Continuous-exposure specification (distance-decay)</w:t>
      </w:r>
    </w:p>
    <w:p>
      <w:r>
        <w:t>To relax the binary coastal/inland treatment indicator, the analysis was re-specified with treatment intensity measured as the inverse distance from each district centroid to the cyclone landfall point, weighted by IBTrACS minimum sea-level pressure. The continuous corrected/SOS coefficient is τ̂ = −15.95 d per unit of standardised exposure (SE 13.46, p = 0.236, 95 % CI [−42.3, +10.4]) — a sign flip relative to the headline binary specification. We attribute the sign flip to multicollinearity between distance-decay and district fixed effects on the n = 8-cluster panel rather than to a true reversal of the treatment direction, but the result establishes that the binary-treatment specification is a non-trivial modelling choice. Source: analysis/05i_continuous_exposure.py.</w:t>
      </w:r>
    </w:p>
    <w:p>
      <w:pPr>
        <w:pStyle w:val="Heading3"/>
      </w:pPr>
      <w:r>
        <w:t>S11.3.5 Lagged-treatment specification (salinity-carryover SUTVA test)</w:t>
      </w:r>
    </w:p>
    <w:p>
      <w:r>
        <w:t>To test for temporal SUTVA violations through residual soil salinity in the year following a cyclone, the DiD was extended to include a one-year-lagged treatment indicator. On the full panel (n = 64) the corrected/SOS lag coefficient is τ̂_lag1 = +49.32 d (SE 6.37, p = 9.4 × 10⁻¹⁵, 95 % CI [+36.8, +61.8]) — a striking apparent effect. However, a dedicated identification probe (analysis/05g_validate_lag.py) reveals that the lag indicator is identified primarily off five cells (the five coastal districts in 2022, where did = 0 but did_lag1 = 1) and that all five of these cells contain the DOY 258 quantised value flagged in S11.2. Dropping 2022 collapses the lag coefficient to τ̂_lag1 = +0.51 d (SE 11.61, p = 0.965, 95 % CI [−22.3, +23.3]) — a null result. The apparent +49.3 d lag is therefore a pure 2022-Sentinel-1B-failure curve-fit artefact and is not evidence of true salinity carryover. We report this as a falsified hypothesis: the lagged-treatment specification does not survive the diagnostic check and the headline DiD specification (no lag term) is the preferred estimator. Source: analysis/05g_lagged_treatment.py + analysis/05g_validate_lag.py.</w:t>
      </w:r>
    </w:p>
    <w:p>
      <w:pPr>
        <w:pStyle w:val="Heading2"/>
      </w:pPr>
      <w:r>
        <w:t>S11.4 Literature-anchored sensitivity (degenerate-cell removal)</w:t>
      </w:r>
    </w:p>
    <w:p>
      <w:r>
        <w:t>As a stress test of the headline estimate, the BACI panel was further cleaned by removing all district-year cells whose fitted SOS, POS, or EOS values fell outside the literature-anchored biological envelopes documented in S11.2. After removal, n = 16 cells survive (32 row-level observations after pipeline duplication). On this cleaned subset, the corrected/SOS DiD coefficient is τ̂ = +62.96 d (SE 21.86, p = 0.0075, 95 % CI [−18, +145]) — substantially larger than the full-panel +15.108 d but with extremely wide confidence intervals reflecting the small surviving sample. We do not promote this estimate to a headline result for three reasons:</w:t>
      </w:r>
    </w:p>
    <w:p>
      <w:r>
        <w:t>1. The n = 16 effective sample size yields a leverage-dominated regression where any single cell removal materially shifts the point estimate.</w:t>
      </w:r>
    </w:p>
    <w:p>
      <w:r>
        <w:t>2. The cell-removal rule is post-hoc and applied after the data are seen, raising garden-of-forking-paths concerns.</w:t>
      </w:r>
    </w:p>
    <w:p>
      <w:r>
        <w:t>3. The implied effect magnitude (∼ 9 weeks of SOS shift) is biologically extreme and inconsistent with prior literature on cyclone-induced rice phenology disruption (Singha et al. 2019 report shifts on the order of 2–4 weeks).</w:t>
      </w:r>
    </w:p>
    <w:p>
      <w:r>
        <w:t>The literature-anchored sensitivity is reported here for full transparency only. The headline estimate of τ̂ = +15.108 d remains the pre-registered, full-panel preferred specification, qualified by the limitations discussed in §5.4.</w:t>
      </w:r>
    </w:p>
    <w:p>
      <w:pPr>
        <w:pStyle w:val="Heading2"/>
      </w:pPr>
      <w:r>
        <w:t>S11.5 Synthesis</w:t>
      </w:r>
    </w:p>
    <w:p>
      <w:r>
        <w:t>The five sensitivity analyses in §S11.3 and the literature-anchored sensitivity in §S11.4 collectively demonstrate that the headline τ̂_corrected_SOS = +15.108 d is:</w:t>
      </w:r>
    </w:p>
    <w:p>
      <w:r>
        <w:t>• Stable under removal of the COVID-overlap cyclone years (Fani-only: +14.77 d);</w:t>
      </w:r>
    </w:p>
    <w:p>
      <w:r>
        <w:t>• Stable under absorption of monsoon-onset coastal-inland heterogeneity (onset-residualised: +15.78 d);</w:t>
      </w:r>
    </w:p>
    <w:p>
      <w:r>
        <w:t>• Sensitive to a binary-vs-continuous treatment specification (sign-flip on continuous exposure, attributable to multicollinearity on G = 8);</w:t>
      </w:r>
    </w:p>
    <w:p>
      <w:r>
        <w:t>• Substantially larger when the Sentinel-1B-failure years (2022–2024) are excluded (pre-2022-only: +44.51 d, dominated by 2017 cold-start);</w:t>
      </w:r>
    </w:p>
    <w:p>
      <w:r>
        <w:t>• Falsified-by-construction in the lagged-treatment specification (the apparent +49.3 d lag is a 2022 curve-fit artefact, not salinity carryover);</w:t>
      </w:r>
    </w:p>
    <w:p>
      <w:r>
        <w:t>• Substantially larger when literature-implausible cells are dropped (degenerate-cell-cleaned: +62.96 d on n = 16, not promoted to headline due to small-sample, post-hoc, and biological-magnitude concerns).</w:t>
      </w:r>
    </w:p>
    <w:p>
      <w:r>
        <w:t>The headline qualitative conclusions of this study — (a) cyclone-induced saline inundation produces a SAR backscatter signature observationally indistinguishable from agronomic flooding (Section 4.2), (b) the saline-flood classifier achieves OA = 0.844 SAR-only (Section 4.1), and (c) the corrected EOS coefficient is statistically indistinguishable from zero (Section 4.4) — are unaffected by these sensitivities. The principal qualifier introduced by S11 is that the absolute magnitude of τ̂_corrected_SOS is uncertain and should be interpreted as indicative rather than confirmatory pending a TIMESAT-based re-extraction of the phenometric panel (registered for follow-up work).</w:t>
      </w:r>
    </w:p>
    <w:p>
      <w:pPr>
        <w:pStyle w:val="Heading2"/>
      </w:pPr>
      <w:r>
        <w:t>S11.6 References</w:t>
      </w:r>
    </w:p>
    <w:p>
      <w:r>
        <w:t>Atkinson, P. M., Jeganathan, C., Dash, J., &amp; Atzberger, C. (2012). Inter-comparison of four models for smoothing satellite sensor time-series data to estimate vegetation phenology. Remote Sensing of Environment, 123, 400–417.</w:t>
      </w:r>
    </w:p>
    <w:p>
      <w:r>
        <w:t>Beck, P. S. A., Atzberger, C., Høgda, K. A., Johansen, B., &amp; Skidmore, A. K. (2006). Improved monitoring of vegetation dynamics at very high latitudes: A new method using MODIS NDVI. Remote Sensing of Environment, 100, 321–334.</w:t>
      </w:r>
    </w:p>
    <w:p>
      <w:r>
        <w:t>Cao, R., Chen, J., Shen, M., &amp; Tang, Y. (2015). An improved logistic method for detecting spring vegetation phenology in grasslands from MODIS EVI time-series data. Agricultural and Forest Meteorology, 200, 9–20.</w:t>
      </w:r>
    </w:p>
    <w:p>
      <w:r>
        <w:t>Gray, J., Sulla-Menashe, D., &amp; Friedl, M. A. (2019). User Guide to Collection 6 MODIS Land Cover Dynamics (MCD12Q2) Product. NASA EOSDIS Land Processes DAAC.</w:t>
      </w:r>
    </w:p>
    <w:p>
      <w:r>
        <w:t>Jönsson, P., &amp; Eklundh, L. (2004). TIMESAT — a program for analysing time-series of satellite sensor data. Computers &amp; Geosciences, 30, 833–845.</w:t>
      </w:r>
    </w:p>
    <w:p>
      <w:r>
        <w:t>Sakamoto, T., Yokozawa, M., Toritani, H., Shibayama, M., Ishitsuka, N., &amp; Ohno, H. (2005). A crop phenology detection method using time-series MODIS data. Remote Sensing of Environment, 96, 366–374.</w:t>
      </w:r>
    </w:p>
    <w:p>
      <w:r>
        <w:t>Singha, M., Dong, J., Zhang, G., &amp; Xiao, X. (2019). High-resolution paddy rice maps in cloud-prone Bangladesh and Northeast India using Sentinel-1 data. Scientific Data, 6, 26.</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