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an automated n = 480 reference-label set sourced from the Copernicus Emergency Management Service master delineation of Cyclone Fani (EMSR357), Sentinel-1 SAR pre/post change-detection on Cyclones Amphan and Yaas following the UN-SPIDER (2019) Recommended Practice, and the intersection of Sentinel-1 VH, ESA WorldCover cropland, and JRC Global Surface Water masks for agronomic-flood negative samples — a fully programmatic label provenance that requires no analyst visual interpretation.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τ_POS: −3.587 → −3.677 d; τ_EOS: 0 → −0.239 d after restoring 20 right-censored cells), with raw-vs-corrected per-cell shifts averaging 0.245 ± 0.272 d for SOS (range 0.04–1.01 d), 0.122 ± 0.134 d for POS, and 0.337 ± 0.462 d for EOS (max 1.51 d, Bhadrak/Yaas 2021). The small magnitude reflects the bounded cyclone-flood pixel share at the district scale (Fani 0.29–2.52%, Amphan 0.33–1.92%, Yaas 0.42–7.21% per district), demonstrating that the surge confound is real and detectable at the pixel scale (Module 02 classifier OA = 0.844 SAR-only) but partially diluted at the district-aggregation scale used for the BACI panel — directionally confirming the pre-registered prediction τ_raw &gt; τ_corrected &gt; 0 for SOS while leaving the WCR-restricted 95% CI inclusive of zero (a transparent null finding rather than over-claimed attenuation).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+15.289 days (cluster-robust SE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CI [−54.0, +84.6]), attenuating to +15.108 days (cluster-robust SE 17.312,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in the v2.1 classifier-corrected series. The EOS DiD coefficient is reported as null+censored: the raw pipeline returns −0.000 d because 20 of 64 district-year EOS cells are right-censored by the season-end harvest cutoff (n_estimable = 44 rows), while the v2.1 correction restores the censored cells to yield</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(SE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statistically indistinguishable from zero.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pPr>
        <w:pStyle w:val="BlockText"/>
      </w:pPr>
      <w:r>
        <w:rPr>
          <w:rFonts w:ascii="Arial" w:hAnsi="Arial"/>
          <w:b/>
          <w:bCs/>
        </w:rPr>
        <w:t xml:space="preserve">Provenance &amp; Scope (release v1.0.1-submission, 2026-06-08).</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in this manuscript are estimated from the real</w:t>
      </w:r>
      <w:r>
        <w:rPr>
          <w:rFonts w:ascii="Arial" w:hAnsi="Arial"/>
        </w:rPr>
        <w:t xml:space="preserve"> </w:t>
      </w:r>
      <w:r>
        <w:rPr>
          <w:rFonts w:ascii="Arial" w:hAnsi="Arial"/>
        </w:rPr>
        <w:t xml:space="preserve">Sentinel-1 + Sentinel-2 phenology panel for eight coastal and inland</w:t>
      </w:r>
      <w:r>
        <w:rPr>
          <w:rFonts w:ascii="Arial" w:hAnsi="Arial"/>
        </w:rPr>
        <w:t xml:space="preserve"> </w:t>
      </w:r>
      <w:r>
        <w:rPr>
          <w:rFonts w:ascii="Arial" w:hAnsi="Arial"/>
        </w:rPr>
        <w:t xml:space="preserve">Odisha districts across eight Kharif seasons (2017–2024). The district-</w:t>
      </w:r>
      <w:r>
        <w:rPr>
          <w:rFonts w:ascii="Arial" w:hAnsi="Arial"/>
        </w:rPr>
        <w:t xml:space="preserve"> </w:t>
      </w:r>
      <w:r>
        <w:rPr>
          <w:rFonts w:ascii="Arial" w:hAnsi="Arial"/>
        </w:rPr>
        <w:t xml:space="preserve">aggregated BACI panel contains 384 district-season observations (8</w:t>
      </w:r>
      <w:r>
        <w:rPr>
          <w:rFonts w:ascii="Arial" w:hAnsi="Arial"/>
        </w:rPr>
        <w:t xml:space="preserve"> </w:t>
      </w:r>
      <w:r>
        <w:rPr>
          <w:rFonts w:ascii="Arial" w:hAnsi="Arial"/>
        </w:rPr>
        <w:t xml:space="preserve">districts × 8 years × 6 covariate columns) from which 64 district-year</w:t>
      </w:r>
      <w:r>
        <w:rPr>
          <w:rFonts w:ascii="Arial" w:hAnsi="Arial"/>
        </w:rPr>
        <w:t xml:space="preserve"> </w:t>
      </w:r>
      <w:r>
        <w:rPr>
          <w:rFonts w:ascii="Arial" w:hAnsi="Arial"/>
        </w:rPr>
        <w:t xml:space="preserve">rows enter the SOS and POS TWFE-DiD specifications. The EOS panel has</w:t>
      </w:r>
      <w:r>
        <w:rPr>
          <w:rFonts w:ascii="Arial" w:hAnsi="Arial"/>
        </w:rPr>
        <w:t xml:space="preserve"> </w:t>
      </w:r>
      <w:r>
        <w:rPr>
          <w:rFonts w:ascii="Arial" w:hAnsi="Arial"/>
        </w:rPr>
        <w:t xml:space="preserve">n = 44 valid district-year rows because EOS dates are mechanically</w:t>
      </w:r>
      <w:r>
        <w:rPr>
          <w:rFonts w:ascii="Arial" w:hAnsi="Arial"/>
        </w:rPr>
        <w:t xml:space="preserve"> </w:t>
      </w:r>
      <w:r>
        <w:rPr>
          <w:rFonts w:ascii="Arial" w:hAnsi="Arial"/>
        </w:rPr>
        <w:t xml:space="preserve">right-censored in 20 of 64 district-year cells where post-peak NDVI never</w:t>
      </w:r>
      <w:r>
        <w:rPr>
          <w:rFonts w:ascii="Arial" w:hAnsi="Arial"/>
        </w:rPr>
        <w:t xml:space="preserve"> </w:t>
      </w:r>
      <w:r>
        <w:rPr>
          <w:rFonts w:ascii="Arial" w:hAnsi="Arial"/>
        </w:rPr>
        <w:t xml:space="preserve">exceeds the 0.4 detection threshold — concentrated in cyclone-damaged</w:t>
      </w:r>
      <w:r>
        <w:rPr>
          <w:rFonts w:ascii="Arial" w:hAnsi="Arial"/>
        </w:rPr>
        <w:t xml:space="preserve"> </w:t>
      </w:r>
      <w:r>
        <w:rPr>
          <w:rFonts w:ascii="Arial" w:hAnsi="Arial"/>
        </w:rPr>
        <w:t xml:space="preserve">coastal pixels (Section 3.6.1; Limitation 6, Section 5). The saline-flood</w:t>
      </w:r>
      <w:r>
        <w:rPr>
          <w:rFonts w:ascii="Arial" w:hAnsi="Arial"/>
        </w:rPr>
        <w:t xml:space="preserve"> </w:t>
      </w:r>
      <w:r>
        <w:rPr>
          <w:rFonts w:ascii="Arial" w:hAnsi="Arial"/>
        </w:rPr>
        <w:t xml:space="preserve">random-forest classifier (v0.3.0) is trained on n = 480 labels sourced</w:t>
      </w:r>
      <w:r>
        <w:rPr>
          <w:rFonts w:ascii="Arial" w:hAnsi="Arial"/>
        </w:rPr>
        <w:t xml:space="preserve"> </w:t>
      </w:r>
      <w:r>
        <w:rPr>
          <w:rFonts w:ascii="Arial" w:hAnsi="Arial"/>
        </w:rPr>
        <w:t xml:space="preserve">entirely from public products — 80 from the Copernicus EMS EMSR357 master</w:t>
      </w:r>
      <w:r>
        <w:rPr>
          <w:rFonts w:ascii="Arial" w:hAnsi="Arial"/>
        </w:rPr>
        <w:t xml:space="preserve"> </w:t>
      </w:r>
      <w:r>
        <w:rPr>
          <w:rFonts w:ascii="Arial" w:hAnsi="Arial"/>
        </w:rPr>
        <w:t xml:space="preserve">delineation of Cyclone Fani (2019), 80 each from Sentinel-1 SAR pre/post</w:t>
      </w:r>
      <w:r>
        <w:rPr>
          <w:rFonts w:ascii="Arial" w:hAnsi="Arial"/>
        </w:rPr>
        <w:t xml:space="preserve"> </w:t>
      </w:r>
      <w:r>
        <w:rPr>
          <w:rFonts w:ascii="Arial" w:hAnsi="Arial"/>
        </w:rPr>
        <w:t xml:space="preserve">change-detection on Cyclones Amphan (2020) and Yaas (2021) following</w:t>
      </w:r>
      <w:r>
        <w:rPr>
          <w:rFonts w:ascii="Arial" w:hAnsi="Arial"/>
        </w:rPr>
        <w:t xml:space="preserve"> </w:t>
      </w:r>
      <w:r>
        <w:rPr>
          <w:rFonts w:ascii="Arial" w:hAnsi="Arial"/>
        </w:rPr>
        <w:t xml:space="preserve">Voigt et al. (2007), Twele et al. (2016) and the UN-SPIDER (2019)</w:t>
      </w:r>
      <w:r>
        <w:rPr>
          <w:rFonts w:ascii="Arial" w:hAnsi="Arial"/>
        </w:rPr>
        <w:t xml:space="preserve"> </w:t>
      </w:r>
      <w:r>
        <w:rPr>
          <w:rFonts w:ascii="Arial" w:hAnsi="Arial"/>
        </w:rPr>
        <w:t xml:space="preserve">Recommended Practice, and 240 agronomic-flood labels sampled from a</w:t>
      </w:r>
      <w:r>
        <w:rPr>
          <w:rFonts w:ascii="Arial" w:hAnsi="Arial"/>
        </w:rPr>
        <w:t xml:space="preserve"> </w:t>
      </w:r>
      <w:r>
        <w:rPr>
          <w:rFonts w:ascii="Arial" w:hAnsi="Arial"/>
        </w:rPr>
        <w:t xml:space="preserve">Sentinel-1 VH ∩ ESA WorldCover cropland ∩ JRC seasonal-water mask in</w:t>
      </w:r>
      <w:r>
        <w:rPr>
          <w:rFonts w:ascii="Arial" w:hAnsi="Arial"/>
        </w:rPr>
        <w:t xml:space="preserve"> </w:t>
      </w:r>
      <w:r>
        <w:rPr>
          <w:rFonts w:ascii="Arial" w:hAnsi="Arial"/>
        </w:rPr>
        <w:t xml:space="preserve">non-cyclone windows. No manual labelling was used to construct the</w:t>
      </w:r>
      <w:r>
        <w:rPr>
          <w:rFonts w:ascii="Arial" w:hAnsi="Arial"/>
        </w:rPr>
        <w:t xml:space="preserve"> </w:t>
      </w:r>
      <w:r>
        <w:rPr>
          <w:rFonts w:ascii="Arial" w:hAnsi="Arial"/>
        </w:rPr>
        <w:t xml:space="preserve">classifier training set: the n = 480 reference-label set described in</w:t>
      </w:r>
      <w:r>
        <w:rPr>
          <w:rFonts w:ascii="Arial" w:hAnsi="Arial"/>
        </w:rPr>
        <w:t xml:space="preserve"> </w:t>
      </w:r>
      <w:r>
        <w:rPr>
          <w:rFonts w:ascii="Arial" w:hAnsi="Arial"/>
        </w:rPr>
        <w:t xml:space="preserve">Section 2.4 is generated entirely by automated multi-source provenance</w:t>
      </w:r>
      <w:r>
        <w:rPr>
          <w:rFonts w:ascii="Arial" w:hAnsi="Arial"/>
        </w:rPr>
        <w:t xml:space="preserve"> </w:t>
      </w:r>
      <w:r>
        <w:rPr>
          <w:rFonts w:ascii="Arial" w:hAnsi="Arial"/>
        </w:rPr>
        <w:t xml:space="preserve">(Copernicus EMS EMSR357 for Fani; UN-SPIDER (2019) Sentinel-1 pre/post</w:t>
      </w:r>
      <w:r>
        <w:rPr>
          <w:rFonts w:ascii="Arial" w:hAnsi="Arial"/>
        </w:rPr>
        <w:t xml:space="preserve"> </w:t>
      </w:r>
      <w:r>
        <w:rPr>
          <w:rFonts w:ascii="Arial" w:hAnsi="Arial"/>
        </w:rPr>
        <w:t xml:space="preserve">change-detection for Amphan and Yaas; Sentinel-1∩WorldCover∩JRC mask for</w:t>
      </w:r>
      <w:r>
        <w:rPr>
          <w:rFonts w:ascii="Arial" w:hAnsi="Arial"/>
        </w:rPr>
        <w:t xml:space="preserve"> </w:t>
      </w:r>
      <w:r>
        <w:rPr>
          <w:rFonts w:ascii="Arial" w:hAnsi="Arial"/>
        </w:rPr>
        <w:t xml:space="preserve">the agronomic-flood negative class), with no analyst visual</w:t>
      </w:r>
      <w:r>
        <w:rPr>
          <w:rFonts w:ascii="Arial" w:hAnsi="Arial"/>
        </w:rPr>
        <w:t xml:space="preserve"> </w:t>
      </w:r>
      <w:r>
        <w:rPr>
          <w:rFonts w:ascii="Arial" w:hAnsi="Arial"/>
        </w:rPr>
        <w:t xml:space="preserve">interpretation involved. The originally pre-registered PlanetScope</w:t>
      </w:r>
      <w:r>
        <w:rPr>
          <w:rFonts w:ascii="Arial" w:hAnsi="Arial"/>
        </w:rPr>
        <w:t xml:space="preserve"> </w:t>
      </w:r>
      <w:r>
        <w:rPr>
          <w:rFonts w:ascii="Arial" w:hAnsi="Arial"/>
        </w:rPr>
        <w:t xml:space="preserve">NICFI / §E5 Sentinel-2 visual-interpretation fallback path (OSF c4mp8)</w:t>
      </w:r>
      <w:r>
        <w:rPr>
          <w:rFonts w:ascii="Arial" w:hAnsi="Arial"/>
        </w:rPr>
        <w:t xml:space="preserve"> </w:t>
      </w:r>
      <w:r>
        <w:rPr>
          <w:rFonts w:ascii="Arial" w:hAnsi="Arial"/>
        </w:rPr>
        <w:t xml:space="preserve">was not exercised; the team chose to deliver the present automated,</w:t>
      </w:r>
      <w:r>
        <w:rPr>
          <w:rFonts w:ascii="Arial" w:hAnsi="Arial"/>
        </w:rPr>
        <w:t xml:space="preserve"> </w:t>
      </w:r>
      <w:r>
        <w:rPr>
          <w:rFonts w:ascii="Arial" w:hAnsi="Arial"/>
        </w:rPr>
        <w:t xml:space="preserve">reproducible, analyst-independent label provenance instead, and the</w:t>
      </w:r>
      <w:r>
        <w:rPr>
          <w:rFonts w:ascii="Arial" w:hAnsi="Arial"/>
        </w:rPr>
        <w:t xml:space="preserve"> </w:t>
      </w:r>
      <w:r>
        <w:rPr>
          <w:rFonts w:ascii="Arial" w:hAnsi="Arial"/>
        </w:rPr>
        <w:t xml:space="preserve">deviation is logged transparently in the OSF wiki and in §2.4 and §5.4</w:t>
      </w:r>
      <w:r>
        <w:rPr>
          <w:rFonts w:ascii="Arial" w:hAnsi="Arial"/>
        </w:rPr>
        <w:t xml:space="preserve"> </w:t>
      </w:r>
      <w:r>
        <w:rPr>
          <w:rFonts w:ascii="Arial" w:hAnsi="Arial"/>
        </w:rPr>
        <w:t xml:space="preserve">of this manuscript. The full label set is documented in the Mendeley</w:t>
      </w:r>
      <w:r>
        <w:rPr>
          <w:rFonts w:ascii="Arial" w:hAnsi="Arial"/>
        </w:rPr>
        <w:t xml:space="preserve"> </w:t>
      </w:r>
      <w:r>
        <w:rPr>
          <w:rFonts w:ascii="Arial" w:hAnsi="Arial"/>
        </w:rPr>
        <w:t xml:space="preserve">Data deposit (file:</w:t>
      </w:r>
      <w:r>
        <w:rPr>
          <w:rFonts w:ascii="Arial" w:hAnsi="Arial"/>
        </w:rPr>
        <w:t xml:space="preserve"> </w:t>
      </w:r>
      <w:r>
        <w:rPr>
          <w:rStyle w:val="VerbatimChar"/>
          <w:rFonts w:ascii="Arial" w:hAnsi="Arial"/>
        </w:rPr>
        <w:t xml:space="preserve">labels_panel_n480.csv</w:t>
      </w:r>
      <w:r>
        <w:rPr>
          <w:rFonts w:ascii="Arial" w:hAnsi="Arial"/>
        </w:rPr>
        <w:t xml:space="preserve">). The classifier achieves</w:t>
      </w:r>
      <w:r>
        <w:rPr>
          <w:rFonts w:ascii="Arial" w:hAnsi="Arial"/>
        </w:rPr>
        <w:t xml:space="preserve"> </w:t>
      </w:r>
      <w:r>
        <w:rPr>
          <w:rFonts w:ascii="Arial" w:hAnsi="Arial"/>
        </w:rPr>
        <w:t xml:space="preserve">OA = 0.990 / F1 = 0.990 on the stratified 80/20 hold-out (n = 96) and</w:t>
      </w:r>
      <w:r>
        <w:rPr>
          <w:rFonts w:ascii="Arial" w:hAnsi="Arial"/>
        </w:rPr>
        <w:t xml:space="preserve"> </w:t>
      </w:r>
      <w:r>
        <w:rPr>
          <w:rFonts w:ascii="Arial" w:hAnsi="Arial"/>
        </w:rPr>
        <w:t xml:space="preserve">OA = 0.996 / F1 = 0.996 under 5-fold cross-validation. A SAR-only</w:t>
      </w:r>
      <w:r>
        <w:rPr>
          <w:rFonts w:ascii="Arial" w:hAnsi="Arial"/>
        </w:rPr>
        <w:t xml:space="preserve"> </w:t>
      </w:r>
      <w:r>
        <w:rPr>
          <w:rFonts w:ascii="Arial" w:hAnsi="Arial"/>
        </w:rPr>
        <w:t xml:space="preserve">robustness variant with the cloud-affected Sentinel-2 features removed</w:t>
      </w:r>
      <w:r>
        <w:rPr>
          <w:rFonts w:ascii="Arial" w:hAnsi="Arial"/>
        </w:rPr>
        <w:t xml:space="preserve"> </w:t>
      </w:r>
      <w:r>
        <w:rPr>
          <w:rFonts w:ascii="Arial" w:hAnsi="Arial"/>
        </w:rPr>
        <w:t xml:space="preserve">(102 of 480 LSWI/NDWI values required median imputation from monsoon</w:t>
      </w:r>
      <w:r>
        <w:rPr>
          <w:rFonts w:ascii="Arial" w:hAnsi="Arial"/>
        </w:rPr>
        <w:t xml:space="preserve"> </w:t>
      </w:r>
      <w:r>
        <w:rPr>
          <w:rFonts w:ascii="Arial" w:hAnsi="Arial"/>
        </w:rPr>
        <w:t xml:space="preserve">cloud cover) achieves OA = 0.844 / F1 = 0.844 (5-fold CV OA = 0.831);</w:t>
      </w:r>
      <w:r>
        <w:rPr>
          <w:rFonts w:ascii="Arial" w:hAnsi="Arial"/>
        </w:rPr>
        <w:t xml:space="preserve"> </w:t>
      </w:r>
      <w:r>
        <w:rPr>
          <w:rFonts w:ascii="Arial" w:hAnsi="Arial"/>
        </w:rPr>
        <w:t xml:space="preserve">we treat the SAR-only number as the conservative reportable figure and</w:t>
      </w:r>
      <w:r>
        <w:rPr>
          <w:rFonts w:ascii="Arial" w:hAnsi="Arial"/>
        </w:rPr>
        <w:t xml:space="preserve"> </w:t>
      </w:r>
      <w:r>
        <w:rPr>
          <w:rFonts w:ascii="Arial" w:hAnsi="Arial"/>
        </w:rPr>
        <w:t xml:space="preserve">the full-feature number as an upper bound. All four OSF §S3.7</w:t>
      </w:r>
      <w:r>
        <w:rPr>
          <w:rFonts w:ascii="Arial" w:hAnsi="Arial"/>
        </w:rPr>
        <w:t xml:space="preserve"> </w:t>
      </w:r>
      <w:r>
        <w:rPr>
          <w:rFonts w:ascii="Arial" w:hAnsi="Arial"/>
        </w:rPr>
        <w:t xml:space="preserve">falsifiability checks pass (Table S10). The pre-registered design</w:t>
      </w:r>
      <w:r>
        <w:rPr>
          <w:rFonts w:ascii="Arial" w:hAnsi="Arial"/>
        </w:rPr>
        <w:t xml:space="preserve"> </w:t>
      </w:r>
      <w:r>
        <w:rPr>
          <w:rFonts w:ascii="Arial" w:hAnsi="Arial"/>
        </w:rPr>
        <w:t xml:space="preserve">(OSF c4mp8) and the five-instrument robustness suite are unchanged.</w:t>
      </w:r>
      <w:r>
        <w:rPr>
          <w:rFonts w:ascii="Arial" w:hAnsi="Arial"/>
        </w:rPr>
        <w:t xml:space="preserve"> </w:t>
      </w:r>
      <w:r>
        <w:rPr>
          <w:rFonts w:ascii="Arial" w:hAnsi="Arial"/>
        </w:rPr>
        <w:t xml:space="preserve">All inputs, scripts, and outputs are public at the GitHub repository,</w:t>
      </w:r>
      <w:r>
        <w:rPr>
          <w:rFonts w:ascii="Arial" w:hAnsi="Arial"/>
        </w:rPr>
        <w:t xml:space="preserve"> </w:t>
      </w:r>
      <w:r>
        <w:rPr>
          <w:rFonts w:ascii="Arial" w:hAnsi="Arial"/>
        </w:rPr>
        <w:t xml:space="preserve">the Zenodo concept DOI, and the Mendeley Data deposit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by ≥7 days in cyclone years; TWFE-DiD model with WCR-bootstrap inference quantifies and corrects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keepNext/>
        <w:keepLines/>
        <w:jc w:val="center"/>
      </w:pPr>
      <w:r>
        <w:rPr>
          <w:rFonts w:ascii="Arial" w:hAnsi="Arial"/>
          <w:i/>
          <w:sz w:val="18"/>
        </w:rPr>
        <w:t>Figure 1. Study area — five coastal districts of Odisha (Balasore, Bhadrak, Kendrapara, Jagatsinghpur, Puri) with three control districts inland (Cuttack, Dhenkanal, Angul). Cyclone tracks for Fani (2019), Amphan (2020), and Yaas (2021) shown with 50-km IBTrACS buffers. ESA WorldCover v200 cropland mask overlay.</w:t>
      </w:r>
    </w:p>
    <w:p>
      <w:pPr>
        <w:keepNext w:val="0"/>
        <w:keepLines/>
        <w:jc w:val="center"/>
      </w:pPr>
      <w:r>
        <w:drawing>
          <wp:inline>
            <wp:extent cx="5400000" cy="4737971"/>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00000" cy="4737971"/>
                    </a:xfrm>
                    <a:prstGeom prst="rect"/>
                  </pic:spPr>
                </pic:pic>
              </a:graphicData>
            </a:graphic>
          </wp:inline>
        </w:drawing>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reference labels — automated multi-source provenance:</w:t>
      </w:r>
      <w:r>
        <w:rPr>
          <w:rFonts w:ascii="Arial" w:hAnsi="Arial"/>
        </w:rPr>
        <w:t xml:space="preserve"> </w:t>
      </w:r>
      <w:r>
        <w:rPr>
          <w:rFonts w:ascii="Arial" w:hAnsi="Arial"/>
        </w:rPr>
        <w:t xml:space="preserve">A reference-label set of n = 480 binary labels (cyclone-flood vs. agronomic-flood) is generated entirely from public products, with no analyst visual interpretation involved. The label set is partitioned as follows. (i)</w:t>
      </w:r>
      <w:r>
        <w:rPr>
          <w:rFonts w:ascii="Arial" w:hAnsi="Arial"/>
        </w:rPr>
        <w:t xml:space="preserve"> </w:t>
      </w:r>
      <w:r>
        <w:rPr>
          <w:rFonts w:ascii="Arial" w:hAnsi="Arial"/>
          <w:b/>
          <w:bCs/>
        </w:rPr>
        <w:t xml:space="preserve">80 cyclone-flood labels for Fani (3 May 2019)</w:t>
      </w:r>
      <w:r>
        <w:rPr>
          <w:rFonts w:ascii="Arial" w:hAnsi="Arial"/>
        </w:rPr>
        <w:t xml:space="preserve"> </w:t>
      </w:r>
      <w:r>
        <w:rPr>
          <w:rFonts w:ascii="Arial" w:hAnsi="Arial"/>
        </w:rPr>
        <w:t xml:space="preserve">are sampled from the Copernicus Emergency Management Service master delineation EMSR357 (</w:t>
      </w:r>
      <w:r>
        <w:rPr>
          <w:rStyle w:val="VerbatimChar"/>
          <w:rFonts w:ascii="Arial" w:hAnsi="Arial"/>
        </w:rPr>
        <w:t xml:space="preserve">emergency.copernicus.eu/mapping/list-of-components/EMSR357</w:t>
      </w:r>
      <w:r>
        <w:rPr>
          <w:rFonts w:ascii="Arial" w:hAnsi="Arial"/>
        </w:rPr>
        <w:t xml:space="preserve">), the operational reference for the Fani landfall footprint. (ii)</w:t>
      </w:r>
      <w:r>
        <w:rPr>
          <w:rFonts w:ascii="Arial" w:hAnsi="Arial"/>
        </w:rPr>
        <w:t xml:space="preserve"> </w:t>
      </w:r>
      <w:r>
        <w:rPr>
          <w:rFonts w:ascii="Arial" w:hAnsi="Arial"/>
          <w:b/>
          <w:bCs/>
        </w:rPr>
        <w:t xml:space="preserve">80 cyclone-flood labels each for Amphan (20 May 2020) and Yaas (26 May 2021)</w:t>
      </w:r>
      <w:r>
        <w:rPr>
          <w:rFonts w:ascii="Arial" w:hAnsi="Arial"/>
        </w:rPr>
        <w:t xml:space="preserve"> </w:t>
      </w:r>
      <w:r>
        <w:rPr>
          <w:rFonts w:ascii="Arial" w:hAnsi="Arial"/>
        </w:rPr>
        <w:t xml:space="preserve">are generated automatically by Sentinel-1 SAR pre/post change-detection following the methodology of Voigt et al. (2007) and Twele et al. (2016), as standardised by the UN-SPIDER (2019) Recommended Practice for SAR-based flood mapping (Module 08,</w:t>
      </w:r>
      <w:r>
        <w:rPr>
          <w:rFonts w:ascii="Arial" w:hAnsi="Arial"/>
        </w:rPr>
        <w:t xml:space="preserve"> </w:t>
      </w:r>
      <w:r>
        <w:rPr>
          <w:rStyle w:val="VerbatimChar"/>
          <w:rFonts w:ascii="Arial" w:hAnsi="Arial"/>
        </w:rPr>
        <w:t xml:space="preserve">gee/08_S1_flood_detection.js</w:t>
      </w:r>
      <w:r>
        <w:rPr>
          <w:rFonts w:ascii="Arial" w:hAnsi="Arial"/>
        </w:rPr>
        <w:t xml:space="preserve">): pre-event median VH (3 weeks before landfall) minus post-event median VH (within 7 days of landfall), with the empirical −3 dB threshold for inundated cropland anchored to the IBTrACS landfall buffer. (iii)</w:t>
      </w:r>
      <w:r>
        <w:rPr>
          <w:rFonts w:ascii="Arial" w:hAnsi="Arial"/>
        </w:rPr>
        <w:t xml:space="preserve"> </w:t>
      </w:r>
      <w:r>
        <w:rPr>
          <w:rFonts w:ascii="Arial" w:hAnsi="Arial"/>
          <w:b/>
          <w:bCs/>
        </w:rPr>
        <w:t xml:space="preserve">240 agronomic-flood negative labels</w:t>
      </w:r>
      <w:r>
        <w:rPr>
          <w:rFonts w:ascii="Arial" w:hAnsi="Arial"/>
        </w:rPr>
        <w:t xml:space="preserve"> </w:t>
      </w:r>
      <w:r>
        <w:rPr>
          <w:rFonts w:ascii="Arial" w:hAnsi="Arial"/>
        </w:rP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rPr>
          <w:rFonts w:ascii="Arial" w:hAnsi="Arial"/>
        </w:rPr>
        <w:t xml:space="preserve"> </w:t>
      </w:r>
      <w:r>
        <w:rPr>
          <w:rStyle w:val="VerbatimChar"/>
          <w:rFonts w:ascii="Arial" w:hAnsi="Arial"/>
        </w:rPr>
        <w:t xml:space="preserve">labels_panel_n480.csv</w:t>
      </w:r>
      <w:r>
        <w:rPr>
          <w:rFonts w:ascii="Arial" w:hAnsi="Arial"/>
        </w:rPr>
        <w:t xml:space="preserve">).</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6"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keepNext/>
        <w:keepLines/>
        <w:jc w:val="center"/>
      </w:pPr>
      <w:r>
        <w:rPr>
          <w:rFonts w:ascii="Arial" w:hAnsi="Arial"/>
          <w:i/>
          <w:sz w:val="18"/>
        </w:rPr>
        <w:t>Figure 2. Analytical workflow. Six sequential stages: (i) GEE pre-processing and monthly stack assembly; (ii) saline-flood classifier training and application; (iii) phenology extraction via Whittaker-smoothed double-logistic fitting; (iv) parallel raw vs. corrected pipeline runs; (v) TWFE-DiD estimation with district-clustered inference; (vi) five-instrument robustness suite.</w:t>
      </w:r>
    </w:p>
    <w:p>
      <w:pPr>
        <w:keepNext w:val="0"/>
        <w:keepLines/>
        <w:jc w:val="center"/>
      </w:pPr>
      <w:r>
        <w:drawing>
          <wp:inline>
            <wp:extent cx="5760000" cy="3549885"/>
            <wp:docPr id="3" name="Picture 3"/>
            <wp:cNvGraphicFramePr>
              <a:graphicFrameLocks noChangeAspect="1"/>
            </wp:cNvGraphicFramePr>
            <a:graphic>
              <a:graphicData uri="http://schemas.openxmlformats.org/drawingml/2006/picture">
                <pic:pic>
                  <pic:nvPicPr>
                    <pic:cNvPr id="0" name="Fig02_workflow.png"/>
                    <pic:cNvPicPr/>
                  </pic:nvPicPr>
                  <pic:blipFill>
                    <a:blip r:embed="rId11"/>
                    <a:stretch>
                      <a:fillRect/>
                    </a:stretch>
                  </pic:blipFill>
                  <pic:spPr>
                    <a:xfrm>
                      <a:off x="0" y="0"/>
                      <a:ext cx="5760000" cy="3549885"/>
                    </a:xfrm>
                    <a:prstGeom prst="rect"/>
                  </pic:spPr>
                </pic:pic>
              </a:graphicData>
            </a:graphic>
          </wp:inline>
        </w:drawing>
      </w:r>
    </w:p>
    <w:p>
      <w:pPr>
        <w:keepNext/>
        <w:keepLines/>
        <w:jc w:val="center"/>
      </w:pPr>
      <w:r>
        <w:rPr>
          <w:rFonts w:ascii="Arial" w:hAnsi="Arial"/>
          <w:i/>
          <w:sz w:val="18"/>
        </w:rPr>
        <w:t>Figure 1B. Pearl-style identification DAG. Cyclone landfall (T) opens two pathways into the SAR backscatter trough: a legitimate transplanting-flood pathway and a confounding saline-surge pathway. Module 02 (the saline-flood classifier) intercepts the confounding pathway; the remaining backscatter trough identifies the agronomic SOS.</w:t>
      </w:r>
    </w:p>
    <w:p>
      <w:pPr>
        <w:keepNext w:val="0"/>
        <w:keepLines/>
        <w:jc w:val="center"/>
      </w:pPr>
      <w:r>
        <w:drawing>
          <wp:inline>
            <wp:extent cx="5040000" cy="4375267"/>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040000" cy="4375267"/>
                    </a:xfrm>
                    <a:prstGeom prst="rect"/>
                  </pic:spPr>
                </pic:pic>
              </a:graphicData>
            </a:graphic>
          </wp:inline>
        </w:drawing>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district-aggregated CI half-widths in Supplementary Table S12 and inform the minimum detectable effect (§3.7.5); the pixel-level uncertainty rasters themselves are released as GeoTIFFs in the Mendeley Data deposit (DOI 10.17632/z3zxk4xy3c.1) rather than displayed as a manuscript figure, because their spatial structure is dominated by the cloud-gap and classifier-confidence covariates already tabulated in Table S12.</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keepNext/>
        <w:keepLines/>
        <w:jc w:val="center"/>
      </w:pPr>
      <w:r>
        <w:rPr>
          <w:rFonts w:ascii="Arial" w:hAnsi="Arial"/>
          <w:i/>
          <w:sz w:val="18"/>
        </w:rPr>
        <w:t>Figure 3. Event-study coefficients (Eq. 5) for the three phenometrics under raw and corrected pipelines, with k = −1 (2018) the omitted reference. Pre-treatment leads (k = −2) lie within ±2 d of zero, supporting no-anticipation. CR1-clustered 95% CIs shown.</w:t>
      </w:r>
    </w:p>
    <w:p>
      <w:pPr>
        <w:keepNext w:val="0"/>
        <w:keepLines/>
        <w:jc w:val="center"/>
      </w:pPr>
      <w:r>
        <w:drawing>
          <wp:inline>
            <wp:extent cx="5760000" cy="2729087"/>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760000" cy="2729087"/>
                    </a:xfrm>
                    <a:prstGeom prst="rect"/>
                  </pic:spPr>
                </pic:pic>
              </a:graphicData>
            </a:graphic>
          </wp:inline>
        </w:drawing>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real v2.1 panel the in-space permutation test (Table S7)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reassignments only for the EOS cells (raw/EOS and corrected/EOS at the design floor</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0.018</m:t>
        </m:r>
      </m:oMath>
      <w:r>
        <w:rPr>
          <w:rFonts w:ascii="Arial" w:hAnsi="Arial"/>
        </w:rPr>
        <w:t xml:space="preserve">); SOS and POS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and yield</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0.50</m:t>
        </m:r>
      </m:oMath>
      <w:r>
        <w:rPr>
          <w:rFonts w:ascii="Arial" w:hAnsi="Arial"/>
        </w:rPr>
        <w:t xml:space="preserve"> </w:t>
      </w:r>
      <w:r>
        <w:rPr>
          <w:rFonts w:ascii="Arial" w:hAnsi="Arial"/>
        </w:rPr>
        <w:t xml:space="preserve">(SOS) and 0.286 (POS), consistent with the small-G null result. The corrected/EOS cell — the smallest |</w:t>
      </w:r>
      <m:oMath>
        <m:acc>
          <m:accPr>
            <m:chr m:val="̂"/>
          </m:accPr>
          <m:e>
            <m:r>
              <m:t>τ</m:t>
            </m:r>
          </m:e>
        </m:acc>
      </m:oMath>
      <w:r>
        <w:rPr>
          <w:rFonts w:ascii="Arial" w:hAnsi="Arial"/>
        </w:rP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On the real v2.1 panel the SOS pseudo-coefficient is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real v2.1 panel, MDE₂-sided ranges from 0.55 d (corrected/EOS) to 56.5 d (raw/SOS), and</w:t>
      </w:r>
      <w:r>
        <w:rPr>
          <w:rFonts w:ascii="Arial" w:hAnsi="Arial"/>
        </w:rPr>
        <w:t xml:space="preserve"> </w:t>
      </w:r>
      <m:oMath>
        <m:d>
          <m:dPr>
            <m:begChr m:val="|"/>
            <m:endChr m:val="|"/>
            <m:sepChr m:val=""/>
            <m:grow/>
          </m:dPr>
          <m:e>
            <m:acc>
              <m:accPr>
                <m:chr m:val="̂"/>
              </m:accPr>
              <m:e>
                <m:r>
                  <m:t>τ</m:t>
                </m:r>
              </m:e>
            </m:acc>
          </m:e>
        </m:d>
        <m:r>
          <m:rPr>
            <m:sty m:val="p"/>
          </m:rPr>
          <m:t>/</m:t>
        </m:r>
      </m:oMath>
      <w:r>
        <w:rPr>
          <w:rFonts w:ascii="Arial" w:hAnsi="Arial"/>
        </w:rPr>
        <w:t xml:space="preserve">MDE ranges from 0.27 (raw/SOS) to 0.43 (corrected/EOS); none of the six observed effects exceeds its MDE at</w:t>
      </w:r>
      <w:r>
        <w:rPr>
          <w:rFonts w:ascii="Arial" w:hAnsi="Arial"/>
        </w:rPr>
        <w:t xml:space="preserve"> </w:t>
      </w:r>
      <m:oMath>
        <m:r>
          <m:t>α</m:t>
        </m:r>
        <m:r>
          <m:rPr>
            <m:sty m:val="p"/>
          </m:rPr>
          <m:t>=</m:t>
        </m:r>
        <m:r>
          <m:t>0.05</m:t>
        </m:r>
      </m:oMath>
      <w:r>
        <w:rPr>
          <w:rFonts w:ascii="Arial" w:hAnsi="Arial"/>
        </w:rP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w:t>
      </w:r>
    </w:p>
    <w:p>
      <w:r>
        <w:rPr>
          <w:rFonts w:ascii="Arial" w:hAnsi="Arial"/>
        </w:rPr>
        <w:pict>
          <v:rect style="width:0;height:1.5pt" o:hralign="center" o:hrstd="t" o:hr="t"/>
        </w:pict>
      </w:r>
    </w:p>
    <w:bookmarkEnd w:id="45"/>
    <w:bookmarkEnd w:id="46"/>
    <w:bookmarkStart w:id="54" w:name="results"/>
    <w:p>
      <w:pPr>
        <w:pStyle w:val="Heading2"/>
      </w:pPr>
      <w:r>
        <w:rPr>
          <w:rFonts w:ascii="Arial" w:hAnsi="Arial"/>
        </w:rPr>
        <w:t xml:space="preserve">4. Results</w:t>
      </w:r>
    </w:p>
    <w:bookmarkStart w:id="47"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p>
      <w:pPr>
        <w:keepNext/>
        <w:keepLines/>
        <w:jc w:val="center"/>
      </w:pPr>
      <w:r>
        <w:rPr>
          <w:rFonts w:ascii="Arial" w:hAnsi="Arial"/>
          <w:i/>
          <w:sz w:val="18"/>
        </w:rPr>
        <w:t>Figure 4. Per-district SOS time-series (2017–2022) for the five coastal-treated districts and three inland-control districts under the v2.1-corrected pipeline. Treatment-year SOS shifts visible at Bhadrak (Yaas 2021) and Kendrapara (Amphan 2020).</w:t>
      </w:r>
    </w:p>
    <w:p>
      <w:pPr>
        <w:keepNext w:val="0"/>
        <w:keepLines/>
        <w:jc w:val="center"/>
      </w:pPr>
      <w:r>
        <w:drawing>
          <wp:inline>
            <wp:extent cx="5760000" cy="387431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760000" cy="3874318"/>
                    </a:xfrm>
                    <a:prstGeom prst="rect"/>
                  </pic:spPr>
                </pic:pic>
              </a:graphicData>
            </a:graphic>
          </wp:inline>
        </w:drawing>
      </w:r>
    </w:p>
    <w:bookmarkEnd w:id="47"/>
    <w:bookmarkStart w:id="48"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8"/>
    <w:bookmarkStart w:id="49"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cyclone-affected district-year reveals systematic but bounded biases in the uncorrected SOS, POS, and EOS estimates (Figure 4; per-(district, year, metric) values in Table S13a). Across the 13 cyclone-affected district-year cells in the v2.1 correction summary (4 Fani 2019, 4 Amphan 2020, 5 Yaas 2021), the mean absolute difference between raw and corrected SOS dates was</w:t>
      </w:r>
      <w:r>
        <w:rPr>
          <w:rFonts w:ascii="Arial" w:hAnsi="Arial"/>
        </w:rPr>
        <w:t xml:space="preserve"> </w:t>
      </w:r>
      <w:r>
        <w:rPr>
          <w:rFonts w:ascii="Arial" w:hAnsi="Arial"/>
          <w:b/>
          <w:bCs/>
        </w:rPr>
        <w:t xml:space="preserve">0.245 ± 0.272 days</w:t>
      </w:r>
      <w:r>
        <w:rPr>
          <w:rFonts w:ascii="Arial" w:hAnsi="Arial"/>
        </w:rPr>
        <w:t xml:space="preserve"> </w:t>
      </w:r>
      <w:r>
        <w:rPr>
          <w:rFonts w:ascii="Arial" w:hAnsi="Arial"/>
        </w:rPr>
        <w:t xml:space="preserve">(range 0.04–1.01 d). The largest single correction was applied to</w:t>
      </w:r>
      <w:r>
        <w:rPr>
          <w:rFonts w:ascii="Arial" w:hAnsi="Arial"/>
        </w:rPr>
        <w:t xml:space="preserve"> </w:t>
      </w:r>
      <w:r>
        <w:rPr>
          <w:rFonts w:ascii="Arial" w:hAnsi="Arial"/>
          <w:b/>
          <w:bCs/>
        </w:rPr>
        <w:t xml:space="preserve">Bhadrak in 2021 (Cyclone Yaas), where the SOS date shifted by −1.01 days</w:t>
      </w:r>
      <w:r>
        <w:rPr>
          <w:rFonts w:ascii="Arial" w:hAnsi="Arial"/>
        </w:rP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rPr>
          <w:rFonts w:ascii="Arial" w:hAnsi="Arial"/>
        </w:rPr>
        <w:t xml:space="preserve">For POS dates, the mean raw–corrected difference in treatment years was</w:t>
      </w:r>
      <w:r>
        <w:rPr>
          <w:rFonts w:ascii="Arial" w:hAnsi="Arial"/>
        </w:rPr>
        <w:t xml:space="preserve"> </w:t>
      </w:r>
      <w:r>
        <w:rPr>
          <w:rFonts w:ascii="Arial" w:hAnsi="Arial"/>
          <w:b/>
          <w:bCs/>
        </w:rPr>
        <w:t xml:space="preserve">0.122 ± 0.134 days</w:t>
      </w:r>
      <w:r>
        <w:rPr>
          <w:rFonts w:ascii="Arial" w:hAnsi="Arial"/>
        </w:rPr>
        <w:t xml:space="preserve"> </w:t>
      </w:r>
      <w:r>
        <w:rPr>
          <w:rFonts w:ascii="Arial" w:hAnsi="Arial"/>
        </w:rP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rPr>
          <w:rFonts w:ascii="Arial" w:hAnsi="Arial"/>
        </w:rPr>
        <w:t xml:space="preserve"> </w:t>
      </w:r>
      <w:r>
        <w:rPr>
          <w:rFonts w:ascii="Arial" w:hAnsi="Arial"/>
          <w:b/>
          <w:bCs/>
        </w:rPr>
        <w:t xml:space="preserve">0.337 ± 0.462 days</w:t>
      </w:r>
      <w:r>
        <w:rPr>
          <w:rFonts w:ascii="Arial" w:hAnsi="Arial"/>
        </w:rPr>
        <w:t xml:space="preserve"> </w:t>
      </w:r>
      <w:r>
        <w:rPr>
          <w:rFonts w:ascii="Arial" w:hAnsi="Arial"/>
        </w:rP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3.6.1, Limitation 6).</w:t>
      </w:r>
    </w:p>
    <w:p>
      <w:pPr>
        <w:pStyle w:val="BodyText"/>
      </w:pPr>
      <w:r>
        <w:rPr>
          <w:rFonts w:ascii="Arial" w:hAnsi="Arial"/>
        </w:rP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rPr>
          <w:rFonts w:ascii="Arial" w:hAnsi="Arial"/>
        </w:rP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+15.289 d, CR1 SE =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−3.587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0 d (right-censored: 20 of the 64 district-year EOS cells fall in the post-cyclone window and are right-censored by the season-end harvest cutoff, leaving n = 44 estimable EOS rows;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In the v2.1 classifier-corrected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+15.108 d (CR1 SE = 17.312,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a Δτ̂ = −0.181 d shift corresponding to a 1.2 % reduction in absolute magnitude relative to the raw pipeline — small but directionally consistent with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−3.677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Δτ̂ = −0.090 d), and the corrected/EOS coefficient moved from the degenerate raw value to</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(CR1 SE =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corrected/SOS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corrected/POS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corrected/EOS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this null result reflects the small-G regime (G = 8 clusters) discussed in the Provenance note, not a failure of the research design; (ii) the leave-one-out jackknife (Table S5) flags all six cells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under the published threshold (Bhadrak removal shifts raw/SOS τ̂ by 76.1 % and corrected/SOS τ̂ by 76.7 %; Cuttack removal shifts raw/POS τ̂ by 55.8 % and corrected/POS τ̂ by 54.7 %; Bhadrak removal shifts corrected/EOS τ̂ by 60.2 %), consistent with the n = 8 cluster geometry rather than with model misspecification;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after Bonferroni-correction across the six-cell family; (iv) the in-time pseudo-shifted placebo (§3.7.4) yields pseudo-coefficients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and</w:t>
      </w:r>
      <w:r>
        <w:rPr>
          <w:rFonts w:ascii="Arial" w:hAnsi="Arial"/>
        </w:rPr>
        <w:t xml:space="preserve"> </w:t>
      </w:r>
      <m:oMath>
        <m:sSub>
          <m:e>
            <m:acc>
              <m:accPr>
                <m:chr m:val="̂"/>
              </m:accPr>
              <m:e>
                <m:r>
                  <m:t>τ</m:t>
                </m:r>
              </m:e>
            </m:acc>
          </m:e>
          <m:sub>
            <m:r>
              <m:rPr>
                <m:nor/>
                <m:sty m:val="p"/>
              </m:rPr>
              <m:t>pseudo,POS</m:t>
            </m:r>
          </m:sub>
        </m:sSub>
      </m:oMath>
      <w:r>
        <w:rPr>
          <w:rFonts w:ascii="Arial" w:hAnsi="Arial"/>
        </w:rPr>
        <w:t xml:space="preserve"> </w:t>
      </w:r>
      <w:r>
        <w:rPr>
          <w:rFonts w:ascii="Arial" w:hAnsi="Arial"/>
        </w:rPr>
        <w:t xml:space="preserve">=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rPr>
          <w:rFonts w:ascii="Arial" w:hAnsi="Arial"/>
        </w:rPr>
        <w:t xml:space="preserve"> </w:t>
      </w:r>
      <w:r>
        <w:rPr>
          <w:rFonts w:ascii="Arial" w:hAnsi="Arial"/>
          <w:i/>
          <w:iCs/>
        </w:rPr>
        <w:t xml:space="preserve">no</w:t>
      </w:r>
      <w:r>
        <w:rPr>
          <w:rFonts w:ascii="Arial" w:hAnsi="Arial"/>
        </w:rPr>
        <w:t xml:space="preserve"> </w:t>
      </w:r>
      <w:r>
        <w:rPr>
          <w:rFonts w:ascii="Arial" w:hAnsi="Arial"/>
        </w:rPr>
        <w:t xml:space="preserve">observed effect exceeds its MDE under the small-G regime (G = 8, df = 7,</w:t>
      </w:r>
      <w:r>
        <w:rPr>
          <w:rFonts w:ascii="Arial" w:hAnsi="Arial"/>
        </w:rPr>
        <w:t xml:space="preserve"> </w:t>
      </w:r>
      <m:oMath>
        <m:r>
          <m:t>α</m:t>
        </m:r>
      </m:oMath>
      <w:r>
        <w:rPr>
          <w:rFonts w:ascii="Arial" w:hAnsi="Arial"/>
        </w:rPr>
        <w:t xml:space="preserve"> </w:t>
      </w:r>
      <w:r>
        <w:rPr>
          <w:rFonts w:ascii="Arial" w:hAnsi="Arial"/>
        </w:rPr>
        <w:t xml:space="preserve">= 0.05, power = 0.80): MDE₂-sided ranges from 0.55 d (corrected/EOS) to 56.5 d (raw/SOS), and the largest |τ̂|/MDE ratio across the six cells is 0.43 (corrected/EOS) — i.e. every observed effect is smaller than the effect size the design can detect with 80 % power at α = 0.05. This is the formal small-G underpowering result that mirrors the WCR null conclusions in (i): the study is</w:t>
      </w:r>
      <w:r>
        <w:rPr>
          <w:rFonts w:ascii="Arial" w:hAnsi="Arial"/>
        </w:rPr>
        <w:t xml:space="preserve"> </w:t>
      </w:r>
      <w:r>
        <w:rPr>
          <w:rFonts w:ascii="Arial" w:hAnsi="Arial"/>
          <w:i/>
          <w:iCs/>
        </w:rPr>
        <w:t xml:space="preserve">underpowered to detect</w:t>
      </w:r>
      <w:r>
        <w:rPr>
          <w:rFonts w:ascii="Arial" w:hAnsi="Arial"/>
        </w:rPr>
        <w:t xml:space="preserve"> </w:t>
      </w:r>
      <w:r>
        <w:rPr>
          <w:rFonts w:ascii="Arial" w:hAnsi="Arial"/>
        </w:rPr>
        <w:t xml:space="preserve">any of the observed effects at conventional thresholds, not that the effects are absent. The corrected/EOS cell — the smallest |τ̂|/MDE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keepNext/>
        <w:keepLines/>
        <w:jc w:val="center"/>
      </w:pPr>
      <w:r>
        <w:rPr>
          <w:rFonts w:ascii="Arial" w:hAnsi="Arial"/>
          <w:i/>
          <w:sz w:val="18"/>
        </w:rPr>
        <w:t>Figure 6. In-space placebo distribution from donor-swap permutation (56 reassignments of treatment status to inland-control districts). Real τ̂ marked by red dashed line. Corrected/EOS cell hits the design-floor p_perm = 0.018 at G = 8.</w:t>
      </w:r>
    </w:p>
    <w:p>
      <w:pPr>
        <w:keepNext w:val="0"/>
        <w:keepLines/>
        <w:jc w:val="center"/>
      </w:pPr>
      <w:r>
        <w:drawing>
          <wp:inline>
            <wp:extent cx="5400000" cy="3205273"/>
            <wp:docPr id="6" name="Picture 6"/>
            <wp:cNvGraphicFramePr>
              <a:graphicFrameLocks noChangeAspect="1"/>
            </wp:cNvGraphicFramePr>
            <a:graphic>
              <a:graphicData uri="http://schemas.openxmlformats.org/drawingml/2006/picture">
                <pic:pic>
                  <pic:nvPicPr>
                    <pic:cNvPr id="0" name="fig6_placebo_distribution.png"/>
                    <pic:cNvPicPr/>
                  </pic:nvPicPr>
                  <pic:blipFill>
                    <a:blip r:embed="rId14"/>
                    <a:stretch>
                      <a:fillRect/>
                    </a:stretch>
                  </pic:blipFill>
                  <pic:spPr>
                    <a:xfrm>
                      <a:off x="0" y="0"/>
                      <a:ext cx="5400000" cy="3205273"/>
                    </a:xfrm>
                    <a:prstGeom prst="rect"/>
                  </pic:spPr>
                </pic:pic>
              </a:graphicData>
            </a:graphic>
          </wp:inline>
        </w:drawing>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six Bulbul-rainfall districts (West Bengal coast, November 2019) yields per-district residuals against the trained τ̂_corrected_SOS = +15.11 d that are predominantly negative (Boudh −2.09 d, Ganjam −5.85 d, Kandhamal −1.44 d, Khordha −3.02 d, Mayurbhanj −0.39 d, Nayagarh +1.34 d; mean residual −2.08 d; 5 of 6 districts &lt; 0). This pattern — directionally inconsistent with positive transfer — is itself a meaningful, falsifiable result: it indicates that the surge-trained v2.1 correction does not extrapolate to a post-monsoon rainfall-dominated event, providing evidence that the correction mechanism is</w:t>
      </w:r>
      <w:r>
        <w:rPr>
          <w:rFonts w:ascii="Arial" w:hAnsi="Arial"/>
        </w:rPr>
        <w:t xml:space="preserve"> </w:t>
      </w:r>
      <w:r>
        <w:rPr>
          <w:rFonts w:ascii="Arial" w:hAnsi="Arial"/>
          <w:i/>
          <w:iCs/>
        </w:rPr>
        <w:t xml:space="preserve">cyclone-class-specific</w:t>
      </w:r>
      <w:r>
        <w:rPr>
          <w:rFonts w:ascii="Arial" w:hAnsi="Arial"/>
        </w:rPr>
        <w:t xml:space="preserve"> </w:t>
      </w:r>
      <w:r>
        <w:rPr>
          <w:rFonts w:ascii="Arial" w:hAnsi="Arial"/>
        </w:rPr>
        <w:t xml:space="preserve">rather than a universal SAR-flood adjustment. The pixel-share weighting that drives the v2.1 correction depends on the trained classifier’s mask, which was learnt on summer-monsoon surge events; the Bulbul probe shows that this mask does not capture the spatial-temporal signature of post-monsoon freshwater rainfall.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 and is reported as a falsifiability check, not as support for blanket transferability.</w:t>
      </w:r>
    </w:p>
    <w:bookmarkEnd w:id="50"/>
    <w:bookmarkStart w:id="51"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1"/>
    <w:bookmarkStart w:id="52"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(released as GeoTIFFs in the Mendeley deposit; per-district summary in Table S12)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r>
        <w:rPr>
          <w:rFonts w:ascii="Arial" w:hAnsi="Arial"/>
        </w:rPr>
        <w:pict>
          <v:rect style="width:0;height:1.5pt" o:hralign="center" o:hrstd="t" o:hr="t"/>
        </w:pict>
      </w:r>
    </w:p>
    <w:bookmarkEnd w:id="53"/>
    <w:bookmarkEnd w:id="54"/>
    <w:bookmarkStart w:id="60" w:name="discussion"/>
    <w:p>
      <w:pPr>
        <w:pStyle w:val="Heading2"/>
      </w:pPr>
      <w:r>
        <w:rPr>
          <w:rFonts w:ascii="Arial" w:hAnsi="Arial"/>
        </w:rPr>
        <w:t xml:space="preserve">5. Discussion</w:t>
      </w:r>
    </w:p>
    <w:bookmarkStart w:id="55"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rPr>
          <w:rFonts w:ascii="Arial" w:hAnsi="Arial"/>
        </w:rP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directionally satisfied for SOS (15.289 &gt; 15.108 &gt; 0), and the corrected/EOS coefficient (−0.239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9"/>
    <w:bookmarkEnd w:id="60"/>
    <w:bookmarkStart w:id="61"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1"/>
    <w:bookmarkStart w:id="62" w:name="credit-author-contribution-statement"/>
    <w:p>
      <w:pPr>
        <w:pStyle w:val="Heading2"/>
      </w:pPr>
      <w:r>
        <w:rPr>
          <w:rFonts w:ascii="Arial" w:hAnsi="Arial"/>
        </w:rP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Fonts w:ascii="Arial" w:hAnsi="Arial"/>
                <w:sz w:val="18"/>
              </w:rPr>
              <w:t xml:space="preserve">Contribution (CRediT taxonomy)</w:t>
            </w:r>
          </w:p>
        </w:tc>
        <w:tc>
          <w:tcPr/>
          <w:p>
            <w:pPr>
              <w:pStyle w:val="Compact"/>
              <w:jc w:val="left"/>
            </w:pPr>
            <w:r>
              <w:rPr>
                <w:rFonts w:ascii="Arial" w:hAnsi="Arial"/>
                <w:sz w:val="18"/>
              </w:rPr>
              <w:t xml:space="preserve">Supranab Panda</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Software (GEE code, Python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bl>
    <w:p>
      <w:pPr>
        <w:pStyle w:val="BodyText"/>
      </w:pPr>
      <w:r>
        <w:rPr>
          <w:rFonts w:ascii="Arial" w:hAnsi="Arial"/>
          <w:i/>
          <w:iCs/>
        </w:rPr>
        <w:t xml:space="preserve">Author affiliations and full contact details are listed in the title block; additional contributors, if any, will be reflected in this matrix prior to journal submission.</w:t>
      </w:r>
    </w:p>
    <w:p>
      <w:r>
        <w:rPr>
          <w:rFonts w:ascii="Arial" w:hAnsi="Arial"/>
        </w:rPr>
        <w:pict>
          <v:rect style="width:0;height:1.5pt" o:hralign="center" o:hrstd="t" o:hr="t"/>
        </w:pict>
      </w:r>
    </w:p>
    <w:bookmarkEnd w:id="62"/>
    <w:bookmarkStart w:id="63"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3"/>
    <w:bookmarkStart w:id="64"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4"/>
    <w:bookmarkStart w:id="65"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5"/>
    <w:bookmarkStart w:id="72"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 All Google Earth Engine JavaScript processing code and Python statistical analysis scripts are publicly available at</w:t>
      </w:r>
      <w:r>
        <w:rPr>
          <w:rFonts w:ascii="Arial" w:hAnsi="Arial"/>
        </w:rPr>
        <w:t xml:space="preserve"> </w:t>
      </w:r>
      <w:hyperlink r:id="rId66">
        <w:r>
          <w:rPr>
            <w:rStyle w:val="Hyperlink"/>
          </w:rPr>
          <w:t xml:space="preserve">https://github.com/pandasupranab/RiceBaCI-GEE</w:t>
        </w:r>
      </w:hyperlink>
      <w:r>
        <w:rPr>
          <w:rFonts w:ascii="Arial" w:hAnsi="Arial"/>
        </w:rPr>
        <w:t xml:space="preserve"> </w:t>
      </w:r>
      <w:r>
        <w:rPr>
          <w:rFonts w:ascii="Arial" w:hAnsi="Arial"/>
        </w:rPr>
        <w:t xml:space="preserve">under an MIT licence; tagged source-code releases corresponding to the pre-registration (v0.1.0-prereg) and successive submission snapshots are permanently archived on Zenodo (concept DOI:</w:t>
      </w:r>
      <w:r>
        <w:rPr>
          <w:rFonts w:ascii="Arial" w:hAnsi="Arial"/>
        </w:rPr>
        <w:t xml:space="preserve"> </w:t>
      </w:r>
      <w:hyperlink r:id="rId67">
        <w:r>
          <w:rPr>
            <w:rStyle w:val="Hyperlink"/>
          </w:rPr>
          <w:t xml:space="preserve">10.5281/zenodo.20024578</w:t>
        </w:r>
      </w:hyperlink>
      <w:r>
        <w:rPr>
          <w:rFonts w:ascii="Arial" w:hAnsi="Arial"/>
        </w:rPr>
        <w:t xml:space="preserve">; v0.1.1-prereg DOI:</w:t>
      </w:r>
      <w:r>
        <w:rPr>
          <w:rFonts w:ascii="Arial" w:hAnsi="Arial"/>
        </w:rPr>
        <w:t xml:space="preserve"> </w:t>
      </w:r>
      <w:hyperlink r:id="rId68">
        <w:r>
          <w:rPr>
            <w:rStyle w:val="Hyperlink"/>
          </w:rPr>
          <w:t xml:space="preserve">10.5281/zenodo.20024579</w:t>
        </w:r>
      </w:hyperlink>
      <w:r>
        <w:rPr>
          <w:rFonts w:ascii="Arial" w:hAnsi="Arial"/>
        </w:rPr>
        <w:t xml:space="preserve">; v1.0.0-submission DOI:</w:t>
      </w:r>
      <w:r>
        <w:rPr>
          <w:rFonts w:ascii="Arial" w:hAnsi="Arial"/>
        </w:rPr>
        <w:t xml:space="preserve"> </w:t>
      </w:r>
      <w:hyperlink r:id="rId69">
        <w:r>
          <w:rPr>
            <w:rStyle w:val="Hyperlink"/>
          </w:rPr>
          <w:t xml:space="preserve">10.5281/zenodo.20585636</w:t>
        </w:r>
      </w:hyperlink>
      <w:r>
        <w:rPr>
          <w:rFonts w:ascii="Arial" w:hAnsi="Arial"/>
        </w:rPr>
        <w:t xml:space="preserve">; v1.0.1-submission DOI:</w:t>
      </w:r>
      <w:r>
        <w:rPr>
          <w:rFonts w:ascii="Arial" w:hAnsi="Arial"/>
        </w:rPr>
        <w:t xml:space="preserve"> </w:t>
      </w:r>
      <w:hyperlink r:id="rId70">
        <w:r>
          <w:rPr>
            <w:rStyle w:val="Hyperlink"/>
          </w:rPr>
          <w:t xml:space="preserve">10.5281/zenodo.20587316</w:t>
        </w:r>
      </w:hyperlink>
      <w:r>
        <w:rPr>
          <w:rFonts w:ascii="Arial" w:hAnsi="Arial"/>
        </w:rPr>
        <w:t xml:space="preserve">). The study pre-registration, including all pre-specified hypotheses, analysis decisions, and inference criteria, is available at</w:t>
      </w:r>
      <w:r>
        <w:rPr>
          <w:rFonts w:ascii="Arial" w:hAnsi="Arial"/>
        </w:rPr>
        <w:t xml:space="preserve"> </w:t>
      </w:r>
      <w:hyperlink r:id="rId71">
        <w:r>
          <w:rPr>
            <w:rStyle w:val="Hyperlink"/>
          </w:rPr>
          <w:t xml:space="preserve">https://osf.io/c4mp8</w:t>
        </w:r>
      </w:hyperlink>
      <w:r>
        <w:rPr>
          <w:rFonts w:ascii="Arial" w:hAnsi="Arial"/>
        </w:rPr>
        <w:t xml:space="preserve"> </w:t>
      </w:r>
      <w:r>
        <w:rPr>
          <w:rFonts w:ascii="Arial" w:hAnsi="Arial"/>
        </w:rP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Fonts w:ascii="Arial" w:hAnsi="Arial"/>
        </w:rPr>
        <w:t xml:space="preserve">labels_panel_n480.csv</w:t>
      </w:r>
      <w:r>
        <w:rPr>
          <w:rFonts w:ascii="Arial" w:hAnsi="Arial"/>
        </w:rPr>
        <w:t xml:space="preserve">,</w:t>
      </w:r>
      <w:r>
        <w:rPr>
          <w:rFonts w:ascii="Arial" w:hAnsi="Arial"/>
        </w:rPr>
        <w:t xml:space="preserve"> </w:t>
      </w:r>
      <w:r>
        <w:rPr>
          <w:rStyle w:val="VerbatimChar"/>
          <w:rFonts w:ascii="Arial" w:hAnsi="Arial"/>
        </w:rPr>
        <w:t xml:space="preserve">labels_features_n480.csv</w:t>
      </w:r>
      <w:r>
        <w:rPr>
          <w:rFonts w:ascii="Arial" w:hAnsi="Arial"/>
        </w:rPr>
        <w:t xml:space="preserve">) under CC-BY-4.0.</w:t>
      </w:r>
    </w:p>
    <w:p>
      <w:r>
        <w:rPr>
          <w:rFonts w:ascii="Arial" w:hAnsi="Arial"/>
        </w:rPr>
        <w:pict>
          <v:rect style="width:0;height:1.5pt" o:hralign="center" o:hrstd="t" o:hr="t"/>
        </w:pict>
      </w:r>
    </w:p>
    <w:bookmarkEnd w:id="72"/>
    <w:bookmarkStart w:id="74"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73">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4"/>
    <w:bookmarkStart w:id="75"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Friedl, M.A., Sulla-Menashe, D., Tan, B., Schneider, A., Ramankutty, N., Sibley, A., Huang, X., 2010. MODIS Collection 5 global land cover: algorithm refinements and characterization of new datasets.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114, 168–182. https://doi.org/10.1016/j.rse.2009.08.016</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Gray, J., Sulla-Menashe, D., Friedl, M.A., 2019.</w:t>
      </w:r>
      <w:r>
        <w:rPr>
          <w:rFonts w:ascii="Arial" w:hAnsi="Arial"/>
        </w:rPr>
        <w:t xml:space="preserve"> </w:t>
      </w:r>
      <w:r>
        <w:rPr>
          <w:rFonts w:ascii="Arial" w:hAnsi="Arial"/>
          <w:i/>
          <w:iCs/>
        </w:rPr>
        <w:t xml:space="preserve">User Guide to Collection 6 MODIS Land Cover Dynamics (MCD12Q2) Product</w:t>
      </w:r>
      <w:r>
        <w:rPr>
          <w:rFonts w:ascii="Arial" w:hAnsi="Arial"/>
        </w:rPr>
        <w:t xml:space="preserve">, Version 6.0. NASA EOSDIS Land Processes Distributed Active Archive Center, Sioux Falls, SD. https://lpdaac.usgs.gov/documents/465/MCD12Q2_User_Guide_V6.pdf</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Pandey, V.L., 2018.</w:t>
      </w:r>
      <w:r>
        <w:rPr>
          <w:rFonts w:ascii="Arial" w:hAnsi="Arial"/>
        </w:rPr>
        <w:t xml:space="preserve"> </w:t>
      </w:r>
      <w:r>
        <w:rPr>
          <w:rFonts w:ascii="Arial" w:hAnsi="Arial"/>
          <w:i/>
          <w:iCs/>
        </w:rPr>
        <w:t xml:space="preserve">Smallholders’ Dairy Farming and Markets: Productivity and Performance in India—ICRISAT Village Dynamics in South Asia (VDSA) Bulletin Series</w:t>
      </w:r>
      <w:r>
        <w:rPr>
          <w:rFonts w:ascii="Arial" w:hAnsi="Arial"/>
        </w:rPr>
        <w:t xml:space="preserve">. International Crops Research Institute for the Semi-Arid Tropics (ICRISAT), Patancheru, India. http://vdsa.icrisat.org</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Twele, A., Cao, W., Plank, S., Martinis, S., 2016. Sentinel-1-based flood mapping: a fully automated processing chain.</w:t>
      </w:r>
      <w:r>
        <w:rPr>
          <w:rFonts w:ascii="Arial" w:hAnsi="Arial"/>
        </w:rPr>
        <w:t xml:space="preserve"> </w:t>
      </w:r>
      <w:r>
        <w:rPr>
          <w:rFonts w:ascii="Arial" w:hAnsi="Arial"/>
          <w:i/>
          <w:iCs/>
        </w:rPr>
        <w:t xml:space="preserve">International Journal of Remote Sensing</w:t>
      </w:r>
      <w:r>
        <w:rPr>
          <w:rFonts w:ascii="Arial" w:hAnsi="Arial"/>
        </w:rPr>
        <w:t xml:space="preserve"> </w:t>
      </w:r>
      <w:r>
        <w:rPr>
          <w:rFonts w:ascii="Arial" w:hAnsi="Arial"/>
        </w:rPr>
        <w:t xml:space="preserve">37, 2990–3004. https://doi.org/10.1080/01431161.2016.1192304</w:t>
      </w:r>
    </w:p>
    <w:p>
      <w:pPr>
        <w:pStyle w:val="BodyText"/>
      </w:pPr>
      <w:r>
        <w:rPr>
          <w:rFonts w:ascii="Arial" w:hAnsi="Arial"/>
        </w:rPr>
        <w:t xml:space="preserve">UN-SPIDER, 2019.</w:t>
      </w:r>
      <w:r>
        <w:rPr>
          <w:rFonts w:ascii="Arial" w:hAnsi="Arial"/>
        </w:rPr>
        <w:t xml:space="preserve"> </w:t>
      </w:r>
      <w:r>
        <w:rPr>
          <w:rFonts w:ascii="Arial" w:hAnsi="Arial"/>
          <w:i/>
          <w:iCs/>
        </w:rPr>
        <w:t xml:space="preserve">Recommended Practice: Flood Mapping and Damage Assessment Using Sentinel-1 SAR Data in Google Earth Engine</w:t>
      </w:r>
      <w:r>
        <w:rPr>
          <w:rFonts w:ascii="Arial" w:hAnsi="Arial"/>
        </w:rPr>
        <w:t xml:space="preserve">. United Nations Platform for Space-based Information for Disaster Management and Emergency Response, Vienna. https://www.un-spider.org/advisory-support/recommended-practices/recommended-practice-google-earth-engine-flood-mapping</w:t>
      </w:r>
    </w:p>
    <w:p>
      <w:pPr>
        <w:pStyle w:val="BodyText"/>
      </w:pPr>
      <w:r>
        <w:rPr>
          <w:rFonts w:ascii="Arial" w:hAnsi="Arial"/>
        </w:rPr>
        <w:t xml:space="preserve">Voigt, S., Kemper, T., Riedlinger, T., Kiefl, R., Scholte, K., Mehl, H., 2007. Satellite image analysis for disaster and crisis-management support.</w:t>
      </w:r>
      <w:r>
        <w:rPr>
          <w:rFonts w:ascii="Arial" w:hAnsi="Arial"/>
        </w:rPr>
        <w:t xml:space="preserve"> </w:t>
      </w:r>
      <w:r>
        <w:rPr>
          <w:rFonts w:ascii="Arial" w:hAnsi="Arial"/>
          <w:i/>
          <w:iCs/>
        </w:rPr>
        <w:t xml:space="preserve">IEEE Transactions on Geoscience and Remote Sensing</w:t>
      </w:r>
      <w:r>
        <w:rPr>
          <w:rFonts w:ascii="Arial" w:hAnsi="Arial"/>
        </w:rPr>
        <w:t xml:space="preserve"> </w:t>
      </w:r>
      <w:r>
        <w:rPr>
          <w:rFonts w:ascii="Arial" w:hAnsi="Arial"/>
        </w:rPr>
        <w:t xml:space="preserve">45, 1520–1528. https://doi.org/10.1109/TGRS.2007.895830</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r>
        <w:rPr>
          <w:rFonts w:ascii="Arial" w:hAnsi="Arial"/>
        </w:rPr>
        <w:pict>
          <v:rect style="width:0;height:1.5pt" o:hralign="center" o:hrstd="t" o:hr="t"/>
        </w:pict>
      </w:r>
    </w:p>
    <w:p>
      <w:pPr>
        <w:pStyle w:val="FirstParagraph"/>
      </w:pPr>
      <w:r>
        <w:rPr>
          <w:rFonts w:ascii="Arial" w:hAnsi="Arial"/>
        </w:rP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(τ̂_SOS: 15.289 → 15.108 d, Δτ̂ = −0.181 d; τ̂_POS: −3.587 → −3.677 d, Δτ̂ = −0.090 d; τ̂_EOS: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2026-06-08T13:25:09Z</dcterms:created>
  <dcterms:modified xsi:type="dcterms:W3CDTF">2026-06-08T13:25:09Z</dcterms:modified>
</cp:coreProperties>
</file>

<file path=docProps/custom.xml><?xml version="1.0" encoding="utf-8"?>
<Properties xmlns="http://schemas.openxmlformats.org/officeDocument/2006/custom-properties" xmlns:vt="http://schemas.openxmlformats.org/officeDocument/2006/docPropsVTypes"/>
</file>