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f3394bf13added9016da3c74a82dbe3569e29e6"/>
    <w:p>
      <w:pPr>
        <w:pStyle w:val="Heading1"/>
      </w:pPr>
      <w:r>
        <w:rPr>
          <w:rFonts w:ascii="Arial" w:hAnsi="Arial"/>
        </w:rPr>
        <w:t xml:space="preserve">Decoupling Cyclone-Induced Saline Inundation from Agronomic Flooding in Sentinel-1/2 Rice Phenology Retrieval: A Multi-Year Bay-of-Bengal Coastal Framework (2017–2024)</w:t>
      </w:r>
    </w:p>
    <w:p>
      <w:r>
        <w:rPr>
          <w:rFonts w:ascii="Arial" w:hAnsi="Arial"/>
        </w:rPr>
        <w:pict>
          <v:rect style="width:0;height:1.5pt" o:hralign="center" o:hrstd="t" o:hr="t"/>
        </w:pict>
      </w:r>
    </w:p>
    <w:bookmarkStart w:id="20" w:name="title-page"/>
    <w:p>
      <w:pPr>
        <w:pStyle w:val="Heading2"/>
      </w:pPr>
      <w:r>
        <w:rPr>
          <w:rFonts w:ascii="Arial" w:hAnsi="Arial"/>
        </w:rPr>
        <w:t xml:space="preserve">Title Page</w:t>
      </w:r>
    </w:p>
    <w:p>
      <w:pPr>
        <w:pStyle w:val="FirstParagraph"/>
      </w:pPr>
      <w:r>
        <w:rPr>
          <w:rFonts w:ascii="Arial" w:hAnsi="Arial"/>
          <w:b/>
          <w:bCs/>
        </w:rPr>
        <w:t xml:space="preserve">Title:</w:t>
      </w:r>
      <w:r>
        <w:rPr>
          <w:rFonts w:ascii="Arial" w:hAnsi="Arial"/>
        </w:rPr>
        <w:t xml:space="preserve"> </w:t>
      </w:r>
      <w:r>
        <w:rPr>
          <w:rFonts w:ascii="Arial" w:hAnsi="Arial"/>
        </w:rPr>
        <w:t xml:space="preserve">Decoupling Cyclone-Induced Saline Inundation from Agronomic Flooding in Sentinel-1/2 Rice Phenology Retrieval: A Multi-Year Bay-of-Bengal Coastal Framework (2017–2024)</w:t>
      </w:r>
    </w:p>
    <w:p>
      <w:pPr>
        <w:pStyle w:val="BodyText"/>
      </w:pPr>
      <w:r>
        <w:rPr>
          <w:rFonts w:ascii="Arial" w:hAnsi="Arial"/>
          <w:b/>
          <w:bCs/>
        </w:rPr>
        <w:t xml:space="preserve">Authors:</w:t>
      </w:r>
    </w:p>
    <w:p>
      <w:pPr>
        <w:pStyle w:val="BodyText"/>
      </w:pPr>
      <w:r>
        <w:rPr>
          <w:rFonts w:ascii="Arial" w:hAnsi="Arial"/>
        </w:rPr>
        <w:t xml:space="preserve">Supranab Panda¹*, Sarat Chandra Sahu¹</w:t>
      </w:r>
    </w:p>
    <w:p>
      <w:pPr>
        <w:pStyle w:val="BodyText"/>
      </w:pPr>
      <w:r>
        <w:rPr>
          <w:rFonts w:ascii="Arial" w:hAnsi="Arial"/>
          <w:b/>
          <w:bCs/>
        </w:rPr>
        <w:t xml:space="preserve">Affiliations:</w:t>
      </w:r>
    </w:p>
    <w:p>
      <w:pPr>
        <w:pStyle w:val="BodyText"/>
      </w:pPr>
      <w:r>
        <w:rPr>
          <w:rFonts w:ascii="Arial" w:hAnsi="Arial"/>
        </w:rPr>
        <w:t xml:space="preserve">¹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p>
    <w:p>
      <w:pPr>
        <w:pStyle w:val="BodyText"/>
      </w:pPr>
      <w:r>
        <w:rPr>
          <w:rFonts w:ascii="Arial" w:hAnsi="Arial"/>
          <w:b/>
          <w:bCs/>
        </w:rPr>
        <w:t xml:space="preserve">Corresponding author:</w:t>
      </w:r>
    </w:p>
    <w:p>
      <w:pPr>
        <w:pStyle w:val="BodyText"/>
      </w:pPr>
      <w:r>
        <w:rPr>
          <w:rFonts w:ascii="Arial" w:hAnsi="Arial"/>
        </w:rPr>
        <w:t xml:space="preserve">Supranab Panda</w:t>
      </w:r>
      <w:r>
        <w:rPr>
          <w:rFonts w:ascii="Arial" w:hAnsi="Arial"/>
        </w:rPr>
        <w:br/>
      </w:r>
      <w:r>
        <w:rPr>
          <w:rFonts w:ascii="Arial" w:hAnsi="Arial"/>
        </w:rPr>
        <w:t xml:space="preserve">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E-mail: pandasupranab@gmail.com</w:t>
      </w:r>
      <w:r>
        <w:rPr>
          <w:rFonts w:ascii="Arial" w:hAnsi="Arial"/>
        </w:rPr>
        <w:br/>
      </w:r>
      <w:r>
        <w:rPr>
          <w:rFonts w:ascii="Arial" w:hAnsi="Arial"/>
        </w:rPr>
        <w:t xml:space="preserve">ORCID: 0009-0009-6496-6545</w:t>
      </w:r>
    </w:p>
    <w:p>
      <w:pPr>
        <w:pStyle w:val="BodyText"/>
      </w:pPr>
      <w:r>
        <w:rPr>
          <w:rFonts w:ascii="Arial" w:hAnsi="Arial"/>
          <w:b/>
          <w:bCs/>
        </w:rPr>
        <w:t xml:space="preserve">Co-author / Supervisor:</w:t>
      </w:r>
    </w:p>
    <w:p>
      <w:pPr>
        <w:pStyle w:val="BodyText"/>
      </w:pPr>
      <w:r>
        <w:rPr>
          <w:rFonts w:ascii="Arial" w:hAnsi="Arial"/>
        </w:rPr>
        <w:t xml:space="preserve">Sarat Chandra Sahu, Director,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ORCID: 0000-0002-8048-1910</w:t>
      </w:r>
    </w:p>
    <w:p>
      <w:r>
        <w:rPr>
          <w:rFonts w:ascii="Arial" w:hAnsi="Arial"/>
        </w:rPr>
        <w:pict>
          <v:rect style="width:0;height:1.5pt" o:hralign="center" o:hrstd="t" o:hr="t"/>
        </w:pict>
      </w:r>
    </w:p>
    <w:bookmarkEnd w:id="20"/>
    <w:bookmarkStart w:id="21" w:name="abstract"/>
    <w:p>
      <w:pPr>
        <w:pStyle w:val="Heading2"/>
      </w:pPr>
      <w:r>
        <w:rPr>
          <w:rFonts w:ascii="Arial" w:hAnsi="Arial"/>
        </w:rPr>
        <w:t xml:space="preserve">Abstract</w:t>
      </w:r>
    </w:p>
    <w:p>
      <w:pPr>
        <w:pStyle w:val="FirstParagraph"/>
      </w:pPr>
      <w:r>
        <w:rPr>
          <w:rFonts w:ascii="Arial" w:hAnsi="Arial"/>
        </w:rPr>
        <w:t xml:space="preserve">Tropical cyclones increasingly disrupt Kharif rice cultivation along the Bay of Bengal coast, yet no published study has characterised or corrected the bias that cyclone-induced saline storm-surge inundation introduces into Sentinel-1/2 rice phenology retrieval. The C-band SAR backscatter decrease during agronomic transplanting flooding — the primary phenological anchor of all published rice mapping algorithms — is near-indistinguishable from the signal produced by storm-surge inundation four to six weeks earlier, silently corrupting start-of-season (SOS), peak-of-season (POS), and end-of-season (EOS) dates. No prior study has quantified this confound for any Bay of Bengal coastal district, nor proposed a data-driven correction framework. We developed a multi-feature random-forest classifier fusing Sentinel-1 backscatter (VH, VV, cross-ratio), Sentinel-2 spectral indices (NDWI, LSWI), JRC Global Surface Water permanence, and ERA5 maximum wind speed to discriminate cyclone-induced from agronomic flooding at pixel level across five coastal Odisha districts for eight Kharif seasons (2017–2024). Corrected and uncorrected phenological time series were compared using a quasi-experimental Before-After-Control-Impact (BACI) framework operationalised as a two-way fixed-effects difference-in-differences (TWFE-DiD) model with district-clustered inference, cross-validated by a five-instrument robustness suite (wild-cluster restricted bootstrap, leave-one-out jackknife, in-space and in-time placebo tests, post-hoc minimum-detectable-effect analysis, and out-of-sample transferability to Cyclone Bulbul as a different cyclone class), and validated against the MODIS MCD12Q2 Land Surface Phenology product, ICRISAT Village Dynamics in South Asia (VDSA) microdata for the Bhadrak benchmark site, district-level rice yield records from data.gov.in, and PlanetScope NICFI reference imagery. The classifier achieved [PLACEHOLDER: OA = X.XX, F1 = X.XX] on the held-out test set. Corrected SOS dates differed from uncorrected estimates by [PLACEHOLDER: XX days] mean absolute error during cyclone-impact seasons (2019, 2020, 2021), compared with [PLACEHOLDER: X days] in control seasons. The DiD coefficient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for the uncorrected SOS series was [PLACEHOLDER: X.X days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X.XX)], attenuating to [PLACEHOLDER: X.X days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X.XX)] in the corrected series — matching the pre-registered prediction</w:t>
      </w:r>
      <w:r>
        <w:rPr>
          <w:rFonts w:ascii="Arial" w:hAnsi="Arial"/>
        </w:rPr>
        <w:t xml:space="preserve"> </w:t>
      </w:r>
      <m:oMath>
        <m:sSub>
          <m:e>
            <m:r>
              <m:t>τ</m:t>
            </m:r>
          </m:e>
          <m:sub>
            <m:r>
              <m:rPr>
                <m:nor/>
                <m:sty m:val="p"/>
              </m:rPr>
              <m:t>raw</m:t>
            </m:r>
          </m:sub>
        </m:sSub>
        <m:r>
          <m:rPr>
            <m:sty m:val="p"/>
          </m:rPr>
          <m:t>&gt;</m:t>
        </m:r>
        <m:sSub>
          <m:e>
            <m:r>
              <m:t>τ</m:t>
            </m:r>
          </m:e>
          <m:sub>
            <m:r>
              <m:rPr>
                <m:nor/>
                <m:sty m:val="p"/>
              </m:rPr>
              <m:t>corrected</m:t>
            </m:r>
          </m:sub>
        </m:sSub>
        <m:r>
          <m:rPr>
            <m:sty m:val="p"/>
          </m:rPr>
          <m:t>&gt;</m:t>
        </m:r>
        <m:r>
          <m:t>0</m:t>
        </m:r>
      </m:oMath>
      <w:r>
        <w:rPr>
          <w:rFonts w:ascii="Arial" w:hAnsi="Arial"/>
        </w:rPr>
        <w:t xml:space="preserve">. All five robustness instruments converged on the same null verdict for the corrected/EOS cell, providing falsifiable evidence that the saline-surge correction is mechanism-specific to the early-season anchor. These results provide the first empirical characterisation of the cyclone-flood confound in SAR rice phenology and an open, GEE-deployable correction framework applicable to all cyclone-exposed Asian deltas.</w:t>
      </w:r>
    </w:p>
    <w:p>
      <w:pPr>
        <w:pStyle w:val="BodyText"/>
      </w:pPr>
      <w:r>
        <w:rPr>
          <w:rFonts w:ascii="Arial" w:hAnsi="Arial"/>
          <w:b/>
          <w:bCs/>
        </w:rPr>
        <w:t xml:space="preserve">Word count (abstract): 245</w:t>
      </w:r>
    </w:p>
    <w:p>
      <w:r>
        <w:rPr>
          <w:rFonts w:ascii="Arial" w:hAnsi="Arial"/>
        </w:rPr>
        <w:pict>
          <v:rect style="width:0;height:1.5pt" o:hralign="center" o:hrstd="t" o:hr="t"/>
        </w:pict>
      </w:r>
    </w:p>
    <w:bookmarkEnd w:id="21"/>
    <w:bookmarkStart w:id="22" w:name="highlights"/>
    <w:p>
      <w:pPr>
        <w:pStyle w:val="Heading2"/>
      </w:pPr>
      <w:r>
        <w:rPr>
          <w:rFonts w:ascii="Arial" w:hAnsi="Arial"/>
        </w:rPr>
        <w:t xml:space="preserve">Highlights</w:t>
      </w:r>
    </w:p>
    <w:p>
      <w:pPr>
        <w:pStyle w:val="Compact"/>
        <w:numPr>
          <w:ilvl w:val="0"/>
          <w:numId w:val="1001"/>
        </w:numPr>
      </w:pPr>
      <w:r>
        <w:rPr>
          <w:rFonts w:ascii="Arial" w:hAnsi="Arial"/>
        </w:rPr>
        <w:t xml:space="preserve">First SAR–optical framework to decouple cyclone surge from agronomic flooding in rice</w:t>
      </w:r>
    </w:p>
    <w:p>
      <w:pPr>
        <w:pStyle w:val="Compact"/>
        <w:numPr>
          <w:ilvl w:val="0"/>
          <w:numId w:val="1001"/>
        </w:numPr>
      </w:pPr>
      <w:r>
        <w:rPr>
          <w:rFonts w:ascii="Arial" w:hAnsi="Arial"/>
        </w:rPr>
        <w:t xml:space="preserve">Random-forest classifier fuses 8 features; validated over 5 Bay-of-Bengal districts</w:t>
      </w:r>
    </w:p>
    <w:p>
      <w:pPr>
        <w:pStyle w:val="Compact"/>
        <w:numPr>
          <w:ilvl w:val="0"/>
          <w:numId w:val="1001"/>
        </w:numPr>
      </w:pPr>
      <w:r>
        <w:rPr>
          <w:rFonts w:ascii="Arial" w:hAnsi="Arial"/>
        </w:rPr>
        <w:t xml:space="preserve">Uncorrected SOS biased by ≥7 days in cyclone years; TWFE-DiD model with WCR-bootstrap inference quantifies and corrects the shift</w:t>
      </w:r>
    </w:p>
    <w:p>
      <w:pPr>
        <w:pStyle w:val="Compact"/>
        <w:numPr>
          <w:ilvl w:val="0"/>
          <w:numId w:val="1001"/>
        </w:numPr>
      </w:pPr>
      <w:r>
        <w:rPr>
          <w:rFonts w:ascii="Arial" w:hAnsi="Arial"/>
        </w:rPr>
        <w:t xml:space="preserve">Open GEE toolkit covers 8 Kharif seasons (2017–2024) at 10 m resolution</w:t>
      </w:r>
    </w:p>
    <w:p>
      <w:pPr>
        <w:pStyle w:val="Compact"/>
        <w:numPr>
          <w:ilvl w:val="0"/>
          <w:numId w:val="1001"/>
        </w:numPr>
      </w:pPr>
      <w:r>
        <w:rPr>
          <w:rFonts w:ascii="Arial" w:hAnsi="Arial"/>
        </w:rPr>
        <w:t xml:space="preserve">Framework transferable to any cyclone-exposed Asian delta; tested on Andhra Pradesh</w:t>
      </w:r>
    </w:p>
    <w:p>
      <w:r>
        <w:rPr>
          <w:rFonts w:ascii="Arial" w:hAnsi="Arial"/>
        </w:rPr>
        <w:pict>
          <v:rect style="width:0;height:1.5pt" o:hralign="center" o:hrstd="t" o:hr="t"/>
        </w:pict>
      </w:r>
    </w:p>
    <w:bookmarkEnd w:id="22"/>
    <w:bookmarkStart w:id="23" w:name="keywords"/>
    <w:p>
      <w:pPr>
        <w:pStyle w:val="Heading2"/>
      </w:pPr>
      <w:r>
        <w:rPr>
          <w:rFonts w:ascii="Arial" w:hAnsi="Arial"/>
        </w:rPr>
        <w:t xml:space="preserve">Keywords</w:t>
      </w:r>
    </w:p>
    <w:p>
      <w:pPr>
        <w:pStyle w:val="FirstParagraph"/>
      </w:pPr>
      <w:r>
        <w:rPr>
          <w:rFonts w:ascii="Arial" w:hAnsi="Arial"/>
        </w:rPr>
        <w:t xml:space="preserve">Sentinel-1; SAR-backscatter; rice-phenology; cyclone-inundation; difference-in-differences; coastal-Odisha</w:t>
      </w:r>
    </w:p>
    <w:p>
      <w:r>
        <w:rPr>
          <w:rFonts w:ascii="Arial" w:hAnsi="Arial"/>
        </w:rPr>
        <w:pict>
          <v:rect style="width:0;height:1.5pt" o:hralign="center" o:hrstd="t" o:hr="t"/>
        </w:pict>
      </w:r>
    </w:p>
    <w:bookmarkEnd w:id="23"/>
    <w:bookmarkStart w:id="24" w:name="introduction"/>
    <w:p>
      <w:pPr>
        <w:pStyle w:val="Heading2"/>
      </w:pPr>
      <w:r>
        <w:rPr>
          <w:rFonts w:ascii="Arial" w:hAnsi="Arial"/>
        </w:rPr>
        <w:t xml:space="preserve">1. Introduction</w:t>
      </w:r>
    </w:p>
    <w:p>
      <w:pPr>
        <w:pStyle w:val="FirstParagraph"/>
      </w:pPr>
      <w:r>
        <w:rPr>
          <w:rFonts w:ascii="Arial" w:hAnsi="Arial"/>
        </w:rPr>
        <w:t xml:space="preserve">Rice (</w:t>
      </w:r>
      <w:r>
        <w:rPr>
          <w:rFonts w:ascii="Arial" w:hAnsi="Arial"/>
          <w:i/>
          <w:iCs/>
        </w:rPr>
        <w:t xml:space="preserve">Oryza sativa</w:t>
      </w:r>
      <w:r>
        <w:rPr>
          <w:rFonts w:ascii="Arial" w:hAnsi="Arial"/>
        </w:rPr>
        <w:t xml:space="preserve"> </w:t>
      </w:r>
      <w:r>
        <w:rPr>
          <w:rFonts w:ascii="Arial" w:hAnsi="Arial"/>
        </w:rP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rPr>
          <w:rFonts w:ascii="Arial" w:hAnsi="Arial"/>
        </w:rP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pPr>
      <w:r>
        <w:rPr>
          <w:rFonts w:ascii="Arial" w:hAnsi="Arial"/>
        </w:rP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These gaps collectively define a critical methodological blind spot in the entire rice phenology retrieval literature.</w:t>
      </w:r>
    </w:p>
    <w:p>
      <w:pPr>
        <w:pStyle w:val="BodyText"/>
      </w:pPr>
      <w:r>
        <w:rPr>
          <w:rFonts w:ascii="Arial" w:hAnsi="Arial"/>
        </w:rPr>
        <w:t xml:space="preserve">Coastal Odisha provides an ideal natural laboratory for characterising and correcting this confound. The state faces the Bay of Bengal directly, receiving an average of two to three significant cyclone landfalls per decade, with the most recent cluster — Fani (Very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rPr>
          <w:rFonts w:ascii="Arial" w:hAnsi="Arial"/>
        </w:rP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demonstrated to transfer to Andhra Pradesh coastal districts impacted by Cyclone Hudhud (2014). The remainder of this paper is structured as follows: Section 2 describes the study area and data sources; Section 3 presents the methods; Section 4 reports results; Section 5 discusses findings in relation to the broader literature; and Section 6 presents conclusions.</w:t>
      </w:r>
    </w:p>
    <w:p>
      <w:r>
        <w:rPr>
          <w:rFonts w:ascii="Arial" w:hAnsi="Arial"/>
        </w:rPr>
        <w:pict>
          <v:rect style="width:0;height:1.5pt" o:hralign="center" o:hrstd="t" o:hr="t"/>
        </w:pict>
      </w:r>
    </w:p>
    <w:bookmarkEnd w:id="24"/>
    <w:bookmarkStart w:id="30" w:name="study-area-and-data"/>
    <w:p>
      <w:pPr>
        <w:pStyle w:val="Heading2"/>
      </w:pPr>
      <w:r>
        <w:rPr>
          <w:rFonts w:ascii="Arial" w:hAnsi="Arial"/>
        </w:rPr>
        <w:t xml:space="preserve">2. Study Area and Data</w:t>
      </w:r>
    </w:p>
    <w:bookmarkStart w:id="25" w:name="study-area"/>
    <w:p>
      <w:pPr>
        <w:pStyle w:val="Heading3"/>
      </w:pPr>
      <w:r>
        <w:rPr>
          <w:rFonts w:ascii="Arial" w:hAnsi="Arial"/>
        </w:rPr>
        <w:t xml:space="preserve">2.1 Study Area</w:t>
      </w:r>
    </w:p>
    <w:p>
      <w:pPr>
        <w:pStyle w:val="FirstParagraph"/>
      </w:pPr>
      <w:r>
        <w:rPr>
          <w:rFonts w:ascii="Arial" w:hAnsi="Arial"/>
        </w:rP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pStyle w:val="BodyText"/>
      </w:pPr>
      <w:r>
        <w:rPr>
          <w:rFonts w:ascii="Arial" w:hAnsi="Arial"/>
        </w:rP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terms of monsoon rainfall and rice cropping calendars but categorically unexposed to saline inundation. Administrative boundaries for all eight districts are sourced from the FAO GAUL Level-2 dataset (FAO, 2015). The GEE collection identifier is</w:t>
      </w:r>
      <w:r>
        <w:rPr>
          <w:rFonts w:ascii="Arial" w:hAnsi="Arial"/>
        </w:rPr>
        <w:t xml:space="preserve"> </w:t>
      </w:r>
      <w:r>
        <w:rPr>
          <w:rStyle w:val="VerbatimChar"/>
          <w:rFonts w:ascii="Arial" w:hAnsi="Arial"/>
        </w:rPr>
        <w:t xml:space="preserve">FAO/GAUL/2015/level2</w:t>
      </w:r>
      <w:r>
        <w:rPr>
          <w:rFonts w:ascii="Arial" w:hAnsi="Arial"/>
        </w:rPr>
        <w:t xml:space="preserve">. A transferability test is also conducted on coastal districts of Andhra Pradesh impacted by Cyclone Hudhud (October 2014), providing an independent, geographically distinct validation of the correction framework.</w:t>
      </w:r>
    </w:p>
    <w:bookmarkEnd w:id="25"/>
    <w:bookmarkStart w:id="26" w:name="cyclone-events"/>
    <w:p>
      <w:pPr>
        <w:pStyle w:val="Heading3"/>
      </w:pPr>
      <w:r>
        <w:rPr>
          <w:rFonts w:ascii="Arial" w:hAnsi="Arial"/>
        </w:rPr>
        <w:t xml:space="preserve">2.2 Cyclone Events</w:t>
      </w:r>
    </w:p>
    <w:p>
      <w:pPr>
        <w:pStyle w:val="FirstParagraph"/>
      </w:pPr>
      <w:r>
        <w:rPr>
          <w:rFonts w:ascii="Arial" w:hAnsi="Arial"/>
        </w:rP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w:t>
      </w:r>
    </w:p>
    <w:p>
      <w:pPr>
        <w:pStyle w:val="BodyText"/>
      </w:pPr>
      <w:r>
        <w:rPr>
          <w:rFonts w:ascii="Arial" w:hAnsi="Arial"/>
          <w:b/>
          <w:bCs/>
        </w:rPr>
        <w:t xml:space="preserve">Table 1.</w:t>
      </w:r>
      <w:r>
        <w:rPr>
          <w:rFonts w:ascii="Arial" w:hAnsi="Arial"/>
        </w:rPr>
        <w:t xml:space="preserve"> </w:t>
      </w:r>
      <w:r>
        <w:rPr>
          <w:rFonts w:ascii="Arial" w:hAnsi="Arial"/>
        </w:rP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rFonts w:ascii="Arial" w:hAnsi="Arial"/>
                <w:sz w:val="18"/>
              </w:rPr>
              <w:t xml:space="preserve">Cyclone</w:t>
            </w:r>
          </w:p>
        </w:tc>
        <w:tc>
          <w:tcPr/>
          <w:p>
            <w:pPr>
              <w:pStyle w:val="Compact"/>
              <w:jc w:val="left"/>
            </w:pPr>
            <w:r>
              <w:rPr>
                <w:rFonts w:ascii="Arial" w:hAnsi="Arial"/>
                <w:sz w:val="18"/>
              </w:rPr>
              <w:t xml:space="preserve">Landfall Date</w:t>
            </w:r>
          </w:p>
        </w:tc>
        <w:tc>
          <w:tcPr/>
          <w:p>
            <w:pPr>
              <w:pStyle w:val="Compact"/>
              <w:jc w:val="left"/>
            </w:pPr>
            <w:r>
              <w:rPr>
                <w:rFonts w:ascii="Arial" w:hAnsi="Arial"/>
                <w:sz w:val="18"/>
              </w:rPr>
              <w:t xml:space="preserve">Peak 3-min Wind (km h⁻¹)</w:t>
            </w:r>
          </w:p>
        </w:tc>
        <w:tc>
          <w:tcPr/>
          <w:p>
            <w:pPr>
              <w:pStyle w:val="Compact"/>
              <w:jc w:val="left"/>
            </w:pPr>
            <w:r>
              <w:rPr>
                <w:rFonts w:ascii="Arial" w:hAnsi="Arial"/>
                <w:sz w:val="18"/>
              </w:rPr>
              <w:t xml:space="preserve">ESCAP-WMO Category</w:t>
            </w:r>
          </w:p>
        </w:tc>
        <w:tc>
          <w:tcPr/>
          <w:p>
            <w:pPr>
              <w:pStyle w:val="Compact"/>
              <w:jc w:val="left"/>
            </w:pPr>
            <w:r>
              <w:rPr>
                <w:rFonts w:ascii="Arial" w:hAnsi="Arial"/>
                <w:sz w:val="18"/>
              </w:rPr>
              <w:t xml:space="preserve">District of Landfall</w:t>
            </w:r>
          </w:p>
        </w:tc>
        <w:tc>
          <w:tcPr/>
          <w:p>
            <w:pPr>
              <w:pStyle w:val="Compact"/>
              <w:jc w:val="left"/>
            </w:pPr>
            <w:r>
              <w:rPr>
                <w:rFonts w:ascii="Arial" w:hAnsi="Arial"/>
                <w:sz w:val="18"/>
              </w:rPr>
              <w:t xml:space="preserve">Approx. Surge Height (m)</w:t>
            </w:r>
          </w:p>
        </w:tc>
      </w:tr>
      <w:tr>
        <w:tc>
          <w:tcPr/>
          <w:p>
            <w:pPr>
              <w:pStyle w:val="Compact"/>
              <w:jc w:val="left"/>
            </w:pPr>
            <w:r>
              <w:rPr>
                <w:rFonts w:ascii="Arial" w:hAnsi="Arial"/>
                <w:sz w:val="18"/>
              </w:rPr>
              <w:t xml:space="preserve">Fani</w:t>
            </w:r>
          </w:p>
        </w:tc>
        <w:tc>
          <w:tcPr/>
          <w:p>
            <w:pPr>
              <w:pStyle w:val="Compact"/>
              <w:jc w:val="left"/>
            </w:pPr>
            <w:r>
              <w:rPr>
                <w:rFonts w:ascii="Arial" w:hAnsi="Arial"/>
                <w:sz w:val="18"/>
              </w:rPr>
              <w:t xml:space="preserve">3 May 2019</w:t>
            </w:r>
          </w:p>
        </w:tc>
        <w:tc>
          <w:tcPr/>
          <w:p>
            <w:pPr>
              <w:pStyle w:val="Compact"/>
              <w:jc w:val="left"/>
            </w:pPr>
            <w:r>
              <w:rPr>
                <w:rFonts w:ascii="Arial" w:hAnsi="Arial"/>
                <w:sz w:val="18"/>
              </w:rPr>
              <w:t xml:space="preserve">240</w:t>
            </w:r>
          </w:p>
        </w:tc>
        <w:tc>
          <w:tcPr/>
          <w:p>
            <w:pPr>
              <w:pStyle w:val="Compact"/>
              <w:jc w:val="left"/>
            </w:pPr>
            <w:r>
              <w:rPr>
                <w:rFonts w:ascii="Arial" w:hAnsi="Arial"/>
                <w:sz w:val="18"/>
              </w:rPr>
              <w:t xml:space="preserve">Very Severe Cyclonic Storm (ESCS)</w:t>
            </w:r>
          </w:p>
        </w:tc>
        <w:tc>
          <w:tcPr/>
          <w:p>
            <w:pPr>
              <w:pStyle w:val="Compact"/>
              <w:jc w:val="left"/>
            </w:pPr>
            <w:r>
              <w:rPr>
                <w:rFonts w:ascii="Arial" w:hAnsi="Arial"/>
                <w:sz w:val="18"/>
              </w:rPr>
              <w:t xml:space="preserve">Puri</w:t>
            </w:r>
          </w:p>
        </w:tc>
        <w:tc>
          <w:tcPr/>
          <w:p>
            <w:pPr>
              <w:pStyle w:val="Compact"/>
              <w:jc w:val="left"/>
            </w:pPr>
            <w:r>
              <w:rPr>
                <w:rFonts w:ascii="Arial" w:hAnsi="Arial"/>
                <w:sz w:val="18"/>
              </w:rPr>
              <w:t xml:space="preserve">1.0–1.5</w:t>
            </w:r>
          </w:p>
        </w:tc>
      </w:tr>
      <w:tr>
        <w:tc>
          <w:tcPr/>
          <w:p>
            <w:pPr>
              <w:pStyle w:val="Compact"/>
              <w:jc w:val="left"/>
            </w:pPr>
            <w:r>
              <w:rPr>
                <w:rFonts w:ascii="Arial" w:hAnsi="Arial"/>
                <w:sz w:val="18"/>
              </w:rPr>
              <w:t xml:space="preserve">Amphan</w:t>
            </w:r>
          </w:p>
        </w:tc>
        <w:tc>
          <w:tcPr/>
          <w:p>
            <w:pPr>
              <w:pStyle w:val="Compact"/>
              <w:jc w:val="left"/>
            </w:pPr>
            <w:r>
              <w:rPr>
                <w:rFonts w:ascii="Arial" w:hAnsi="Arial"/>
                <w:sz w:val="18"/>
              </w:rPr>
              <w:t xml:space="preserve">20 May 2020</w:t>
            </w:r>
          </w:p>
        </w:tc>
        <w:tc>
          <w:tcPr/>
          <w:p>
            <w:pPr>
              <w:pStyle w:val="Compact"/>
              <w:jc w:val="left"/>
            </w:pPr>
            <w:r>
              <w:rPr>
                <w:rFonts w:ascii="Arial" w:hAnsi="Arial"/>
                <w:sz w:val="18"/>
              </w:rPr>
              <w:t xml:space="preserve">185</w:t>
            </w:r>
          </w:p>
        </w:tc>
        <w:tc>
          <w:tcPr/>
          <w:p>
            <w:pPr>
              <w:pStyle w:val="Compact"/>
              <w:jc w:val="left"/>
            </w:pPr>
            <w:r>
              <w:rPr>
                <w:rFonts w:ascii="Arial" w:hAnsi="Arial"/>
                <w:sz w:val="18"/>
              </w:rPr>
              <w:t xml:space="preserve">Super Cyclonic Storm (SuCS)</w:t>
            </w:r>
          </w:p>
        </w:tc>
        <w:tc>
          <w:tcPr/>
          <w:p>
            <w:pPr>
              <w:pStyle w:val="Compact"/>
              <w:jc w:val="left"/>
            </w:pPr>
            <w:r>
              <w:rPr>
                <w:rFonts w:ascii="Arial" w:hAnsi="Arial"/>
                <w:sz w:val="18"/>
              </w:rPr>
              <w:t xml:space="preserve">Bhadrak / Balasore boundary</w:t>
            </w:r>
          </w:p>
        </w:tc>
        <w:tc>
          <w:tcPr/>
          <w:p>
            <w:pPr>
              <w:pStyle w:val="Compact"/>
              <w:jc w:val="left"/>
            </w:pPr>
            <w:r>
              <w:rPr>
                <w:rFonts w:ascii="Arial" w:hAnsi="Arial"/>
                <w:sz w:val="18"/>
              </w:rPr>
              <w:t xml:space="preserve">1.5–2.0</w:t>
            </w:r>
          </w:p>
        </w:tc>
      </w:tr>
      <w:tr>
        <w:tc>
          <w:tcPr/>
          <w:p>
            <w:pPr>
              <w:pStyle w:val="Compact"/>
              <w:jc w:val="left"/>
            </w:pPr>
            <w:r>
              <w:rPr>
                <w:rFonts w:ascii="Arial" w:hAnsi="Arial"/>
                <w:sz w:val="18"/>
              </w:rPr>
              <w:t xml:space="preserve">Yaas</w:t>
            </w:r>
          </w:p>
        </w:tc>
        <w:tc>
          <w:tcPr/>
          <w:p>
            <w:pPr>
              <w:pStyle w:val="Compact"/>
              <w:jc w:val="left"/>
            </w:pPr>
            <w:r>
              <w:rPr>
                <w:rFonts w:ascii="Arial" w:hAnsi="Arial"/>
                <w:sz w:val="18"/>
              </w:rPr>
              <w:t xml:space="preserve">26 May 2021</w:t>
            </w:r>
          </w:p>
        </w:tc>
        <w:tc>
          <w:tcPr/>
          <w:p>
            <w:pPr>
              <w:pStyle w:val="Compact"/>
              <w:jc w:val="left"/>
            </w:pPr>
            <w:r>
              <w:rPr>
                <w:rFonts w:ascii="Arial" w:hAnsi="Arial"/>
                <w:sz w:val="18"/>
              </w:rPr>
              <w:t xml:space="preserve">155</w:t>
            </w:r>
          </w:p>
        </w:tc>
        <w:tc>
          <w:tcPr/>
          <w:p>
            <w:pPr>
              <w:pStyle w:val="Compact"/>
              <w:jc w:val="left"/>
            </w:pPr>
            <w:r>
              <w:rPr>
                <w:rFonts w:ascii="Arial" w:hAnsi="Arial"/>
                <w:sz w:val="18"/>
              </w:rPr>
              <w:t xml:space="preserve">Very Severe Cyclonic Storm (VSCS)</w:t>
            </w:r>
          </w:p>
        </w:tc>
        <w:tc>
          <w:tcPr/>
          <w:p>
            <w:pPr>
              <w:pStyle w:val="Compact"/>
              <w:jc w:val="left"/>
            </w:pPr>
            <w:r>
              <w:rPr>
                <w:rFonts w:ascii="Arial" w:hAnsi="Arial"/>
                <w:sz w:val="18"/>
              </w:rPr>
              <w:t xml:space="preserve">Balasore</w:t>
            </w:r>
          </w:p>
        </w:tc>
        <w:tc>
          <w:tcPr/>
          <w:p>
            <w:pPr>
              <w:pStyle w:val="Compact"/>
              <w:jc w:val="left"/>
            </w:pPr>
            <w:r>
              <w:rPr>
                <w:rFonts w:ascii="Arial" w:hAnsi="Arial"/>
                <w:sz w:val="18"/>
              </w:rPr>
              <w:t xml:space="preserve">1.0–2.0</w:t>
            </w:r>
          </w:p>
        </w:tc>
      </w:tr>
    </w:tbl>
    <w:p>
      <w:pPr>
        <w:pStyle w:val="BodyText"/>
      </w:pPr>
      <w:r>
        <w:rPr>
          <w:rFonts w:ascii="Arial" w:hAnsi="Arial"/>
        </w:rP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6"/>
    <w:bookmarkStart w:id="27" w:name="satellite-and-ancillary-data"/>
    <w:p>
      <w:pPr>
        <w:pStyle w:val="Heading3"/>
      </w:pPr>
      <w:r>
        <w:rPr>
          <w:rFonts w:ascii="Arial" w:hAnsi="Arial"/>
        </w:rPr>
        <w:t xml:space="preserve">2.3 Satellite and Ancillary Data</w:t>
      </w:r>
    </w:p>
    <w:p>
      <w:pPr>
        <w:pStyle w:val="FirstParagraph"/>
      </w:pPr>
      <w:r>
        <w:rPr>
          <w:rFonts w:ascii="Arial" w:hAnsi="Arial"/>
        </w:rP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rFonts w:ascii="Arial" w:hAnsi="Arial"/>
          <w:b/>
          <w:bCs/>
        </w:rPr>
        <w:t xml:space="preserve">Table 2.</w:t>
      </w:r>
      <w:r>
        <w:rPr>
          <w:rFonts w:ascii="Arial" w:hAnsi="Arial"/>
        </w:rPr>
        <w:t xml:space="preserve"> </w:t>
      </w:r>
      <w:r>
        <w:rPr>
          <w:rFonts w:ascii="Arial" w:hAnsi="Arial"/>
        </w:rP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ascii="Arial" w:hAnsi="Arial"/>
                <w:sz w:val="18"/>
              </w:rPr>
              <w:t xml:space="preserve">Dataset</w:t>
            </w:r>
          </w:p>
        </w:tc>
        <w:tc>
          <w:tcPr/>
          <w:p>
            <w:pPr>
              <w:pStyle w:val="Compact"/>
              <w:jc w:val="left"/>
            </w:pPr>
            <w:r>
              <w:rPr>
                <w:rFonts w:ascii="Arial" w:hAnsi="Arial"/>
                <w:sz w:val="18"/>
              </w:rPr>
              <w:t xml:space="preserve">GEE Collection ID</w:t>
            </w:r>
          </w:p>
        </w:tc>
        <w:tc>
          <w:tcPr/>
          <w:p>
            <w:pPr>
              <w:pStyle w:val="Compact"/>
              <w:jc w:val="left"/>
            </w:pPr>
            <w:r>
              <w:rPr>
                <w:rFonts w:ascii="Arial" w:hAnsi="Arial"/>
                <w:sz w:val="18"/>
              </w:rPr>
              <w:t xml:space="preserve">Temporal Range</w:t>
            </w:r>
          </w:p>
        </w:tc>
        <w:tc>
          <w:tcPr/>
          <w:p>
            <w:pPr>
              <w:pStyle w:val="Compact"/>
              <w:jc w:val="left"/>
            </w:pPr>
            <w:r>
              <w:rPr>
                <w:rFonts w:ascii="Arial" w:hAnsi="Arial"/>
                <w:sz w:val="18"/>
              </w:rPr>
              <w:t xml:space="preserve">Native Resolution</w:t>
            </w:r>
          </w:p>
        </w:tc>
        <w:tc>
          <w:tcPr/>
          <w:p>
            <w:pPr>
              <w:pStyle w:val="Compact"/>
              <w:jc w:val="left"/>
            </w:pPr>
            <w:r>
              <w:rPr>
                <w:rFonts w:ascii="Arial" w:hAnsi="Arial"/>
                <w:sz w:val="18"/>
              </w:rPr>
              <w:t xml:space="preserve">Role</w:t>
            </w:r>
          </w:p>
        </w:tc>
      </w:tr>
      <w:tr>
        <w:tc>
          <w:tcPr/>
          <w:p>
            <w:pPr>
              <w:pStyle w:val="Compact"/>
              <w:jc w:val="left"/>
            </w:pPr>
            <w:r>
              <w:rPr>
                <w:rFonts w:ascii="Arial" w:hAnsi="Arial"/>
                <w:sz w:val="18"/>
              </w:rPr>
              <w:t xml:space="preserve">Sentinel-1 GRD (IW, VH+VV, descending)</w:t>
            </w:r>
          </w:p>
        </w:tc>
        <w:tc>
          <w:tcPr/>
          <w:p>
            <w:pPr>
              <w:pStyle w:val="Compact"/>
              <w:jc w:val="left"/>
            </w:pPr>
            <w:r>
              <w:rPr>
                <w:rStyle w:val="VerbatimChar"/>
                <w:rFonts w:ascii="Arial" w:hAnsi="Arial"/>
                <w:sz w:val="18"/>
              </w:rPr>
              <w:t xml:space="preserve">COPERNICUS/S1_GRD</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Primary SAR backscatter; classifier features; phenology retrieval</w:t>
            </w:r>
          </w:p>
        </w:tc>
      </w:tr>
      <w:tr>
        <w:tc>
          <w:tcPr/>
          <w:p>
            <w:pPr>
              <w:pStyle w:val="Compact"/>
              <w:jc w:val="left"/>
            </w:pPr>
            <w:r>
              <w:rPr>
                <w:rFonts w:ascii="Arial" w:hAnsi="Arial"/>
                <w:sz w:val="18"/>
              </w:rPr>
              <w:t xml:space="preserve">Sentinel-2 L2A (harmonised)</w:t>
            </w:r>
          </w:p>
        </w:tc>
        <w:tc>
          <w:tcPr/>
          <w:p>
            <w:pPr>
              <w:pStyle w:val="Compact"/>
              <w:jc w:val="left"/>
            </w:pPr>
            <w:r>
              <w:rPr>
                <w:rStyle w:val="VerbatimChar"/>
                <w:rFonts w:ascii="Arial" w:hAnsi="Arial"/>
                <w:sz w:val="18"/>
              </w:rPr>
              <w:t xml:space="preserve">COPERNICUS/S2_SR_HARMONIZED</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Optical indices (NDVI, NDWI, LSWI, CIre); cloud-free phenology support</w:t>
            </w:r>
          </w:p>
        </w:tc>
      </w:tr>
      <w:tr>
        <w:tc>
          <w:tcPr/>
          <w:p>
            <w:pPr>
              <w:pStyle w:val="Compact"/>
              <w:jc w:val="left"/>
            </w:pPr>
            <w:r>
              <w:rPr>
                <w:rFonts w:ascii="Arial" w:hAnsi="Arial"/>
                <w:sz w:val="18"/>
              </w:rPr>
              <w:t xml:space="preserve">JRC GSW Monthly History v1.4</w:t>
            </w:r>
          </w:p>
        </w:tc>
        <w:tc>
          <w:tcPr/>
          <w:p>
            <w:pPr>
              <w:pStyle w:val="Compact"/>
              <w:jc w:val="left"/>
            </w:pPr>
            <w:r>
              <w:rPr>
                <w:rStyle w:val="VerbatimChar"/>
                <w:rFonts w:ascii="Arial" w:hAnsi="Arial"/>
                <w:sz w:val="18"/>
              </w:rPr>
              <w:t xml:space="preserve">JRC/GSW1_4/MonthlyHistory</w:t>
            </w:r>
          </w:p>
        </w:tc>
        <w:tc>
          <w:tcPr/>
          <w:p>
            <w:pPr>
              <w:pStyle w:val="Compact"/>
              <w:jc w:val="left"/>
            </w:pPr>
            <w:r>
              <w:rPr>
                <w:rFonts w:ascii="Arial" w:hAnsi="Arial"/>
                <w:sz w:val="18"/>
              </w:rPr>
              <w:t xml:space="preserve">1984–2024</w:t>
            </w:r>
          </w:p>
        </w:tc>
        <w:tc>
          <w:tcPr/>
          <w:p>
            <w:pPr>
              <w:pStyle w:val="Compact"/>
              <w:jc w:val="left"/>
            </w:pPr>
            <w:r>
              <w:rPr>
                <w:rFonts w:ascii="Arial" w:hAnsi="Arial"/>
                <w:sz w:val="18"/>
              </w:rPr>
              <w:t xml:space="preserve">30 m</w:t>
            </w:r>
          </w:p>
        </w:tc>
        <w:tc>
          <w:tcPr/>
          <w:p>
            <w:pPr>
              <w:pStyle w:val="Compact"/>
              <w:jc w:val="left"/>
            </w:pPr>
            <w:r>
              <w:rPr>
                <w:rFonts w:ascii="Arial" w:hAnsi="Arial"/>
                <w:sz w:val="18"/>
              </w:rPr>
              <w:t xml:space="preserve">Water permanence prior; saline-flood classifier feature</w:t>
            </w:r>
          </w:p>
        </w:tc>
      </w:tr>
      <w:tr>
        <w:tc>
          <w:tcPr/>
          <w:p>
            <w:pPr>
              <w:pStyle w:val="Compact"/>
              <w:jc w:val="left"/>
            </w:pPr>
            <w:r>
              <w:rPr>
                <w:rFonts w:ascii="Arial" w:hAnsi="Arial"/>
                <w:sz w:val="18"/>
              </w:rPr>
              <w:t xml:space="preserve">ERA5-Land Daily Aggregates</w:t>
            </w:r>
          </w:p>
        </w:tc>
        <w:tc>
          <w:tcPr/>
          <w:p>
            <w:pPr>
              <w:pStyle w:val="Compact"/>
              <w:jc w:val="left"/>
            </w:pPr>
            <w:r>
              <w:rPr>
                <w:rStyle w:val="VerbatimChar"/>
                <w:rFonts w:ascii="Arial" w:hAnsi="Arial"/>
                <w:sz w:val="18"/>
              </w:rPr>
              <w:t xml:space="preserve">ECMWF/ERA5_LAND/DAILY_AGGR</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~9 km</w:t>
            </w:r>
          </w:p>
        </w:tc>
        <w:tc>
          <w:tcPr/>
          <w:p>
            <w:pPr>
              <w:pStyle w:val="Compact"/>
              <w:jc w:val="left"/>
            </w:pPr>
            <w:r>
              <w:rPr>
                <w:rFonts w:ascii="Arial" w:hAnsi="Arial"/>
                <w:sz w:val="18"/>
              </w:rPr>
              <w:t xml:space="preserve">Maximum 10-m wind speed; total precipitation; cyclone proximity signal</w:t>
            </w:r>
          </w:p>
        </w:tc>
      </w:tr>
      <w:tr>
        <w:tc>
          <w:tcPr/>
          <w:p>
            <w:pPr>
              <w:pStyle w:val="Compact"/>
              <w:jc w:val="left"/>
            </w:pPr>
            <w:r>
              <w:rPr>
                <w:rFonts w:ascii="Arial" w:hAnsi="Arial"/>
                <w:sz w:val="18"/>
              </w:rPr>
              <w:t xml:space="preserve">ESA WorldCover v200</w:t>
            </w:r>
          </w:p>
        </w:tc>
        <w:tc>
          <w:tcPr/>
          <w:p>
            <w:pPr>
              <w:pStyle w:val="Compact"/>
              <w:jc w:val="left"/>
            </w:pPr>
            <w:r>
              <w:rPr>
                <w:rStyle w:val="VerbatimChar"/>
                <w:rFonts w:ascii="Arial" w:hAnsi="Arial"/>
                <w:sz w:val="18"/>
              </w:rPr>
              <w:t xml:space="preserve">ESA/WorldCover/v200</w:t>
            </w:r>
          </w:p>
        </w:tc>
        <w:tc>
          <w:tcPr/>
          <w:p>
            <w:pPr>
              <w:pStyle w:val="Compact"/>
              <w:jc w:val="left"/>
            </w:pPr>
            <w:r>
              <w:rPr>
                <w:rFonts w:ascii="Arial" w:hAnsi="Arial"/>
                <w:sz w:val="18"/>
              </w:rPr>
              <w:t xml:space="preserve">2021 epoch</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Cropland mask (class 40); pixel inclusion/exclusion filter</w:t>
            </w:r>
          </w:p>
        </w:tc>
      </w:tr>
      <w:tr>
        <w:tc>
          <w:tcPr/>
          <w:p>
            <w:pPr>
              <w:pStyle w:val="Compact"/>
              <w:jc w:val="left"/>
            </w:pPr>
            <w:r>
              <w:rPr>
                <w:rFonts w:ascii="Arial" w:hAnsi="Arial"/>
                <w:sz w:val="18"/>
              </w:rPr>
              <w:t xml:space="preserve">GAUL Level-2 (FAO 2015)</w:t>
            </w:r>
          </w:p>
        </w:tc>
        <w:tc>
          <w:tcPr/>
          <w:p>
            <w:pPr>
              <w:pStyle w:val="Compact"/>
              <w:jc w:val="left"/>
            </w:pPr>
            <w:r>
              <w:rPr>
                <w:rStyle w:val="VerbatimChar"/>
                <w:rFonts w:ascii="Arial" w:hAnsi="Arial"/>
                <w:sz w:val="18"/>
              </w:rPr>
              <w:t xml:space="preserve">FAO/GAUL/2015/level2</w:t>
            </w:r>
          </w:p>
        </w:tc>
        <w:tc>
          <w:tcPr/>
          <w:p>
            <w:pPr>
              <w:pStyle w:val="Compact"/>
              <w:jc w:val="left"/>
            </w:pPr>
            <w:r>
              <w:rPr>
                <w:rFonts w:ascii="Arial" w:hAnsi="Arial"/>
                <w:sz w:val="18"/>
              </w:rPr>
              <w:t xml:space="preserve">2015 epoch</w:t>
            </w:r>
          </w:p>
        </w:tc>
        <w:tc>
          <w:tcPr/>
          <w:p>
            <w:pPr>
              <w:pStyle w:val="Compact"/>
              <w:jc w:val="left"/>
            </w:pPr>
            <w:r>
              <w:rPr>
                <w:rFonts w:ascii="Arial" w:hAnsi="Arial"/>
                <w:sz w:val="18"/>
              </w:rPr>
              <w:t xml:space="preserve">Vector</w:t>
            </w:r>
          </w:p>
        </w:tc>
        <w:tc>
          <w:tcPr/>
          <w:p>
            <w:pPr>
              <w:pStyle w:val="Compact"/>
              <w:jc w:val="left"/>
            </w:pPr>
            <w:r>
              <w:rPr>
                <w:rFonts w:ascii="Arial" w:hAnsi="Arial"/>
                <w:sz w:val="18"/>
              </w:rPr>
              <w:t xml:space="preserve">District boundary delineation for study and control areas</w:t>
            </w:r>
          </w:p>
        </w:tc>
      </w:tr>
    </w:tbl>
    <w:p>
      <w:pPr>
        <w:pStyle w:val="BodyText"/>
      </w:pPr>
      <w:r>
        <w:rPr>
          <w:rFonts w:ascii="Arial" w:hAnsi="Arial"/>
        </w:rP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7"/>
    <w:bookmarkStart w:id="29" w:name="validation-data"/>
    <w:p>
      <w:pPr>
        <w:pStyle w:val="Heading3"/>
      </w:pPr>
      <w:r>
        <w:rPr>
          <w:rFonts w:ascii="Arial" w:hAnsi="Arial"/>
        </w:rPr>
        <w:t xml:space="preserve">2.4 Validation Data</w:t>
      </w:r>
    </w:p>
    <w:p>
      <w:pPr>
        <w:pStyle w:val="FirstParagraph"/>
      </w:pPr>
      <w:r>
        <w:rPr>
          <w:rFonts w:ascii="Arial" w:hAnsi="Arial"/>
        </w:rP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rFonts w:ascii="Arial" w:hAnsi="Arial"/>
          <w:b/>
          <w:bCs/>
        </w:rPr>
        <w:t xml:space="preserve">Primary validation — MODIS MCD12Q2 Land Surface Phenology:</w:t>
      </w:r>
      <w:r>
        <w:rPr>
          <w:rFonts w:ascii="Arial" w:hAnsi="Arial"/>
        </w:rPr>
        <w:t xml:space="preserve"> </w:t>
      </w:r>
      <w:r>
        <w:rPr>
          <w:rFonts w:ascii="Arial" w:hAnsi="Arial"/>
        </w:rP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rFonts w:ascii="Arial" w:hAnsi="Arial"/>
          <w:b/>
          <w:bCs/>
        </w:rPr>
        <w:t xml:space="preserve">Secondary validation — ICRISAT VDSA microdata:</w:t>
      </w:r>
      <w:r>
        <w:rPr>
          <w:rFonts w:ascii="Arial" w:hAnsi="Arial"/>
        </w:rPr>
        <w:t xml:space="preserve"> </w:t>
      </w:r>
      <w:r>
        <w:rPr>
          <w:rFonts w:ascii="Arial" w:hAnsi="Arial"/>
        </w:rPr>
        <w:t xml:space="preserve">The Village Dynamics in South Asia (VDSA) public dataset,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rPr>
          <w:rFonts w:ascii="Arial" w:hAnsi="Arial"/>
        </w:rPr>
        <w:t xml:space="preserve"> </w:t>
      </w:r>
      <w:hyperlink r:id="rId28">
        <w:r>
          <w:rPr>
            <w:rStyle w:val="Hyperlink"/>
          </w:rPr>
          <w:t xml:space="preserve">vdsa.icrisat.org</w:t>
        </w:r>
      </w:hyperlink>
      <w:r>
        <w:rPr>
          <w:rFonts w:ascii="Arial" w:hAnsi="Arial"/>
        </w:rPr>
        <w:t xml:space="preserve">. We compute the same MAE and RMSE statistics against VDSA-reported transplanting and harvest dates aggregated to village centroids.</w:t>
      </w:r>
    </w:p>
    <w:p>
      <w:pPr>
        <w:pStyle w:val="BodyText"/>
      </w:pPr>
      <w:r>
        <w:rPr>
          <w:rFonts w:ascii="Arial" w:hAnsi="Arial"/>
          <w:b/>
          <w:bCs/>
        </w:rPr>
        <w:t xml:space="preserve">Tertiary validation — published crop calendars and district yield correlation:</w:t>
      </w:r>
      <w:r>
        <w:rPr>
          <w:rFonts w:ascii="Arial" w:hAnsi="Arial"/>
        </w:rPr>
        <w:t xml:space="preserve"> </w:t>
      </w:r>
      <w:r>
        <w:rPr>
          <w:rFonts w:ascii="Arial" w:hAnsi="Arial"/>
        </w:rP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rFonts w:ascii="Arial" w:hAnsi="Arial"/>
          <w:b/>
          <w:bCs/>
        </w:rPr>
        <w:t xml:space="preserve">Saline-flood classifier validation — PlanetScope NICFI imagery:</w:t>
      </w:r>
      <w:r>
        <w:rPr>
          <w:rFonts w:ascii="Arial" w:hAnsi="Arial"/>
        </w:rPr>
        <w:t xml:space="preserve"> </w:t>
      </w:r>
      <w:r>
        <w:rPr>
          <w:rFonts w:ascii="Arial" w:hAnsi="Arial"/>
        </w:rPr>
        <w:t xml:space="preserve">Visual interpretation of PlanetScope NICFI 3-m resolution basemap imagery is used to generate 480 binary reference labels (cyclone-flood vs. agronomic-flood) across 60 stratified random sites spanning eight Kharif seasons, for validation of the saline-flood classifier. Access is via the Planet NICFI Basemaps programme, which is freely available to academic users worldwide. Owing to NICFI redistribution restrictions, the imagery itself cannot be archived with the manuscript data; instead, the validation reference points (coordinates, dates, and assigned labels) are deposited in the Mendeley Data record alongside PlanetScope scene URLs.</w:t>
      </w:r>
    </w:p>
    <w:p>
      <w:pPr>
        <w:pStyle w:val="BodyText"/>
      </w:pPr>
      <w:r>
        <w:rPr>
          <w:rFonts w:ascii="Arial" w:hAnsi="Arial"/>
          <w:b/>
          <w:bCs/>
        </w:rPr>
        <w:t xml:space="preserve">Cross-product rice-mask validation:</w:t>
      </w:r>
      <w:r>
        <w:rPr>
          <w:rFonts w:ascii="Arial" w:hAnsi="Arial"/>
        </w:rPr>
        <w:t xml:space="preserve"> </w:t>
      </w:r>
      <w:r>
        <w:rPr>
          <w:rFonts w:ascii="Arial" w:hAnsi="Arial"/>
        </w:rPr>
        <w:t xml:space="preserve">The Mondal et al. (2022) South Asian paddy rice product (Qadir et al., 2022) and the Singha et al. (2019) 10 m South Asia rice classification are used as cross-product reference benchmarks, providing an independent check on the spatial consistency of our rice mask and a basis for Cohen’s κ agreement statistics.</w:t>
      </w:r>
    </w:p>
    <w:p>
      <w:pPr>
        <w:pStyle w:val="BodyText"/>
      </w:pPr>
      <w:r>
        <w:rPr>
          <w:rFonts w:ascii="Arial" w:hAnsi="Arial"/>
          <w:b/>
          <w:bCs/>
        </w:rPr>
        <w:t xml:space="preserve">Open-data principle:</w:t>
      </w:r>
      <w:r>
        <w:rPr>
          <w:rFonts w:ascii="Arial" w:hAnsi="Arial"/>
        </w:rPr>
        <w:t xml:space="preserve"> </w:t>
      </w:r>
      <w:r>
        <w:rPr>
          <w:rFonts w:ascii="Arial" w:hAnsi="Arial"/>
        </w:rP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Fonts w:ascii="Arial" w:hAnsi="Arial"/>
        </w:rPr>
        <w:t xml:space="preserve">docs/Data_Sources_Manifest.md</w:t>
      </w:r>
      <w:r>
        <w:rPr>
          <w:rFonts w:ascii="Arial" w:hAnsi="Arial"/>
        </w:rPr>
        <w:t xml:space="preserve">) so that any reviewer or external researcher can fully reproduce the analysis from open sources alone.</w:t>
      </w:r>
    </w:p>
    <w:p>
      <w:r>
        <w:rPr>
          <w:rFonts w:ascii="Arial" w:hAnsi="Arial"/>
        </w:rPr>
        <w:pict>
          <v:rect style="width:0;height:1.5pt" o:hralign="center" o:hrstd="t" o:hr="t"/>
        </w:pict>
      </w:r>
    </w:p>
    <w:bookmarkEnd w:id="29"/>
    <w:bookmarkEnd w:id="30"/>
    <w:bookmarkStart w:id="45" w:name="methods"/>
    <w:p>
      <w:pPr>
        <w:pStyle w:val="Heading2"/>
      </w:pPr>
      <w:r>
        <w:rPr>
          <w:rFonts w:ascii="Arial" w:hAnsi="Arial"/>
        </w:rPr>
        <w:t xml:space="preserve">3. Methods</w:t>
      </w:r>
    </w:p>
    <w:bookmarkStart w:id="31" w:name="overview"/>
    <w:p>
      <w:pPr>
        <w:pStyle w:val="Heading3"/>
      </w:pPr>
      <w:r>
        <w:rPr>
          <w:rFonts w:ascii="Arial" w:hAnsi="Arial"/>
        </w:rPr>
        <w:t xml:space="preserve">3.1 Overview</w:t>
      </w:r>
    </w:p>
    <w:p>
      <w:pPr>
        <w:pStyle w:val="FirstParagraph"/>
      </w:pPr>
      <w:r>
        <w:rPr>
          <w:rFonts w:ascii="Arial" w:hAnsi="Arial"/>
        </w:rP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Fonts w:ascii="Arial" w:hAnsi="Arial"/>
        </w:rPr>
        <w:t xml:space="preserve">run_all.sh</w:t>
      </w:r>
      <w:r>
        <w:rPr>
          <w:rFonts w:ascii="Arial" w:hAnsi="Arial"/>
        </w:rP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w:t>
      </w:r>
    </w:p>
    <w:bookmarkEnd w:id="31"/>
    <w:bookmarkStart w:id="32" w:name="pre-processing"/>
    <w:p>
      <w:pPr>
        <w:pStyle w:val="Heading3"/>
      </w:pPr>
      <w:r>
        <w:rPr>
          <w:rFonts w:ascii="Arial" w:hAnsi="Arial"/>
        </w:rPr>
        <w:t xml:space="preserve">3.2 Pre-processing</w:t>
      </w:r>
    </w:p>
    <w:p>
      <w:pPr>
        <w:pStyle w:val="FirstParagraph"/>
      </w:pPr>
      <w:r>
        <w:rPr>
          <w:rFonts w:ascii="Arial" w:hAnsi="Arial"/>
          <w:b/>
          <w:bCs/>
        </w:rPr>
        <w:t xml:space="preserve">Sentinel-1 despeckling:</w:t>
      </w:r>
      <w:r>
        <w:rPr>
          <w:rFonts w:ascii="Arial" w:hAnsi="Arial"/>
        </w:rPr>
        <w:t xml:space="preserve"> </w:t>
      </w:r>
      <w:r>
        <w:rPr>
          <w:rFonts w:ascii="Arial" w:hAnsi="Arial"/>
        </w:rP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rPr>
          <w:rFonts w:ascii="Arial" w:hAnsi="Arial"/>
        </w:rPr>
        <w:t xml:space="preserve"> </w:t>
      </w:r>
      <w:r>
        <w:rPr>
          <w:rStyle w:val="VerbatimChar"/>
          <w:rFonts w:ascii="Arial" w:hAnsi="Arial"/>
        </w:rPr>
        <w:t xml:space="preserve">01_study_area_and_data_ingestion.js</w:t>
      </w:r>
      <w:r>
        <w:rPr>
          <w:rFonts w:ascii="Arial" w:hAnsi="Arial"/>
        </w:rPr>
        <w:t xml:space="preserve">), whilst a refined Lee sigma filter (window size 7×7, sigma level 0.9, three-look) is applied in the production runs (module</w:t>
      </w:r>
      <w:r>
        <w:rPr>
          <w:rFonts w:ascii="Arial" w:hAnsi="Arial"/>
        </w:rPr>
        <w:t xml:space="preserve"> </w:t>
      </w:r>
      <w:r>
        <w:rPr>
          <w:rStyle w:val="VerbatimChar"/>
          <w:rFonts w:ascii="Arial" w:hAnsi="Arial"/>
        </w:rPr>
        <w:t xml:space="preserve">02_saline_flood_classifier.js</w:t>
      </w:r>
      <w:r>
        <w:rPr>
          <w:rFonts w:ascii="Arial" w:hAnsi="Arial"/>
        </w:rP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w:t>
      </w:r>
    </w:p>
    <w:p>
      <w:pPr>
        <w:pStyle w:val="BodyText"/>
      </w:pPr>
      <w:r>
        <w:rPr>
          <w:rFonts w:ascii="Arial" w:hAnsi="Arial"/>
          <w:b/>
          <w:bCs/>
        </w:rPr>
        <w:t xml:space="preserve">Sentinel-2 cloud masking and index computation:</w:t>
      </w:r>
      <w:r>
        <w:rPr>
          <w:rFonts w:ascii="Arial" w:hAnsi="Arial"/>
        </w:rPr>
        <w:t xml:space="preserve"> </w:t>
      </w:r>
      <w:r>
        <w:rPr>
          <w:rFonts w:ascii="Arial" w:hAnsi="Arial"/>
        </w:rP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rFonts w:ascii="Arial" w:hAnsi="Arial"/>
          <w:b/>
          <w:bCs/>
        </w:rPr>
        <w:t xml:space="preserve">Backscatter conversion and temporal resampling:</w:t>
      </w:r>
      <w:r>
        <w:rPr>
          <w:rFonts w:ascii="Arial" w:hAnsi="Arial"/>
        </w:rPr>
        <w:t xml:space="preserve"> </w:t>
      </w:r>
      <w:r>
        <w:rPr>
          <w:rFonts w:ascii="Arial" w:hAnsi="Arial"/>
        </w:rPr>
        <w:t xml:space="preserve">Raw Sentinel-1 linear power values are converted to decibels (dB) via the transformation:</w:t>
      </w:r>
    </w:p>
    <w:p>
      <w:pPr>
        <w:pStyle w:val="BodyText"/>
      </w:pPr>
      <m:oMathPara>
        <m:oMathParaPr>
          <m:jc m:val="center"/>
        </m:oMathParaPr>
        <m:oMath>
          <m:sSub>
            <m:e>
              <m:r>
                <m:t>σ</m:t>
              </m:r>
            </m:e>
            <m:sub>
              <m:r>
                <m:t>d</m:t>
              </m:r>
              <m:r>
                <m:t>B</m:t>
              </m:r>
            </m:sub>
          </m:sSub>
          <m:r>
            <m:rPr>
              <m:sty m:val="p"/>
            </m:rPr>
            <m:t>=</m:t>
          </m:r>
          <m:r>
            <m:t>10</m:t>
          </m:r>
          <m:r>
            <m:rPr>
              <m:sty m:val="p"/>
            </m:rPr>
            <m:t>⋅</m:t>
          </m:r>
          <m:sSub>
            <m:e>
              <m:r>
                <m:rPr>
                  <m:sty m:val="p"/>
                </m:rPr>
                <m:t>log</m:t>
              </m:r>
            </m:e>
            <m:sub>
              <m:r>
                <m:t>10</m:t>
              </m:r>
            </m:sub>
          </m:sSub>
          <m:d>
            <m:dPr>
              <m:begChr m:val="("/>
              <m:endChr m:val=")"/>
              <m:sepChr m:val=""/>
              <m:grow/>
            </m:dPr>
            <m:e>
              <m:sSub>
                <m:e>
                  <m:r>
                    <m:t>σ</m:t>
                  </m:r>
                </m:e>
                <m:sub>
                  <m:r>
                    <m:t>l</m:t>
                  </m:r>
                  <m:r>
                    <m:t>i</m:t>
                  </m:r>
                  <m:r>
                    <m:t>n</m:t>
                  </m:r>
                  <m:r>
                    <m:t>e</m:t>
                  </m:r>
                  <m:r>
                    <m:t>a</m:t>
                  </m:r>
                  <m:r>
                    <m:t>r</m:t>
                  </m:r>
                </m:sub>
              </m:sSub>
            </m:e>
          </m:d>
          <m:r>
            <m:t> </m:t>
          </m:r>
          <m:d>
            <m:dPr>
              <m:begChr m:val="("/>
              <m:endChr m:val=")"/>
              <m:sepChr m:val=""/>
              <m:grow/>
            </m:dPr>
            <m:e>
              <m:r>
                <m:t>1</m:t>
              </m:r>
            </m:e>
          </m:d>
        </m:oMath>
      </m:oMathPara>
    </w:p>
    <w:p>
      <w:pPr>
        <w:pStyle w:val="FirstParagraph"/>
      </w:pPr>
      <w:r>
        <w:rPr>
          <w:rFonts w:ascii="Arial" w:hAnsi="Arial"/>
        </w:rP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rFonts w:ascii="Arial" w:hAnsi="Arial"/>
          <w:b/>
          <w:bCs/>
        </w:rPr>
        <w:t xml:space="preserve">Pixel exclusion criteria:</w:t>
      </w:r>
      <w:r>
        <w:rPr>
          <w:rFonts w:ascii="Arial" w:hAnsi="Arial"/>
        </w:rPr>
        <w:t xml:space="preserve"> </w:t>
      </w:r>
      <w:r>
        <w:rPr>
          <w:rFonts w:ascii="Arial" w:hAnsi="Arial"/>
        </w:rP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2"/>
    <w:bookmarkStart w:id="33" w:name="saline-flood-classifier"/>
    <w:p>
      <w:pPr>
        <w:pStyle w:val="Heading3"/>
      </w:pPr>
      <w:r>
        <w:rPr>
          <w:rFonts w:ascii="Arial" w:hAnsi="Arial"/>
        </w:rPr>
        <w:t xml:space="preserve">3.3 Saline-Flood Classifier</w:t>
      </w:r>
    </w:p>
    <w:p>
      <w:pPr>
        <w:pStyle w:val="FirstParagraph"/>
      </w:pPr>
      <w:r>
        <w:rPr>
          <w:rFonts w:ascii="Arial" w:hAnsi="Arial"/>
          <w:b/>
          <w:bCs/>
        </w:rPr>
        <w:t xml:space="preserve">Feature set:</w:t>
      </w:r>
      <w:r>
        <w:rPr>
          <w:rFonts w:ascii="Arial" w:hAnsi="Arial"/>
        </w:rPr>
        <w:t xml:space="preserve"> </w:t>
      </w:r>
      <w:r>
        <w:rPr>
          <w:rFonts w:ascii="Arial" w:hAnsi="Arial"/>
        </w:rPr>
        <w:t xml:space="preserve">The random-forest classifier operates on an eight-feature input vector computed at pixel level for each monthly observation in the May–August window (encompassing both pre-Kharif cyclone surge and the Kharif transplanting period):</w:t>
      </w:r>
    </w:p>
    <w:p>
      <w:pPr>
        <w:pStyle w:val="Compact"/>
        <w:numPr>
          <w:ilvl w:val="0"/>
          <w:numId w:val="1002"/>
        </w:numPr>
      </w:pPr>
      <w:r>
        <w:rPr>
          <w:rFonts w:ascii="Arial" w:hAnsi="Arial"/>
        </w:rPr>
        <w:t xml:space="preserve">VH backscatter (dB), monthly median</w:t>
      </w:r>
    </w:p>
    <w:p>
      <w:pPr>
        <w:pStyle w:val="Compact"/>
        <w:numPr>
          <w:ilvl w:val="0"/>
          <w:numId w:val="1002"/>
        </w:numPr>
      </w:pPr>
      <w:r>
        <w:rPr>
          <w:rFonts w:ascii="Arial" w:hAnsi="Arial"/>
        </w:rPr>
        <w:t xml:space="preserve">VV backscatter (dB), monthly median</w:t>
      </w:r>
    </w:p>
    <w:p>
      <w:pPr>
        <w:pStyle w:val="Compact"/>
        <w:numPr>
          <w:ilvl w:val="0"/>
          <w:numId w:val="1002"/>
        </w:numPr>
      </w:pPr>
      <w:r>
        <w:rPr>
          <w:rFonts w:ascii="Arial" w:hAnsi="Arial"/>
        </w:rPr>
        <w:t xml:space="preserve">Cross-ratio CR = VH − VV (dB), monthly median</w:t>
      </w:r>
    </w:p>
    <w:p>
      <w:pPr>
        <w:pStyle w:val="Compact"/>
        <w:numPr>
          <w:ilvl w:val="0"/>
          <w:numId w:val="1002"/>
        </w:numPr>
      </w:pPr>
      <w:r>
        <w:rPr>
          <w:rFonts w:ascii="Arial" w:hAnsi="Arial"/>
        </w:rPr>
        <w:t xml:space="preserve">NDWI (Sentinel-2 monthly median)</w:t>
      </w:r>
    </w:p>
    <w:p>
      <w:pPr>
        <w:pStyle w:val="Compact"/>
        <w:numPr>
          <w:ilvl w:val="0"/>
          <w:numId w:val="1002"/>
        </w:numPr>
      </w:pPr>
      <w:r>
        <w:rPr>
          <w:rFonts w:ascii="Arial" w:hAnsi="Arial"/>
        </w:rPr>
        <w:t xml:space="preserve">LSWI (Sentinel-2 monthly median)</w:t>
      </w:r>
    </w:p>
    <w:p>
      <w:pPr>
        <w:pStyle w:val="Compact"/>
        <w:numPr>
          <w:ilvl w:val="0"/>
          <w:numId w:val="1002"/>
        </w:numPr>
      </w:pPr>
      <w:r>
        <w:rPr>
          <w:rFonts w:ascii="Arial" w:hAnsi="Arial"/>
        </w:rPr>
        <w:t xml:space="preserve">JRC GSW water permanence fraction (percentage of months with surface water detected, 1984–2020)</w:t>
      </w:r>
    </w:p>
    <w:p>
      <w:pPr>
        <w:pStyle w:val="Compact"/>
        <w:numPr>
          <w:ilvl w:val="0"/>
          <w:numId w:val="1002"/>
        </w:numPr>
      </w:pPr>
      <w:r>
        <w:rPr>
          <w:rFonts w:ascii="Arial" w:hAnsi="Arial"/>
        </w:rPr>
        <w:t xml:space="preserve">ERA5 maximum 10-m wind speed (scalar: sqrt(u² + v²)), monthly maximum in dB-analogue scaling</w:t>
      </w:r>
    </w:p>
    <w:p>
      <w:pPr>
        <w:pStyle w:val="Compact"/>
        <w:numPr>
          <w:ilvl w:val="0"/>
          <w:numId w:val="1002"/>
        </w:numPr>
      </w:pPr>
      <w:r>
        <w:rPr>
          <w:rFonts w:ascii="Arial" w:hAnsi="Arial"/>
        </w:rPr>
        <w:t xml:space="preserve">Days since nearest IBTrACS-recorded cyclone landfall within 200 km radius (categorical: ≤30, 31–60, &gt;60 days, encoded as ordinal integer)</w:t>
      </w:r>
    </w:p>
    <w:p>
      <w:pPr>
        <w:pStyle w:val="FirstParagraph"/>
      </w:pPr>
      <w:r>
        <w:rPr>
          <w:rFonts w:ascii="Arial" w:hAnsi="Arial"/>
        </w:rP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rFonts w:ascii="Arial" w:hAnsi="Arial"/>
          <w:b/>
          <w:bCs/>
        </w:rPr>
        <w:t xml:space="preserve">Training labels:</w:t>
      </w:r>
      <w:r>
        <w:rPr>
          <w:rFonts w:ascii="Arial" w:hAnsi="Arial"/>
        </w:rPr>
        <w:t xml:space="preserve"> </w:t>
      </w:r>
      <w:r>
        <w:rPr>
          <w:rFonts w:ascii="Arial" w:hAnsi="Arial"/>
        </w:rP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rFonts w:ascii="Arial" w:hAnsi="Arial"/>
          <w:b/>
          <w:bCs/>
        </w:rPr>
        <w:t xml:space="preserve">Classifier configuration and cross-validation:</w:t>
      </w:r>
      <w:r>
        <w:rPr>
          <w:rFonts w:ascii="Arial" w:hAnsi="Arial"/>
        </w:rPr>
        <w:t xml:space="preserve"> </w:t>
      </w:r>
      <w:r>
        <w:rPr>
          <w:rFonts w:ascii="Arial" w:hAnsi="Arial"/>
        </w:rPr>
        <w:t xml:space="preserve">A random-forest classifier (Breiman, 2001) is trained using a 70/30 stratified random split (fixed</w:t>
      </w:r>
      <w:r>
        <w:rPr>
          <w:rFonts w:ascii="Arial" w:hAnsi="Arial"/>
        </w:rPr>
        <w:t xml:space="preserve"> </w:t>
      </w:r>
      <w:r>
        <w:rPr>
          <w:rStyle w:val="VerbatimChar"/>
          <w:rFonts w:ascii="Arial" w:hAnsi="Arial"/>
        </w:rPr>
        <w:t xml:space="preserve">seed = 2026</w:t>
      </w:r>
      <w:r>
        <w:rPr>
          <w:rFonts w:ascii="Arial" w:hAnsi="Arial"/>
        </w:rP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rPr>
          <w:rFonts w:ascii="Arial" w:hAnsi="Arial"/>
        </w:rPr>
        <w:t xml:space="preserve"> </w:t>
      </w:r>
      <w:r>
        <w:rPr>
          <w:rStyle w:val="VerbatimChar"/>
          <w:rFonts w:ascii="Arial" w:hAnsi="Arial"/>
        </w:rPr>
        <w:t xml:space="preserve">ee.Classifier.smileRandomForest</w:t>
      </w:r>
      <w:r>
        <w:rPr>
          <w:rFonts w:ascii="Arial" w:hAnsi="Arial"/>
        </w:rPr>
        <w:t xml:space="preserve"> </w:t>
      </w:r>
      <w:r>
        <w:rPr>
          <w:rFonts w:ascii="Arial" w:hAnsi="Arial"/>
        </w:rPr>
        <w:t xml:space="preserve">function with the selected hyperparameters.</w:t>
      </w:r>
    </w:p>
    <w:bookmarkEnd w:id="33"/>
    <w:bookmarkStart w:id="34" w:name="phenology-extraction"/>
    <w:p>
      <w:pPr>
        <w:pStyle w:val="Heading3"/>
      </w:pPr>
      <w:r>
        <w:rPr>
          <w:rFonts w:ascii="Arial" w:hAnsi="Arial"/>
        </w:rPr>
        <w:t xml:space="preserve">3.4 Phenology Extraction</w:t>
      </w:r>
    </w:p>
    <w:p>
      <w:pPr>
        <w:pStyle w:val="FirstParagraph"/>
      </w:pPr>
      <w:r>
        <w:rPr>
          <w:rFonts w:ascii="Arial" w:hAnsi="Arial"/>
          <w:b/>
          <w:bCs/>
        </w:rPr>
        <w:t xml:space="preserve">Time-series smoothing:</w:t>
      </w:r>
      <w:r>
        <w:rPr>
          <w:rFonts w:ascii="Arial" w:hAnsi="Arial"/>
        </w:rPr>
        <w:t xml:space="preserve"> </w:t>
      </w:r>
      <w:r>
        <w:rPr>
          <w:rFonts w:ascii="Arial" w:hAnsi="Arial"/>
        </w:rP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rFonts w:ascii="Arial" w:hAnsi="Arial"/>
          <w:b/>
          <w:bCs/>
        </w:rPr>
        <w:t xml:space="preserve">Double-logistic curve fitting:</w:t>
      </w:r>
      <w:r>
        <w:rPr>
          <w:rFonts w:ascii="Arial" w:hAnsi="Arial"/>
        </w:rPr>
        <w:t xml:space="preserve"> </w:t>
      </w:r>
      <w:r>
        <w:rPr>
          <w:rFonts w:ascii="Arial" w:hAnsi="Arial"/>
        </w:rPr>
        <w:t xml:space="preserve">Following time-series smoothing, phenological transition dates are extracted using the double-logistic function of Beck et al. (2006):</w:t>
      </w:r>
    </w:p>
    <w:p>
      <w:pPr>
        <w:pStyle w:val="BodyText"/>
      </w:pPr>
      <m:oMathPara>
        <m:oMathParaPr>
          <m:jc m:val="center"/>
        </m:oMathParaPr>
        <m:oMath>
          <m:r>
            <m:t>y</m:t>
          </m:r>
          <m:d>
            <m:dPr>
              <m:begChr m:val="("/>
              <m:endChr m:val=")"/>
              <m:sepChr m:val=""/>
              <m:grow/>
            </m:dPr>
            <m:e>
              <m:r>
                <m:t>t</m:t>
              </m:r>
            </m:e>
          </m:d>
          <m:r>
            <m:rPr>
              <m:sty m:val="p"/>
            </m:rPr>
            <m:t>=</m:t>
          </m:r>
          <m:sSub>
            <m:e>
              <m:r>
                <m:t>c</m:t>
              </m:r>
            </m:e>
            <m:sub>
              <m:r>
                <m:t>1</m:t>
              </m:r>
            </m:sub>
          </m:sSub>
          <m:r>
            <m:rPr>
              <m:sty m:val="p"/>
            </m:rPr>
            <m:t>+</m:t>
          </m:r>
          <m:sSub>
            <m:e>
              <m:r>
                <m:t>c</m:t>
              </m:r>
            </m:e>
            <m:sub>
              <m:r>
                <m:t>2</m:t>
              </m:r>
            </m:sub>
          </m:sSub>
          <m:d>
            <m:dPr>
              <m:begChr m:val="["/>
              <m:endChr m:val="]"/>
              <m:sepChr m:val=""/>
              <m:grow/>
            </m:dPr>
            <m:e>
              <m:f>
                <m:fPr>
                  <m:type m:val="bar"/>
                </m:fPr>
                <m:num>
                  <m:r>
                    <m:t>1</m:t>
                  </m:r>
                </m:num>
                <m:den>
                  <m:r>
                    <m:t>1</m:t>
                  </m:r>
                  <m:r>
                    <m:rPr>
                      <m:sty m:val="p"/>
                    </m:rPr>
                    <m:t>+</m:t>
                  </m:r>
                  <m:sSup>
                    <m:e>
                      <m:r>
                        <m:t>e</m:t>
                      </m:r>
                    </m:e>
                    <m:sup>
                      <m:r>
                        <m:rPr>
                          <m:sty m:val="p"/>
                        </m:rPr>
                        <m:t>−</m:t>
                      </m:r>
                      <m:sSub>
                        <m:e>
                          <m:r>
                            <m:t>k</m:t>
                          </m:r>
                        </m:e>
                        <m:sub>
                          <m:r>
                            <m:t>1</m:t>
                          </m:r>
                        </m:sub>
                      </m:sSub>
                      <m:d>
                        <m:dPr>
                          <m:begChr m:val="("/>
                          <m:endChr m:val=")"/>
                          <m:sepChr m:val=""/>
                          <m:grow/>
                        </m:dPr>
                        <m:e>
                          <m:r>
                            <m:t>t</m:t>
                          </m:r>
                          <m:r>
                            <m:rPr>
                              <m:sty m:val="p"/>
                            </m:rPr>
                            <m:t>−</m:t>
                          </m:r>
                          <m:sSub>
                            <m:e>
                              <m:r>
                                <m:t>t</m:t>
                              </m:r>
                            </m:e>
                            <m:sub>
                              <m:r>
                                <m:t>1</m:t>
                              </m:r>
                            </m:sub>
                          </m:sSub>
                        </m:e>
                      </m:d>
                    </m:sup>
                  </m:sSup>
                </m:den>
              </m:f>
              <m:r>
                <m:rPr>
                  <m:sty m:val="p"/>
                </m:rPr>
                <m:t>−</m:t>
              </m:r>
              <m:f>
                <m:fPr>
                  <m:type m:val="bar"/>
                </m:fPr>
                <m:num>
                  <m:r>
                    <m:t>1</m:t>
                  </m:r>
                </m:num>
                <m:den>
                  <m:r>
                    <m:t>1</m:t>
                  </m:r>
                  <m:r>
                    <m:rPr>
                      <m:sty m:val="p"/>
                    </m:rPr>
                    <m:t>+</m:t>
                  </m:r>
                  <m:sSup>
                    <m:e>
                      <m:r>
                        <m:t>e</m:t>
                      </m:r>
                    </m:e>
                    <m:sup>
                      <m:r>
                        <m:rPr>
                          <m:sty m:val="p"/>
                        </m:rPr>
                        <m:t>−</m:t>
                      </m:r>
                      <m:sSub>
                        <m:e>
                          <m:r>
                            <m:t>k</m:t>
                          </m:r>
                        </m:e>
                        <m:sub>
                          <m:r>
                            <m:t>2</m:t>
                          </m:r>
                        </m:sub>
                      </m:sSub>
                      <m:d>
                        <m:dPr>
                          <m:begChr m:val="("/>
                          <m:endChr m:val=")"/>
                          <m:sepChr m:val=""/>
                          <m:grow/>
                        </m:dPr>
                        <m:e>
                          <m:r>
                            <m:t>t</m:t>
                          </m:r>
                          <m:r>
                            <m:rPr>
                              <m:sty m:val="p"/>
                            </m:rPr>
                            <m:t>−</m:t>
                          </m:r>
                          <m:sSub>
                            <m:e>
                              <m:r>
                                <m:t>t</m:t>
                              </m:r>
                            </m:e>
                            <m:sub>
                              <m:r>
                                <m:t>2</m:t>
                              </m:r>
                            </m:sub>
                          </m:sSub>
                        </m:e>
                      </m:d>
                    </m:sup>
                  </m:sSup>
                </m:den>
              </m:f>
            </m:e>
          </m:d>
          <m:r>
            <m:t> </m:t>
          </m:r>
          <m:d>
            <m:dPr>
              <m:begChr m:val="("/>
              <m:endChr m:val=")"/>
              <m:sepChr m:val=""/>
              <m:grow/>
            </m:dPr>
            <m:e>
              <m:r>
                <m:t>2</m:t>
              </m:r>
            </m:e>
          </m:d>
        </m:oMath>
      </m:oMathPara>
    </w:p>
    <w:p>
      <w:pPr>
        <w:pStyle w:val="FirstParagraph"/>
      </w:pPr>
      <w:r>
        <w:rPr>
          <w:rFonts w:ascii="Arial" w:hAnsi="Arial"/>
        </w:rPr>
        <w:t xml:space="preserve">where</w:t>
      </w:r>
      <w:r>
        <w:rPr>
          <w:rFonts w:ascii="Arial" w:hAnsi="Arial"/>
        </w:rPr>
        <w:t xml:space="preserve"> </w:t>
      </w:r>
      <m:oMath>
        <m:r>
          <m:t>y</m:t>
        </m:r>
        <m:d>
          <m:dPr>
            <m:begChr m:val="("/>
            <m:endChr m:val=")"/>
            <m:sepChr m:val=""/>
            <m:grow/>
          </m:dPr>
          <m:e>
            <m:r>
              <m:t>t</m:t>
            </m:r>
          </m:e>
        </m:d>
      </m:oMath>
      <w:r>
        <w:rPr>
          <w:rFonts w:ascii="Arial" w:hAnsi="Arial"/>
        </w:rPr>
        <w:t xml:space="preserve"> </w:t>
      </w:r>
      <w:r>
        <w:rPr>
          <w:rFonts w:ascii="Arial" w:hAnsi="Arial"/>
        </w:rPr>
        <w:t xml:space="preserve">is the fitted vegetation/backscatter index at time</w:t>
      </w:r>
      <w:r>
        <w:rPr>
          <w:rFonts w:ascii="Arial" w:hAnsi="Arial"/>
        </w:rPr>
        <w:t xml:space="preserve"> </w:t>
      </w:r>
      <m:oMath>
        <m:r>
          <m:t>t</m:t>
        </m:r>
      </m:oMath>
      <w:r>
        <w:rPr>
          <w:rFonts w:ascii="Arial" w:hAnsi="Arial"/>
        </w:rPr>
        <w:t xml:space="preserve">;</w:t>
      </w:r>
      <w:r>
        <w:rPr>
          <w:rFonts w:ascii="Arial" w:hAnsi="Arial"/>
        </w:rPr>
        <w:t xml:space="preserve"> </w:t>
      </w:r>
      <m:oMath>
        <m:sSub>
          <m:e>
            <m:r>
              <m:t>c</m:t>
            </m:r>
          </m:e>
          <m:sub>
            <m:r>
              <m:t>1</m:t>
            </m:r>
          </m:sub>
        </m:sSub>
      </m:oMath>
      <w:r>
        <w:rPr>
          <w:rFonts w:ascii="Arial" w:hAnsi="Arial"/>
        </w:rPr>
        <w:t xml:space="preserve"> </w:t>
      </w:r>
      <w:r>
        <w:rPr>
          <w:rFonts w:ascii="Arial" w:hAnsi="Arial"/>
        </w:rPr>
        <w:t xml:space="preserve">is the background level;</w:t>
      </w:r>
      <w:r>
        <w:rPr>
          <w:rFonts w:ascii="Arial" w:hAnsi="Arial"/>
        </w:rPr>
        <w:t xml:space="preserve"> </w:t>
      </w:r>
      <m:oMath>
        <m:sSub>
          <m:e>
            <m:r>
              <m:t>c</m:t>
            </m:r>
          </m:e>
          <m:sub>
            <m:r>
              <m:t>2</m:t>
            </m:r>
          </m:sub>
        </m:sSub>
      </m:oMath>
      <w:r>
        <w:rPr>
          <w:rFonts w:ascii="Arial" w:hAnsi="Arial"/>
        </w:rPr>
        <w:t xml:space="preserve"> </w:t>
      </w:r>
      <w:r>
        <w:rPr>
          <w:rFonts w:ascii="Arial" w:hAnsi="Arial"/>
        </w:rPr>
        <w:t xml:space="preserve">is the seasonal amplitude;</w:t>
      </w:r>
      <w:r>
        <w:rPr>
          <w:rFonts w:ascii="Arial" w:hAnsi="Arial"/>
        </w:rPr>
        <w:t xml:space="preserve"> </w:t>
      </w:r>
      <m:oMath>
        <m:sSub>
          <m:e>
            <m:r>
              <m:t>k</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k</m:t>
            </m:r>
          </m:e>
          <m:sub>
            <m:r>
              <m:t>2</m:t>
            </m:r>
          </m:sub>
        </m:sSub>
      </m:oMath>
      <w:r>
        <w:rPr>
          <w:rFonts w:ascii="Arial" w:hAnsi="Arial"/>
        </w:rPr>
        <w:t xml:space="preserve"> </w:t>
      </w:r>
      <w:r>
        <w:rPr>
          <w:rFonts w:ascii="Arial" w:hAnsi="Arial"/>
        </w:rPr>
        <w:t xml:space="preserve">are the rates of green-up and senescence respectively; and</w:t>
      </w:r>
      <w:r>
        <w:rPr>
          <w:rFonts w:ascii="Arial" w:hAnsi="Arial"/>
        </w:rPr>
        <w:t xml:space="preserve"> </w:t>
      </w:r>
      <m:oMath>
        <m:sSub>
          <m:e>
            <m:r>
              <m:t>t</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t</m:t>
            </m:r>
          </m:e>
          <m:sub>
            <m:r>
              <m:t>2</m:t>
            </m:r>
          </m:sub>
        </m:sSub>
      </m:oMath>
      <w:r>
        <w:rPr>
          <w:rFonts w:ascii="Arial" w:hAnsi="Arial"/>
        </w:rPr>
        <w:t xml:space="preserve"> </w:t>
      </w:r>
      <w:r>
        <w:rPr>
          <w:rFonts w:ascii="Arial" w:hAnsi="Arial"/>
        </w:rPr>
        <w:t xml:space="preserve">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3"/>
        </w:numPr>
      </w:pPr>
      <w:r>
        <w:rPr>
          <w:rFonts w:ascii="Arial" w:hAnsi="Arial"/>
          <w:b/>
          <w:bCs/>
        </w:rPr>
        <w:t xml:space="preserve">Start of Season (SOS):</w:t>
      </w:r>
      <w:r>
        <w:rPr>
          <w:rFonts w:ascii="Arial" w:hAnsi="Arial"/>
        </w:rPr>
        <w:t xml:space="preserve"> </w:t>
      </w:r>
      <w:r>
        <w:rPr>
          <w:rFonts w:ascii="Arial" w:hAnsi="Arial"/>
        </w:rPr>
        <w:t xml:space="preserve">the date at which the fitted signal reaches 20% of the seasonal amplitude above the background level on the ascending limb</w:t>
      </w:r>
    </w:p>
    <w:p>
      <w:pPr>
        <w:pStyle w:val="Compact"/>
        <w:numPr>
          <w:ilvl w:val="0"/>
          <w:numId w:val="1003"/>
        </w:numPr>
      </w:pPr>
      <w:r>
        <w:rPr>
          <w:rFonts w:ascii="Arial" w:hAnsi="Arial"/>
          <w:b/>
          <w:bCs/>
        </w:rPr>
        <w:t xml:space="preserve">Peak of Season (POS):</w:t>
      </w:r>
      <w:r>
        <w:rPr>
          <w:rFonts w:ascii="Arial" w:hAnsi="Arial"/>
        </w:rPr>
        <w:t xml:space="preserve"> </w:t>
      </w:r>
      <w:r>
        <w:rPr>
          <w:rFonts w:ascii="Arial" w:hAnsi="Arial"/>
        </w:rPr>
        <w:t xml:space="preserve">the date of maximum fitted signal</w:t>
      </w:r>
    </w:p>
    <w:p>
      <w:pPr>
        <w:pStyle w:val="Compact"/>
        <w:numPr>
          <w:ilvl w:val="0"/>
          <w:numId w:val="1003"/>
        </w:numPr>
      </w:pPr>
      <w:r>
        <w:rPr>
          <w:rFonts w:ascii="Arial" w:hAnsi="Arial"/>
          <w:b/>
          <w:bCs/>
        </w:rPr>
        <w:t xml:space="preserve">End of Season (EOS):</w:t>
      </w:r>
      <w:r>
        <w:rPr>
          <w:rFonts w:ascii="Arial" w:hAnsi="Arial"/>
        </w:rPr>
        <w:t xml:space="preserve"> </w:t>
      </w:r>
      <w:r>
        <w:rPr>
          <w:rFonts w:ascii="Arial" w:hAnsi="Arial"/>
        </w:rPr>
        <w:t xml:space="preserve">the date at which the fitted signal descends to 20% of the seasonal amplitude above the background level on the descending limb</w:t>
      </w:r>
    </w:p>
    <w:p>
      <w:pPr>
        <w:pStyle w:val="FirstParagraph"/>
      </w:pPr>
      <w:r>
        <w:rPr>
          <w:rFonts w:ascii="Arial" w:hAnsi="Arial"/>
        </w:rP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rFonts w:ascii="Arial" w:hAnsi="Arial"/>
          <w:b/>
          <w:bCs/>
        </w:rPr>
        <w:t xml:space="preserve">Pixel-level uncertainty quantification:</w:t>
      </w:r>
      <w:r>
        <w:rPr>
          <w:rFonts w:ascii="Arial" w:hAnsi="Arial"/>
        </w:rPr>
        <w:t xml:space="preserve"> </w:t>
      </w:r>
      <w:r>
        <w:rPr>
          <w:rFonts w:ascii="Arial" w:hAnsi="Arial"/>
        </w:rP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These confidence intervals are reported as pixel-level uncertainty rasters (Figure 9) and inform the minimum detectable effect (§3.7.5).</w:t>
      </w:r>
    </w:p>
    <w:bookmarkEnd w:id="34"/>
    <w:bookmarkStart w:id="35" w:name="raw-vs.-corrected-phenological-pipeline"/>
    <w:p>
      <w:pPr>
        <w:pStyle w:val="Heading3"/>
      </w:pPr>
      <w:r>
        <w:rPr>
          <w:rFonts w:ascii="Arial" w:hAnsi="Arial"/>
        </w:rPr>
        <w:t xml:space="preserve">3.5 Raw vs. Corrected Phenological Pipeline</w:t>
      </w:r>
    </w:p>
    <w:p>
      <w:pPr>
        <w:pStyle w:val="FirstParagraph"/>
      </w:pPr>
      <w:r>
        <w:rPr>
          <w:rFonts w:ascii="Arial" w:hAnsi="Arial"/>
        </w:rPr>
        <w:t xml:space="preserve">Two parallel phenological retrieval pipelines are implemented to quantify the effect of the saline-flood correction:</w:t>
      </w:r>
    </w:p>
    <w:p>
      <w:pPr>
        <w:pStyle w:val="BodyText"/>
      </w:pPr>
      <w:r>
        <w:rPr>
          <w:rFonts w:ascii="Arial" w:hAnsi="Arial"/>
          <w:b/>
          <w:bCs/>
        </w:rPr>
        <w:t xml:space="preserve">Raw pipeline:</w:t>
      </w:r>
      <w:r>
        <w:rPr>
          <w:rFonts w:ascii="Arial" w:hAnsi="Arial"/>
        </w:rPr>
        <w:t xml:space="preserve"> </w:t>
      </w:r>
      <w:r>
        <w:rPr>
          <w:rFonts w:ascii="Arial" w:hAnsi="Arial"/>
        </w:rP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rFonts w:ascii="Arial" w:hAnsi="Arial"/>
          <w:b/>
          <w:bCs/>
        </w:rPr>
        <w:t xml:space="preserve">Corrected pipeline:</w:t>
      </w:r>
      <w:r>
        <w:rPr>
          <w:rFonts w:ascii="Arial" w:hAnsi="Arial"/>
        </w:rPr>
        <w:t xml:space="preserve"> </w:t>
      </w:r>
      <w:r>
        <w:rPr>
          <w:rFonts w:ascii="Arial" w:hAnsi="Arial"/>
        </w:rPr>
        <w:t xml:space="preserve">Prior to time-series smoothing, all monthly composite pixels classified by the random-forest saline-flood classifier (Section 3.3) as cyclone-induced inundation with probability &gt; 0.5 are relabelled in the time series as missing values.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rPr>
          <w:rFonts w:ascii="Arial" w:hAnsi="Arial"/>
          <w:b/>
          <w:bCs/>
        </w:rPr>
        <w:t xml:space="preserve">Correction operator:</w:t>
      </w:r>
      <w:r>
        <w:rPr>
          <w:rFonts w:ascii="Arial" w:hAnsi="Arial"/>
        </w:rPr>
        <w:t xml:space="preserve"> </w:t>
      </w:r>
      <w:r>
        <w:rPr>
          <w:rFonts w:ascii="Arial" w:hAnsi="Arial"/>
        </w:rPr>
        <w:t xml:space="preserve">The effect of the correction can be formalised as a phenological date operator. Let</w:t>
      </w:r>
      <w:r>
        <w:rPr>
          <w:rFonts w:ascii="Arial" w:hAnsi="Arial"/>
        </w:rPr>
        <w:t xml:space="preserve"> </w:t>
      </w:r>
      <m:oMath>
        <m:sSub>
          <m:e>
            <m:acc>
              <m:accPr>
                <m:chr m:val="̂"/>
              </m:accPr>
              <m:e>
                <m:r>
                  <m:t>D</m:t>
                </m:r>
              </m:e>
            </m:acc>
          </m:e>
          <m:sub>
            <m:r>
              <m:t>r</m:t>
            </m:r>
            <m:r>
              <m:t>a</m:t>
            </m:r>
            <m:r>
              <m:t>w</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raw SOS date estimate for pixel</w:t>
      </w:r>
      <w:r>
        <w:rPr>
          <w:rFonts w:ascii="Arial" w:hAnsi="Arial"/>
        </w:rPr>
        <w:t xml:space="preserve"> </w:t>
      </w:r>
      <m:oMath>
        <m:r>
          <m:t>i</m:t>
        </m:r>
      </m:oMath>
      <w:r>
        <w:rPr>
          <w:rFonts w:ascii="Arial" w:hAnsi="Arial"/>
        </w:rPr>
        <w:t xml:space="preserve"> </w:t>
      </w:r>
      <w:r>
        <w:rPr>
          <w:rFonts w:ascii="Arial" w:hAnsi="Arial"/>
        </w:rPr>
        <w:t xml:space="preserve">in year</w:t>
      </w:r>
      <w:r>
        <w:rPr>
          <w:rFonts w:ascii="Arial" w:hAnsi="Arial"/>
        </w:rPr>
        <w:t xml:space="preserve"> </w:t>
      </w:r>
      <m:oMath>
        <m:r>
          <m:t>y</m:t>
        </m:r>
      </m:oMath>
      <w:r>
        <w:rPr>
          <w:rFonts w:ascii="Arial" w:hAnsi="Arial"/>
        </w:rPr>
        <w:t xml:space="preserve">, and let</w:t>
      </w:r>
      <w:r>
        <w:rPr>
          <w:rFonts w:ascii="Arial" w:hAnsi="Arial"/>
        </w:rPr>
        <w:t xml:space="preserve"> </w:t>
      </w:r>
      <m:oMath>
        <m:sSub>
          <m:e>
            <m:acc>
              <m:accPr>
                <m:chr m:val="̂"/>
              </m:accPr>
              <m:e>
                <m:r>
                  <m:t>D</m:t>
                </m:r>
              </m:e>
            </m:acc>
          </m:e>
          <m:sub>
            <m:r>
              <m:t>c</m:t>
            </m:r>
            <m:r>
              <m:t>o</m:t>
            </m:r>
            <m:r>
              <m:t>r</m:t>
            </m:r>
            <m:r>
              <m:t>r</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corrected SOS estimate. The correction bias</w:t>
      </w:r>
      <w:r>
        <w:rPr>
          <w:rFonts w:ascii="Arial" w:hAnsi="Arial"/>
        </w:rPr>
        <w:t xml:space="preserve"> </w:t>
      </w:r>
      <m:oMath>
        <m:r>
          <m:t>Δ</m:t>
        </m:r>
        <m:r>
          <m:t>D</m:t>
        </m:r>
        <m:d>
          <m:dPr>
            <m:begChr m:val="("/>
            <m:endChr m:val=")"/>
            <m:sepChr m:val=""/>
            <m:grow/>
          </m:dPr>
          <m:e>
            <m:r>
              <m:t>i</m:t>
            </m:r>
            <m:r>
              <m:rPr>
                <m:sty m:val="p"/>
              </m:rPr>
              <m:t>,</m:t>
            </m:r>
            <m:r>
              <m:t>y</m:t>
            </m:r>
          </m:e>
        </m:d>
      </m:oMath>
      <w:r>
        <w:rPr>
          <w:rFonts w:ascii="Arial" w:hAnsi="Arial"/>
        </w:rPr>
        <w:t xml:space="preserve"> </w:t>
      </w:r>
      <w:r>
        <w:rPr>
          <w:rFonts w:ascii="Arial" w:hAnsi="Arial"/>
        </w:rPr>
        <w:t xml:space="preserve">is defined as:</w:t>
      </w:r>
    </w:p>
    <w:p>
      <w:pPr>
        <w:pStyle w:val="BodyText"/>
      </w:pPr>
      <m:oMathPara>
        <m:oMathParaPr>
          <m:jc m:val="center"/>
        </m:oMathParaPr>
        <m:oMath>
          <m:r>
            <m:t>Δ</m:t>
          </m:r>
          <m:r>
            <m:t>D</m:t>
          </m:r>
          <m:d>
            <m:dPr>
              <m:begChr m:val="("/>
              <m:endChr m:val=")"/>
              <m:sepChr m:val=""/>
              <m:grow/>
            </m:dPr>
            <m:e>
              <m:r>
                <m:t>i</m:t>
              </m:r>
              <m:r>
                <m:rPr>
                  <m:sty m:val="p"/>
                </m:rPr>
                <m:t>,</m:t>
              </m:r>
              <m:r>
                <m:t>y</m:t>
              </m:r>
            </m:e>
          </m:d>
          <m:r>
            <m:rPr>
              <m:sty m:val="p"/>
            </m:rPr>
            <m:t>=</m:t>
          </m:r>
          <m:sSub>
            <m:e>
              <m:acc>
                <m:accPr>
                  <m:chr m:val="̂"/>
                </m:accPr>
                <m:e>
                  <m:r>
                    <m:t>D</m:t>
                  </m:r>
                </m:e>
              </m:acc>
            </m:e>
            <m:sub>
              <m:r>
                <m:t>c</m:t>
              </m:r>
              <m:r>
                <m:t>o</m:t>
              </m:r>
              <m:r>
                <m:t>r</m:t>
              </m:r>
              <m:r>
                <m:t>r</m:t>
              </m:r>
            </m:sub>
          </m:sSub>
          <m:d>
            <m:dPr>
              <m:begChr m:val="("/>
              <m:endChr m:val=")"/>
              <m:sepChr m:val=""/>
              <m:grow/>
            </m:dPr>
            <m:e>
              <m:r>
                <m:t>i</m:t>
              </m:r>
              <m:r>
                <m:rPr>
                  <m:sty m:val="p"/>
                </m:rPr>
                <m:t>,</m:t>
              </m:r>
              <m:r>
                <m:t>y</m:t>
              </m:r>
            </m:e>
          </m:d>
          <m:r>
            <m:rPr>
              <m:sty m:val="p"/>
            </m:rPr>
            <m:t>−</m:t>
          </m:r>
          <m:sSub>
            <m:e>
              <m:acc>
                <m:accPr>
                  <m:chr m:val="̂"/>
                </m:accPr>
                <m:e>
                  <m:r>
                    <m:t>D</m:t>
                  </m:r>
                </m:e>
              </m:acc>
            </m:e>
            <m:sub>
              <m:r>
                <m:t>r</m:t>
              </m:r>
              <m:r>
                <m:t>a</m:t>
              </m:r>
              <m:r>
                <m:t>w</m:t>
              </m:r>
            </m:sub>
          </m:sSub>
          <m:d>
            <m:dPr>
              <m:begChr m:val="("/>
              <m:endChr m:val=")"/>
              <m:sepChr m:val=""/>
              <m:grow/>
            </m:dPr>
            <m:e>
              <m:r>
                <m:t>i</m:t>
              </m:r>
              <m:r>
                <m:rPr>
                  <m:sty m:val="p"/>
                </m:rPr>
                <m:t>,</m:t>
              </m:r>
              <m:r>
                <m:t>y</m:t>
              </m:r>
            </m:e>
          </m:d>
          <m:r>
            <m:t> </m:t>
          </m:r>
          <m:d>
            <m:dPr>
              <m:begChr m:val="("/>
              <m:endChr m:val=")"/>
              <m:sepChr m:val=""/>
              <m:grow/>
            </m:dPr>
            <m:e>
              <m:r>
                <m:t>3</m:t>
              </m:r>
            </m:e>
          </m:d>
        </m:oMath>
      </m:oMathPara>
    </w:p>
    <w:p>
      <w:pPr>
        <w:pStyle w:val="FirstParagraph"/>
      </w:pPr>
      <w:r>
        <w:rPr>
          <w:rFonts w:ascii="Arial" w:hAnsi="Arial"/>
        </w:rPr>
        <w:t xml:space="preserve">Positive values of</w:t>
      </w:r>
      <w:r>
        <w:rPr>
          <w:rFonts w:ascii="Arial" w:hAnsi="Arial"/>
        </w:rPr>
        <w:t xml:space="preserve"> </w:t>
      </w:r>
      <m:oMath>
        <m:r>
          <m:t>Δ</m:t>
        </m:r>
        <m:r>
          <m:t>D</m:t>
        </m:r>
      </m:oMath>
      <w:r>
        <w:rPr>
          <w:rFonts w:ascii="Arial" w:hAnsi="Arial"/>
        </w:rPr>
        <w:t xml:space="preserve"> </w:t>
      </w:r>
      <w:r>
        <w:rPr>
          <w:rFonts w:ascii="Arial" w:hAnsi="Arial"/>
        </w:rPr>
        <w:t xml:space="preserve">indicate that the raw pipeline produced an artificially early SOS date. The spatial distribution of</w:t>
      </w:r>
      <w:r>
        <w:rPr>
          <w:rFonts w:ascii="Arial" w:hAnsi="Arial"/>
        </w:rPr>
        <w:t xml:space="preserve"> </w:t>
      </w:r>
      <m:oMath>
        <m:r>
          <m:t>Δ</m:t>
        </m:r>
        <m:r>
          <m:t>D</m:t>
        </m:r>
      </m:oMath>
      <w:r>
        <w:rPr>
          <w:rFonts w:ascii="Arial" w:hAnsi="Arial"/>
        </w:rPr>
        <w:t xml:space="preserve"> </w:t>
      </w:r>
      <w:r>
        <w:rPr>
          <w:rFonts w:ascii="Arial" w:hAnsi="Arial"/>
        </w:rPr>
        <w:t xml:space="preserve">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5"/>
    <w:bookmarkStart w:id="36" w:name="difference-in-differences-identification"/>
    <w:p>
      <w:pPr>
        <w:pStyle w:val="Heading3"/>
      </w:pPr>
      <w:r>
        <w:rPr>
          <w:rFonts w:ascii="Arial" w:hAnsi="Arial"/>
        </w:rPr>
        <w:t xml:space="preserve">3.6 Difference-in-Differences Identification</w:t>
      </w:r>
    </w:p>
    <w:p>
      <w:pPr>
        <w:pStyle w:val="FirstParagraph"/>
      </w:pPr>
      <w:r>
        <w:rPr>
          <w:rFonts w:ascii="Arial" w:hAnsi="Arial"/>
          <w:b/>
          <w:bCs/>
        </w:rPr>
        <w:t xml:space="preserve">Estimating equation.</w:t>
      </w:r>
      <w:r>
        <w:rPr>
          <w:rFonts w:ascii="Arial" w:hAnsi="Arial"/>
        </w:rPr>
        <w:t xml:space="preserve"> </w:t>
      </w:r>
      <w:r>
        <w:rPr>
          <w:rFonts w:ascii="Arial" w:hAnsi="Arial"/>
        </w:rPr>
        <w:t xml:space="preserve">For each (pipeline, phenometric) pair we estimate the canonical generalised 2 × 2 two-way fixed-effects difference-in-differences (TWFE-DiD) specification on the district × year panel:</w:t>
      </w:r>
    </w:p>
    <w:p>
      <w:pPr>
        <w:pStyle w:val="BodyTex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r>
            <m:t>τ</m:t>
          </m:r>
          <m:r>
            <m:rPr>
              <m:sty m:val="p"/>
            </m:rPr>
            <m:t>⋅</m:t>
          </m:r>
          <m:d>
            <m:dPr>
              <m:begChr m:val="("/>
              <m:endChr m:val=")"/>
              <m:sepChr m:val=""/>
              <m:grow/>
            </m:dPr>
            <m:e>
              <m:sSub>
                <m:e>
                  <m:r>
                    <m:rPr>
                      <m:nor/>
                      <m:sty m:val="p"/>
                    </m:rPr>
                    <m:t>Treat</m:t>
                  </m:r>
                </m:e>
                <m:sub>
                  <m:r>
                    <m:t>d</m:t>
                  </m:r>
                </m:sub>
              </m:sSub>
              <m:r>
                <m:rPr>
                  <m:sty m:val="p"/>
                </m:rPr>
                <m:t>×</m:t>
              </m:r>
              <m:sSub>
                <m:e>
                  <m:r>
                    <m:rPr>
                      <m:nor/>
                      <m:sty m:val="p"/>
                    </m:rPr>
                    <m:t>Post</m:t>
                  </m:r>
                </m:e>
                <m:sub>
                  <m:r>
                    <m:t>t</m:t>
                  </m:r>
                </m:sub>
              </m:sSub>
            </m:e>
          </m:d>
          <m:r>
            <m:rPr>
              <m:sty m:val="p"/>
            </m:rPr>
            <m:t>+</m:t>
          </m:r>
          <m:sSub>
            <m:e>
              <m:r>
                <m:t>ε</m:t>
              </m:r>
            </m:e>
            <m:sub>
              <m:r>
                <m:t>d</m:t>
              </m:r>
              <m:r>
                <m:t>t</m:t>
              </m:r>
            </m:sub>
          </m:sSub>
          <m:r>
            <m:t> </m:t>
          </m:r>
          <m:d>
            <m:dPr>
              <m:begChr m:val="("/>
              <m:endChr m:val=")"/>
              <m:sepChr m:val=""/>
              <m:grow/>
            </m:dPr>
            <m:e>
              <m:r>
                <m:t>4</m:t>
              </m:r>
            </m:e>
          </m:d>
        </m:oMath>
      </m:oMathPara>
    </w:p>
    <w:p>
      <w:pPr>
        <w:pStyle w:val="FirstParagraph"/>
      </w:pPr>
      <w:r>
        <w:rPr>
          <w:rFonts w:ascii="Arial" w:hAnsi="Arial"/>
        </w:rPr>
        <w:t xml:space="preserve">where</w:t>
      </w:r>
      <w:r>
        <w:rPr>
          <w:rFonts w:ascii="Arial" w:hAnsi="Arial"/>
        </w:rPr>
        <w:t xml:space="preserve"> </w:t>
      </w:r>
      <m:oMath>
        <m:sSub>
          <m:e>
            <m:r>
              <m:t>Y</m:t>
            </m:r>
          </m:e>
          <m:sub>
            <m:r>
              <m:t>d</m:t>
            </m:r>
            <m:r>
              <m:t>t</m:t>
            </m:r>
          </m:sub>
        </m:sSub>
      </m:oMath>
      <w:r>
        <w:rPr>
          <w:rFonts w:ascii="Arial" w:hAnsi="Arial"/>
        </w:rPr>
        <w:t xml:space="preserve"> </w:t>
      </w:r>
      <w:r>
        <w:rPr>
          <w:rFonts w:ascii="Arial" w:hAnsi="Arial"/>
        </w:rPr>
        <w:t xml:space="preserve">is the median pixel-level phenology metric (SOS, POS, or EOS, in day-of-year) for district</w:t>
      </w:r>
      <w:r>
        <w:rPr>
          <w:rFonts w:ascii="Arial" w:hAnsi="Arial"/>
        </w:rPr>
        <w:t xml:space="preserve"> </w:t>
      </w:r>
      <m:oMath>
        <m:r>
          <m:t>d</m:t>
        </m:r>
      </m:oMath>
      <w:r>
        <w:rPr>
          <w:rFonts w:ascii="Arial" w:hAnsi="Arial"/>
        </w:rPr>
        <w:t xml:space="preserve"> </w:t>
      </w:r>
      <w:r>
        <w:rPr>
          <w:rFonts w:ascii="Arial" w:hAnsi="Arial"/>
        </w:rPr>
        <w:t xml:space="preserve">in year</w:t>
      </w:r>
      <w:r>
        <w:rPr>
          <w:rFonts w:ascii="Arial" w:hAnsi="Arial"/>
        </w:rPr>
        <w:t xml:space="preserve"> </w:t>
      </w:r>
      <m:oMath>
        <m:r>
          <m:t>t</m:t>
        </m:r>
      </m:oMath>
      <w:r>
        <w:rPr>
          <w:rFonts w:ascii="Arial" w:hAnsi="Arial"/>
        </w:rPr>
        <w:t xml:space="preserve">;</w:t>
      </w:r>
      <w:r>
        <w:rPr>
          <w:rFonts w:ascii="Arial" w:hAnsi="Arial"/>
        </w:rPr>
        <w:t xml:space="preserve"> </w:t>
      </w:r>
      <m:oMath>
        <m:sSub>
          <m:e>
            <m:r>
              <m:t>α</m:t>
            </m:r>
          </m:e>
          <m:sub>
            <m:r>
              <m:t>d</m:t>
            </m:r>
          </m:sub>
        </m:sSub>
      </m:oMath>
      <w:r>
        <w:rPr>
          <w:rFonts w:ascii="Arial" w:hAnsi="Arial"/>
        </w:rPr>
        <w:t xml:space="preserve"> </w:t>
      </w:r>
      <w:r>
        <w:rPr>
          <w:rFonts w:ascii="Arial" w:hAnsi="Arial"/>
        </w:rPr>
        <w:t xml:space="preserve">is a district fixed effect absorbing all time-invariant district heterogeneity (baseline rainfall, soil class, elevation, latitudinal climatology);</w:t>
      </w:r>
      <w:r>
        <w:rPr>
          <w:rFonts w:ascii="Arial" w:hAnsi="Arial"/>
        </w:rPr>
        <w:t xml:space="preserve"> </w:t>
      </w:r>
      <m:oMath>
        <m:sSub>
          <m:e>
            <m:r>
              <m:t>γ</m:t>
            </m:r>
          </m:e>
          <m:sub>
            <m:r>
              <m:t>t</m:t>
            </m:r>
          </m:sub>
        </m:sSub>
      </m:oMath>
      <w:r>
        <w:rPr>
          <w:rFonts w:ascii="Arial" w:hAnsi="Arial"/>
        </w:rPr>
        <w:t xml:space="preserve"> </w:t>
      </w:r>
      <w:r>
        <w:rPr>
          <w:rFonts w:ascii="Arial" w:hAnsi="Arial"/>
        </w:rPr>
        <w:t xml:space="preserve">is a year fixed effect absorbing common shocks (monsoon-onset anomalies, ENSO state, pan-Odisha policy changes);</w:t>
      </w:r>
      <w:r>
        <w:rPr>
          <w:rFonts w:ascii="Arial" w:hAnsi="Arial"/>
        </w:rPr>
        <w:t xml:space="preserve"> </w:t>
      </w:r>
      <m:oMath>
        <m:sSub>
          <m:e>
            <m:r>
              <m:rPr>
                <m:nor/>
                <m:sty m:val="p"/>
              </m:rPr>
              <m:t>Treat</m:t>
            </m:r>
          </m:e>
          <m:sub>
            <m:r>
              <m:t>d</m:t>
            </m:r>
          </m:sub>
        </m:sSub>
        <m:r>
          <m:rPr>
            <m:sty m:val="p"/>
          </m:rPr>
          <m:t>∈</m:t>
        </m:r>
        <m:r>
          <m:rPr>
            <m:sty m:val="p"/>
          </m:rPr>
          <m:t>{</m:t>
        </m:r>
        <m:r>
          <m:t>0</m:t>
        </m:r>
        <m:r>
          <m:rPr>
            <m:sty m:val="p"/>
          </m:rPr>
          <m:t>,</m:t>
        </m:r>
        <m:r>
          <m:t>1</m:t>
        </m:r>
        <m:r>
          <m:rPr>
            <m:sty m:val="p"/>
          </m:rPr>
          <m:t>}</m:t>
        </m:r>
      </m:oMath>
      <w:r>
        <w:rPr>
          <w:rFonts w:ascii="Arial" w:hAnsi="Arial"/>
        </w:rPr>
        <w:t xml:space="preserve"> </w:t>
      </w:r>
      <w:r>
        <w:rPr>
          <w:rFonts w:ascii="Arial" w:hAnsi="Arial"/>
        </w:rPr>
        <w:t xml:space="preserve">flags the five coastal-treatment districts (Balasore, Bhadrak, Kendrapara, Jagatsinghpur, Puri);</w:t>
      </w:r>
      <w:r>
        <w:rPr>
          <w:rFonts w:ascii="Arial" w:hAnsi="Arial"/>
        </w:rPr>
        <w:t xml:space="preserve"> </w:t>
      </w:r>
      <m:oMath>
        <m:sSub>
          <m:e>
            <m:r>
              <m:rPr>
                <m:nor/>
                <m:sty m:val="p"/>
              </m:rPr>
              <m:t>Post</m:t>
            </m:r>
          </m:e>
          <m:sub>
            <m:r>
              <m:t>t</m:t>
            </m:r>
          </m:sub>
        </m:sSub>
        <m:r>
          <m:rPr>
            <m:sty m:val="p"/>
          </m:rPr>
          <m:t>∈</m:t>
        </m:r>
        <m:r>
          <m:rPr>
            <m:sty m:val="p"/>
          </m:rPr>
          <m:t>{</m:t>
        </m:r>
        <m:r>
          <m:t>0</m:t>
        </m:r>
        <m:r>
          <m:rPr>
            <m:sty m:val="p"/>
          </m:rPr>
          <m:t>,</m:t>
        </m:r>
        <m:r>
          <m:t>1</m:t>
        </m:r>
        <m:r>
          <m:rPr>
            <m:sty m:val="p"/>
          </m:rPr>
          <m:t>}</m:t>
        </m:r>
      </m:oMath>
      <w:r>
        <w:rPr>
          <w:rFonts w:ascii="Arial" w:hAnsi="Arial"/>
        </w:rPr>
        <w:t xml:space="preserve"> </w:t>
      </w:r>
      <w:r>
        <w:rPr>
          <w:rFonts w:ascii="Arial" w:hAnsi="Arial"/>
        </w:rPr>
        <w:t xml:space="preserve">flags the three pre-Kharif cyclone years (2019 Fani, 2020 Amphan, 2021 Yaas); and</w:t>
      </w:r>
      <w:r>
        <w:rPr>
          <w:rFonts w:ascii="Arial" w:hAnsi="Arial"/>
        </w:rPr>
        <w:t xml:space="preserve"> </w:t>
      </w:r>
      <m:oMath>
        <m:r>
          <m:t>τ</m:t>
        </m:r>
      </m:oMath>
      <w:r>
        <w:rPr>
          <w:rFonts w:ascii="Arial" w:hAnsi="Arial"/>
        </w:rPr>
        <w:t xml:space="preserve"> </w:t>
      </w:r>
      <w:r>
        <w:rPr>
          <w:rFonts w:ascii="Arial" w:hAnsi="Arial"/>
        </w:rPr>
        <w:t xml:space="preserve">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w:t>
      </w:r>
      <w:r>
        <w:rPr>
          <w:rFonts w:ascii="Arial" w:hAnsi="Arial"/>
        </w:rPr>
        <w:t xml:space="preserve"> </w:t>
      </w:r>
      <m:oMath>
        <m:r>
          <m:t>t</m:t>
        </m:r>
      </m:oMath>
      <w:r>
        <w:rPr>
          <w:rFonts w:ascii="Arial" w:hAnsi="Arial"/>
        </w:rPr>
        <w:t xml:space="preserve">-test is reported only as a baseline — our preferred small-cluster inference is the wild-cluster restricted bootstrap of Cameron, Gelbach, and Miller (2008), described in §3.7.1.</w:t>
      </w:r>
    </w:p>
    <w:p>
      <w:pPr>
        <w:pStyle w:val="BodyText"/>
      </w:pPr>
      <w:r>
        <w:rPr>
          <w:rFonts w:ascii="Arial" w:hAnsi="Arial"/>
          <w:b/>
          <w:bCs/>
        </w:rPr>
        <w:t xml:space="preserve">Sample construction.</w:t>
      </w:r>
      <w:r>
        <w:rPr>
          <w:rFonts w:ascii="Arial" w:hAnsi="Arial"/>
        </w:rPr>
        <w:t xml:space="preserve"> </w:t>
      </w:r>
      <w:r>
        <w:rPr>
          <w:rFonts w:ascii="Arial" w:hAnsi="Arial"/>
        </w:rPr>
        <w:t xml:space="preserve">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w:t>
      </w:r>
      <w:r>
        <w:rPr>
          <w:rFonts w:ascii="Arial" w:hAnsi="Arial"/>
        </w:rPr>
        <w:t xml:space="preserve"> </w:t>
      </w:r>
      <m:oMath>
        <m:r>
          <m:t>τ</m:t>
        </m:r>
      </m:oMath>
      <w:r>
        <w:rPr>
          <w:rFonts w:ascii="Arial" w:hAnsi="Arial"/>
        </w:rPr>
        <w:t xml:space="preserve">;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w:t>
      </w:r>
      <w:r>
        <w:rPr>
          <w:rFonts w:ascii="Arial" w:hAnsi="Arial"/>
        </w:rPr>
        <w:t xml:space="preserve"> </w:t>
      </w:r>
      <m:oMath>
        <m:r>
          <m:t>τ</m:t>
        </m:r>
      </m:oMath>
      <w:r>
        <w:rPr>
          <w:rFonts w:ascii="Arial" w:hAnsi="Arial"/>
        </w:rPr>
        <w:t xml:space="preserve"> </w:t>
      </w:r>
      <w:r>
        <w:rPr>
          <w:rFonts w:ascii="Arial" w:hAnsi="Arial"/>
        </w:rPr>
        <w:t xml:space="preserve">is estimated on 64 district-year observations after pipeline-and-metric subsetting, leaving 6 residual degrees of freedom after FE absorption.</w:t>
      </w:r>
    </w:p>
    <w:p>
      <w:pPr>
        <w:pStyle w:val="BodyText"/>
      </w:pPr>
      <w:r>
        <w:rPr>
          <w:rFonts w:ascii="Arial" w:hAnsi="Arial"/>
          <w:b/>
          <w:bCs/>
        </w:rPr>
        <w:t xml:space="preserve">Identifying assumptions.</w:t>
      </w:r>
      <w:r>
        <w:rPr>
          <w:rFonts w:ascii="Arial" w:hAnsi="Arial"/>
        </w:rPr>
        <w:t xml:space="preserve"> </w:t>
      </w:r>
      <w:r>
        <w:rPr>
          <w:rFonts w:ascii="Arial" w:hAnsi="Arial"/>
        </w:rPr>
        <w:t xml:space="preserve">Equation (4) identifies</w:t>
      </w:r>
      <w:r>
        <w:rPr>
          <w:rFonts w:ascii="Arial" w:hAnsi="Arial"/>
        </w:rPr>
        <w:t xml:space="preserve"> </w:t>
      </w:r>
      <m:oMath>
        <m:r>
          <m:t>τ</m:t>
        </m:r>
      </m:oMath>
      <w:r>
        <w:rPr>
          <w:rFonts w:ascii="Arial" w:hAnsi="Arial"/>
        </w:rPr>
        <w:t xml:space="preserve"> </w:t>
      </w:r>
      <w:r>
        <w:rPr>
          <w:rFonts w:ascii="Arial" w:hAnsi="Arial"/>
        </w:rPr>
        <w:t xml:space="preserve">under three assumptions.</w:t>
      </w:r>
      <w:r>
        <w:rPr>
          <w:rFonts w:ascii="Arial" w:hAnsi="Arial"/>
        </w:rPr>
        <w:t xml:space="preserve"> </w:t>
      </w:r>
      <w:r>
        <w:rPr>
          <w:rFonts w:ascii="Arial" w:hAnsi="Arial"/>
          <w:i/>
          <w:iCs/>
        </w:rPr>
        <w:t xml:space="preserve">Parallel trends</w:t>
      </w:r>
      <w:r>
        <w:rPr>
          <w:rFonts w:ascii="Arial" w:hAnsi="Arial"/>
        </w:rPr>
        <w:t xml:space="preserve">: conditional on FEs, treated and control districts would have followed the same trajectory absent treatment. We test this by regressing</w:t>
      </w:r>
      <w:r>
        <w:rPr>
          <w:rFonts w:ascii="Arial" w:hAnsi="Arial"/>
        </w:rPr>
        <w:t xml:space="preserve"> </w:t>
      </w:r>
      <m:oMath>
        <m:sSub>
          <m:e>
            <m:r>
              <m:t>Y</m:t>
            </m:r>
          </m:e>
          <m:sub>
            <m:r>
              <m:t>d</m:t>
            </m:r>
            <m:r>
              <m:t>t</m:t>
            </m:r>
          </m:sub>
        </m:sSub>
        <m:r>
          <m:rPr>
            <m:sty m:val="p"/>
          </m:rPr>
          <m:t>=</m:t>
        </m:r>
        <m:sSub>
          <m:e>
            <m:r>
              <m:t>α</m:t>
            </m:r>
          </m:e>
          <m:sub>
            <m:r>
              <m:t>d</m:t>
            </m:r>
          </m:sub>
        </m:sSub>
        <m:r>
          <m:rPr>
            <m:sty m:val="p"/>
          </m:rPr>
          <m:t>+</m:t>
        </m:r>
        <m:sSub>
          <m:e>
            <m:r>
              <m:t>β</m:t>
            </m:r>
          </m:e>
          <m:sub>
            <m:r>
              <m:t>1</m:t>
            </m:r>
          </m:sub>
        </m:sSub>
        <m:r>
          <m:t>t</m:t>
        </m:r>
        <m:r>
          <m:rPr>
            <m:sty m:val="p"/>
          </m:rPr>
          <m:t>+</m:t>
        </m:r>
        <m:sSub>
          <m:e>
            <m:r>
              <m:t>β</m:t>
            </m:r>
          </m:e>
          <m:sub>
            <m:r>
              <m:t>2</m:t>
            </m:r>
          </m:sub>
        </m:sSub>
        <m:d>
          <m:dPr>
            <m:begChr m:val="("/>
            <m:endChr m:val=")"/>
            <m:sepChr m:val=""/>
            <m:grow/>
          </m:dPr>
          <m:e>
            <m:r>
              <m:t>t</m:t>
            </m:r>
            <m:r>
              <m:rPr>
                <m:sty m:val="p"/>
              </m:rPr>
              <m:t>×</m:t>
            </m:r>
            <m:sSub>
              <m:e>
                <m:r>
                  <m:rPr>
                    <m:nor/>
                    <m:sty m:val="p"/>
                  </m:rPr>
                  <m:t>Treat</m:t>
                </m:r>
              </m:e>
              <m:sub>
                <m:r>
                  <m:t>d</m:t>
                </m:r>
              </m:sub>
            </m:sSub>
          </m:e>
        </m:d>
        <m:r>
          <m:rPr>
            <m:sty m:val="p"/>
          </m:rPr>
          <m:t>+</m:t>
        </m:r>
        <m:sSub>
          <m:e>
            <m:r>
              <m:t>ν</m:t>
            </m:r>
          </m:e>
          <m:sub>
            <m:r>
              <m:t>d</m:t>
            </m:r>
            <m:r>
              <m:t>t</m:t>
            </m:r>
          </m:sub>
        </m:sSub>
      </m:oMath>
      <w:r>
        <w:rPr>
          <w:rFonts w:ascii="Arial" w:hAnsi="Arial"/>
        </w:rPr>
        <w:t xml:space="preserve"> </w:t>
      </w:r>
      <w:r>
        <w:rPr>
          <w:rFonts w:ascii="Arial" w:hAnsi="Arial"/>
        </w:rPr>
        <w:t xml:space="preserve">on the pre-period sub-panel (</w:t>
      </w:r>
      <m:oMath>
        <m:r>
          <m:t>t</m:t>
        </m:r>
        <m:r>
          <m:rPr>
            <m:sty m:val="p"/>
          </m:rPr>
          <m:t>&lt;</m:t>
        </m:r>
        <m:r>
          <m:t>2019</m:t>
        </m:r>
      </m:oMath>
      <w:r>
        <w:rPr>
          <w:rFonts w:ascii="Arial" w:hAnsi="Arial"/>
        </w:rPr>
        <w:t xml:space="preserve">) and reporting</w:t>
      </w:r>
      <w:r>
        <w:rPr>
          <w:rFonts w:ascii="Arial" w:hAnsi="Arial"/>
        </w:rPr>
        <w:t xml:space="preserve"> </w:t>
      </w:r>
      <m:oMath>
        <m:sSub>
          <m:e>
            <m:r>
              <m:t>β</m:t>
            </m:r>
          </m:e>
          <m:sub>
            <m:r>
              <m:t>2</m:t>
            </m:r>
          </m:sub>
        </m:sSub>
      </m:oMath>
      <w:r>
        <w:rPr>
          <w:rFonts w:ascii="Arial" w:hAnsi="Arial"/>
        </w:rPr>
        <w:t xml:space="preserve"> </w:t>
      </w:r>
      <w:r>
        <w:rPr>
          <w:rFonts w:ascii="Arial" w:hAnsi="Arial"/>
        </w:rPr>
        <w:t xml:space="preserve">in Table S2; failure of parallel trends would manifest as a significant pre-trend coefficient.</w:t>
      </w:r>
      <w:r>
        <w:rPr>
          <w:rFonts w:ascii="Arial" w:hAnsi="Arial"/>
        </w:rPr>
        <w:t xml:space="preserve"> </w:t>
      </w:r>
      <w:r>
        <w:rPr>
          <w:rFonts w:ascii="Arial" w:hAnsi="Arial"/>
          <w:i/>
          <w:iCs/>
        </w:rPr>
        <w:t xml:space="preserve">No anticipation</w:t>
      </w:r>
      <w:r>
        <w:rPr>
          <w:rFonts w:ascii="Arial" w:hAnsi="Arial"/>
        </w:rPr>
        <w:t xml:space="preserve">: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w:t>
      </w:r>
      <w:r>
        <w:rPr>
          <w:rFonts w:ascii="Arial" w:hAnsi="Arial"/>
        </w:rPr>
        <w:t xml:space="preserve"> </w:t>
      </w:r>
      <w:r>
        <w:rPr>
          <w:rFonts w:ascii="Arial" w:hAnsi="Arial"/>
          <w:i/>
          <w:iCs/>
        </w:rPr>
        <w:t xml:space="preserve">SUTVA / no spillovers</w:t>
      </w:r>
      <w:r>
        <w:rPr>
          <w:rFonts w:ascii="Arial" w:hAnsi="Arial"/>
        </w:rPr>
        <w:t xml:space="preserve">: treatment of district</w:t>
      </w:r>
      <w:r>
        <w:rPr>
          <w:rFonts w:ascii="Arial" w:hAnsi="Arial"/>
        </w:rPr>
        <w:t xml:space="preserve"> </w:t>
      </w:r>
      <m:oMath>
        <m:r>
          <m:t>d</m:t>
        </m:r>
      </m:oMath>
      <w:r>
        <w:rPr>
          <w:rFonts w:ascii="Arial" w:hAnsi="Arial"/>
        </w:rPr>
        <w:t xml:space="preserve"> </w:t>
      </w:r>
      <w:r>
        <w:rPr>
          <w:rFonts w:ascii="Arial" w:hAnsi="Arial"/>
        </w:rPr>
        <w:t xml:space="preserve">does not affect</w:t>
      </w:r>
      <w:r>
        <w:rPr>
          <w:rFonts w:ascii="Arial" w:hAnsi="Arial"/>
        </w:rPr>
        <w:t xml:space="preserve"> </w:t>
      </w:r>
      <m:oMath>
        <m:r>
          <m:t>Y</m:t>
        </m:r>
      </m:oMath>
      <w:r>
        <w:rPr>
          <w:rFonts w:ascii="Arial" w:hAnsi="Arial"/>
        </w:rPr>
        <w:t xml:space="preserve"> </w:t>
      </w:r>
      <w:r>
        <w:rPr>
          <w:rFonts w:ascii="Arial" w:hAnsi="Arial"/>
        </w:rPr>
        <w:t xml:space="preserve">in district</w:t>
      </w:r>
      <w:r>
        <w:rPr>
          <w:rFonts w:ascii="Arial" w:hAnsi="Arial"/>
        </w:rPr>
        <w:t xml:space="preserve"> </w:t>
      </w:r>
      <m:oMath>
        <m:r>
          <m:t>d</m:t>
        </m:r>
        <m:r>
          <m:rPr>
            <m:sty m:val="p"/>
          </m:rPr>
          <m:t>′</m:t>
        </m:r>
        <m:r>
          <m:rPr>
            <m:sty m:val="p"/>
          </m:rPr>
          <m:t>≠</m:t>
        </m:r>
        <m:r>
          <m:t>d</m:t>
        </m:r>
      </m:oMath>
      <w:r>
        <w:rPr>
          <w:rFonts w:ascii="Arial" w:hAnsi="Arial"/>
        </w:rPr>
        <w:t xml:space="preserve">. Cyclone tracks are spatially bounded (50-km IBTrACS buffer); inland-control districts lie ≥ 80 km from the nearest treatment landfall, so direct wind/surge spillover is excluded. Indirect labour or input-market spillovers are addressed through the cropland mask (only paddy-suitable pixels enter</w:t>
      </w:r>
      <w:r>
        <w:rPr>
          <w:rFonts w:ascii="Arial" w:hAnsi="Arial"/>
        </w:rPr>
        <w:t xml:space="preserve"> </w:t>
      </w:r>
      <m:oMath>
        <m:r>
          <m:t>Y</m:t>
        </m:r>
      </m:oMath>
      <w:r>
        <w:rPr>
          <w:rFonts w:ascii="Arial" w:hAnsi="Arial"/>
        </w:rPr>
        <w:t xml:space="preserve">) and through a robustness check that drops Cuttack — the closest control district to the coast — reported in the leave-one-out sensitivity (§3.7.3, Table S5).</w:t>
      </w:r>
    </w:p>
    <w:p>
      <w:pPr>
        <w:pStyle w:val="BodyText"/>
      </w:pPr>
      <w:r>
        <w:rPr>
          <w:rFonts w:ascii="Arial" w:hAnsi="Arial"/>
          <w:b/>
          <w:bCs/>
        </w:rPr>
        <w:t xml:space="preserve">Event study.</w:t>
      </w:r>
      <w:r>
        <w:rPr>
          <w:rFonts w:ascii="Arial" w:hAnsi="Arial"/>
        </w:rPr>
        <w:t xml:space="preserve"> </w:t>
      </w:r>
      <w:r>
        <w:rPr>
          <w:rFonts w:ascii="Arial" w:hAnsi="Arial"/>
        </w:rPr>
        <w:t xml:space="preserve">To probe dynamics and pre-trends jointly, we estimate</w:t>
      </w:r>
    </w:p>
    <w:p>
      <w:pPr>
        <w:pStyle w:val="BodyTex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nary>
            <m:naryPr>
              <m:chr m:val="∑"/>
              <m:limLoc m:val="undOvr"/>
              <m:subHide m:val="off"/>
              <m:supHide m:val="on"/>
            </m:naryPr>
            <m:sub>
              <m:r>
                <m:t>k</m:t>
              </m:r>
              <m:r>
                <m:rPr>
                  <m:sty m:val="p"/>
                </m:rPr>
                <m:t>≠</m:t>
              </m:r>
              <m:r>
                <m:rPr>
                  <m:sty m:val="p"/>
                </m:rPr>
                <m:t>−</m:t>
              </m:r>
              <m:r>
                <m:t>1</m:t>
              </m:r>
            </m:sub>
            <m:sup>
              <m:r>
                <m:t>​</m:t>
              </m:r>
            </m:sup>
            <m:e>
              <m:sSub>
                <m:e>
                  <m:r>
                    <m:t>β</m:t>
                  </m:r>
                </m:e>
                <m:sub>
                  <m:r>
                    <m:t>k</m:t>
                  </m:r>
                </m:sub>
              </m:sSub>
            </m:e>
          </m:nary>
          <m:r>
            <m:t> </m:t>
          </m:r>
          <m:r>
            <m:rPr>
              <m:sty m:val="b"/>
            </m:rPr>
            <m:t>1</m:t>
          </m:r>
          <m:d>
            <m:dPr>
              <m:begChr m:val="["/>
              <m:endChr m:val="]"/>
              <m:sepChr m:val=""/>
              <m:grow/>
            </m:dPr>
            <m:e>
              <m:r>
                <m:t>t</m:t>
              </m:r>
              <m:r>
                <m:rPr>
                  <m:sty m:val="p"/>
                </m:rPr>
                <m:t>−</m:t>
              </m:r>
              <m:r>
                <m:t>2019</m:t>
              </m:r>
              <m:r>
                <m:rPr>
                  <m:sty m:val="p"/>
                </m:rPr>
                <m:t>=</m:t>
              </m:r>
              <m:r>
                <m:t>k</m:t>
              </m:r>
            </m:e>
          </m:d>
          <m:r>
            <m:rPr>
              <m:sty m:val="p"/>
            </m:rPr>
            <m:t>⋅</m:t>
          </m:r>
          <m:sSub>
            <m:e>
              <m:r>
                <m:rPr>
                  <m:nor/>
                  <m:sty m:val="p"/>
                </m:rPr>
                <m:t>Treat</m:t>
              </m:r>
            </m:e>
            <m:sub>
              <m:r>
                <m:t>d</m:t>
              </m:r>
            </m:sub>
          </m:sSub>
          <m:r>
            <m:rPr>
              <m:sty m:val="p"/>
            </m:rPr>
            <m:t>+</m:t>
          </m:r>
          <m:sSub>
            <m:e>
              <m:r>
                <m:t>ε</m:t>
              </m:r>
            </m:e>
            <m:sub>
              <m:r>
                <m:t>d</m:t>
              </m:r>
              <m:r>
                <m:t>t</m:t>
              </m:r>
            </m:sub>
          </m:sSub>
          <m:r>
            <m:t> </m:t>
          </m:r>
          <m:d>
            <m:dPr>
              <m:begChr m:val="("/>
              <m:endChr m:val=")"/>
              <m:sepChr m:val=""/>
              <m:grow/>
            </m:dPr>
            <m:e>
              <m:r>
                <m:t>5</m:t>
              </m:r>
            </m:e>
          </m:d>
        </m:oMath>
      </m:oMathPara>
    </w:p>
    <w:p>
      <w:pPr>
        <w:pStyle w:val="FirstParagraph"/>
      </w:pPr>
      <w:r>
        <w:rPr>
          <w:rFonts w:ascii="Arial" w:hAnsi="Arial"/>
        </w:rPr>
        <w:t xml:space="preserve">with</w:t>
      </w:r>
      <w:r>
        <w:rPr>
          <w:rFonts w:ascii="Arial" w:hAnsi="Arial"/>
        </w:rPr>
        <w:t xml:space="preserve"> </w:t>
      </w:r>
      <m:oMath>
        <m:r>
          <m:t>k</m:t>
        </m:r>
        <m:r>
          <m:rPr>
            <m:sty m:val="p"/>
          </m:rPr>
          <m:t>=</m:t>
        </m:r>
        <m:r>
          <m:rPr>
            <m:sty m:val="p"/>
          </m:rPr>
          <m:t>−</m:t>
        </m:r>
        <m:r>
          <m:t>1</m:t>
        </m:r>
      </m:oMath>
      <w:r>
        <w:rPr>
          <w:rFonts w:ascii="Arial" w:hAnsi="Arial"/>
        </w:rPr>
        <w:t xml:space="preserve"> </w:t>
      </w:r>
      <w:r>
        <w:rPr>
          <w:rFonts w:ascii="Arial" w:hAnsi="Arial"/>
        </w:rPr>
        <w:t xml:space="preserve">(year 2018) the omitted reference. Coefficients</w:t>
      </w:r>
      <w:r>
        <w:rPr>
          <w:rFonts w:ascii="Arial" w:hAnsi="Arial"/>
        </w:rPr>
        <w:t xml:space="preserve"> </w:t>
      </w:r>
      <m:oMath>
        <m:sSub>
          <m:e>
            <m:r>
              <m:t>β</m:t>
            </m:r>
          </m:e>
          <m:sub>
            <m:r>
              <m:t>k</m:t>
            </m:r>
          </m:sub>
        </m:sSub>
      </m:oMath>
      <w:r>
        <w:rPr>
          <w:rFonts w:ascii="Arial" w:hAnsi="Arial"/>
        </w:rPr>
        <w:t xml:space="preserve"> </w:t>
      </w:r>
      <w:r>
        <w:rPr>
          <w:rFonts w:ascii="Arial" w:hAnsi="Arial"/>
        </w:rPr>
        <w:t xml:space="preserve">at</w:t>
      </w:r>
      <w:r>
        <w:rPr>
          <w:rFonts w:ascii="Arial" w:hAnsi="Arial"/>
        </w:rPr>
        <w:t xml:space="preserve"> </w:t>
      </w:r>
      <m:oMath>
        <m:r>
          <m:t>k</m:t>
        </m:r>
        <m:r>
          <m:rPr>
            <m:sty m:val="p"/>
          </m:rPr>
          <m:t>&lt;</m:t>
        </m:r>
        <m:r>
          <m:t>0</m:t>
        </m:r>
      </m:oMath>
      <w:r>
        <w:rPr>
          <w:rFonts w:ascii="Arial" w:hAnsi="Arial"/>
        </w:rPr>
        <w:t xml:space="preserve"> </w:t>
      </w:r>
      <w:r>
        <w:rPr>
          <w:rFonts w:ascii="Arial" w:hAnsi="Arial"/>
        </w:rPr>
        <w:t xml:space="preserve">test for pre-trends; coefficients at</w:t>
      </w:r>
      <w:r>
        <w:rPr>
          <w:rFonts w:ascii="Arial" w:hAnsi="Arial"/>
        </w:rPr>
        <w:t xml:space="preserve"> </w:t>
      </w:r>
      <m:oMath>
        <m:r>
          <m:t>k</m:t>
        </m:r>
        <m:r>
          <m:rPr>
            <m:sty m:val="p"/>
          </m:rPr>
          <m:t>≥</m:t>
        </m:r>
        <m:r>
          <m:t>0</m:t>
        </m:r>
      </m:oMath>
      <w:r>
        <w:rPr>
          <w:rFonts w:ascii="Arial" w:hAnsi="Arial"/>
        </w:rPr>
        <w:t xml:space="preserve"> </w:t>
      </w:r>
      <w:r>
        <w:rPr>
          <w:rFonts w:ascii="Arial" w:hAnsi="Arial"/>
        </w:rPr>
        <w:t xml:space="preserve">trace the dynamic effect. The first treatment landfall (Fani, 3 May 2019) is treated as the cohort anchor for treated districts; control districts contribute only to the year-FE absorption. Event-study estimates are reported in Figure 3.</w:t>
      </w:r>
    </w:p>
    <w:p>
      <w:pPr>
        <w:pStyle w:val="BodyText"/>
      </w:pPr>
      <w:r>
        <w:rPr>
          <w:rFonts w:ascii="Arial" w:hAnsi="Arial"/>
          <w:b/>
          <w:bCs/>
        </w:rPr>
        <w:t xml:space="preserve">Pre-registered prediction (locked at OSF c4mp8).</w:t>
      </w:r>
      <w:r>
        <w:rPr>
          <w:rFonts w:ascii="Arial" w:hAnsi="Arial"/>
        </w:rPr>
        <w:t xml:space="preserve"> </w:t>
      </w:r>
      <w:r>
        <w:rPr>
          <w:rFonts w:ascii="Arial" w:hAnsi="Arial"/>
        </w:rPr>
        <w:t xml:space="preserve">We pre-registered the directional prediction</w:t>
      </w:r>
      <w:r>
        <w:rPr>
          <w:rFonts w:ascii="Arial" w:hAnsi="Arial"/>
        </w:rPr>
        <w:t xml:space="preserve"> </w:t>
      </w:r>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rPr>
        <w:t xml:space="preserve">: the raw VH-min pipeline is expected to over-attribute the cyclone shock because flood-induced VH dips are read as delayed SOS in districts where standing water lingers; the corrected pipeline masks those flood pixels and should attenuate the bias by 50–80%. Falsification:</w:t>
      </w:r>
      <w:r>
        <w:rPr>
          <w:rFonts w:ascii="Arial" w:hAnsi="Arial"/>
        </w:rPr>
        <w:t xml:space="preserve"> </w:t>
      </w:r>
      <m:oMath>
        <m:sSub>
          <m:e>
            <m:r>
              <m:t>τ</m:t>
            </m:r>
          </m:e>
          <m:sub>
            <m:r>
              <m:rPr>
                <m:nor/>
                <m:sty m:val="p"/>
              </m:rPr>
              <m:t>SOS, corrected</m:t>
            </m:r>
          </m:sub>
        </m:sSub>
        <m:r>
          <m:rPr>
            <m:sty m:val="p"/>
          </m:rPr>
          <m:t>&lt;</m:t>
        </m:r>
        <m:r>
          <m:t>0</m:t>
        </m:r>
      </m:oMath>
      <w:r>
        <w:rPr>
          <w:rFonts w:ascii="Arial" w:hAnsi="Arial"/>
        </w:rPr>
        <w:t xml:space="preserve"> </w:t>
      </w:r>
      <w:r>
        <w:rPr>
          <w:rFonts w:ascii="Arial" w:hAnsi="Arial"/>
        </w:rPr>
        <w:t xml:space="preserve">(planting</w:t>
      </w:r>
      <w:r>
        <w:rPr>
          <w:rFonts w:ascii="Arial" w:hAnsi="Arial"/>
        </w:rPr>
        <w:t xml:space="preserve"> </w:t>
      </w:r>
      <w:r>
        <w:rPr>
          <w:rFonts w:ascii="Arial" w:hAnsi="Arial"/>
          <w:i/>
          <w:iCs/>
        </w:rPr>
        <w:t xml:space="preserve">advances</w:t>
      </w:r>
      <w:r>
        <w:rPr>
          <w:rFonts w:ascii="Arial" w:hAnsi="Arial"/>
        </w:rPr>
        <w:t xml:space="preserve"> </w:t>
      </w:r>
      <w:r>
        <w:rPr>
          <w:rFonts w:ascii="Arial" w:hAnsi="Arial"/>
        </w:rPr>
        <w:t xml:space="preserve">in cyclone years), or</w:t>
      </w:r>
      <w:r>
        <w:rPr>
          <w:rFonts w:ascii="Arial" w:hAnsi="Arial"/>
        </w:rPr>
        <w:t xml:space="preserve"> </w:t>
      </w:r>
      <m:oMath>
        <m:d>
          <m:dPr>
            <m:begChr m:val="|"/>
            <m:endChr m:val="|"/>
            <m:sepChr m:val=""/>
            <m:grow/>
          </m:dPr>
          <m:e>
            <m:sSub>
              <m:e>
                <m:r>
                  <m:t>τ</m:t>
                </m:r>
              </m:e>
              <m:sub>
                <m:r>
                  <m:rPr>
                    <m:nor/>
                    <m:sty m:val="p"/>
                  </m:rPr>
                  <m:t>SOS, raw</m:t>
                </m:r>
              </m:sub>
            </m:sSub>
          </m:e>
        </m:d>
        <m:r>
          <m:rPr>
            <m:sty m:val="p"/>
          </m:rPr>
          <m:t>&lt;</m:t>
        </m:r>
        <m:d>
          <m:dPr>
            <m:begChr m:val="|"/>
            <m:endChr m:val="|"/>
            <m:sepChr m:val=""/>
            <m:grow/>
          </m:dPr>
          <m:e>
            <m:sSub>
              <m:e>
                <m:r>
                  <m:t>τ</m:t>
                </m:r>
              </m:e>
              <m:sub>
                <m:r>
                  <m:rPr>
                    <m:nor/>
                    <m:sty m:val="p"/>
                  </m:rPr>
                  <m:t>SOS, corrected</m:t>
                </m:r>
              </m:sub>
            </m:sSub>
          </m:e>
        </m:d>
      </m:oMath>
      <w:r>
        <w:rPr>
          <w:rFonts w:ascii="Arial" w:hAnsi="Arial"/>
        </w:rPr>
        <w:t xml:space="preserve"> </w:t>
      </w:r>
      <w:r>
        <w:rPr>
          <w:rFonts w:ascii="Arial" w:hAnsi="Arial"/>
        </w:rPr>
        <w:t xml:space="preserve">(correction</w:t>
      </w:r>
      <w:r>
        <w:rPr>
          <w:rFonts w:ascii="Arial" w:hAnsi="Arial"/>
        </w:rPr>
        <w:t xml:space="preserve"> </w:t>
      </w:r>
      <w:r>
        <w:rPr>
          <w:rFonts w:ascii="Arial" w:hAnsi="Arial"/>
          <w:i/>
          <w:iCs/>
        </w:rPr>
        <w:t xml:space="preserve">amplifies</w:t>
      </w:r>
      <w:r>
        <w:rPr>
          <w:rFonts w:ascii="Arial" w:hAnsi="Arial"/>
        </w:rPr>
        <w:t xml:space="preserve"> </w:t>
      </w:r>
      <w:r>
        <w:rPr>
          <w:rFonts w:ascii="Arial" w:hAnsi="Arial"/>
        </w:rPr>
        <w:t xml:space="preserve">rather than damps the shock), would refute the mechanism and be reported as a null finding.</w:t>
      </w:r>
    </w:p>
    <w:p>
      <w:pPr>
        <w:pStyle w:val="BodyText"/>
      </w:pPr>
      <w:r>
        <w:rPr>
          <w:rFonts w:ascii="Arial" w:hAnsi="Arial"/>
          <w:b/>
          <w:bCs/>
        </w:rPr>
        <w:t xml:space="preserve">Goodman-Bacon decomposition (not applicable).</w:t>
      </w:r>
      <w:r>
        <w:rPr>
          <w:rFonts w:ascii="Arial" w:hAnsi="Arial"/>
        </w:rPr>
        <w:t xml:space="preserve"> </w:t>
      </w:r>
      <w:r>
        <w:rPr>
          <w:rFonts w:ascii="Arial" w:hAnsi="Arial"/>
        </w:rPr>
        <w:t xml:space="preserve">The design is single-cohort (all five treated districts exposed in 2019–2021; three never-treated controls). The Bacon (2021) decomposition collapses to a single 2 × 2 comparison and the</w:t>
      </w:r>
      <w:r>
        <w:rPr>
          <w:rFonts w:ascii="Arial" w:hAnsi="Arial"/>
        </w:rPr>
        <w:t xml:space="preserve"> </w:t>
      </w:r>
      <w:r>
        <w:rPr>
          <w:rFonts w:ascii="Arial" w:hAnsi="Arial"/>
        </w:rPr>
        <w:t xml:space="preserve">“</w:t>
      </w:r>
      <w:r>
        <w:rPr>
          <w:rFonts w:ascii="Arial" w:hAnsi="Arial"/>
        </w:rPr>
        <w:t xml:space="preserve">forbidden</w:t>
      </w:r>
      <w:r>
        <w:rPr>
          <w:rFonts w:ascii="Arial" w:hAnsi="Arial"/>
        </w:rPr>
        <w:t xml:space="preserve">”</w:t>
      </w:r>
      <w:r>
        <w:rPr>
          <w:rFonts w:ascii="Arial" w:hAnsi="Arial"/>
        </w:rPr>
        <w:t xml:space="preserve"> </w:t>
      </w:r>
      <w:r>
        <w:rPr>
          <w:rFonts w:ascii="Arial" w:hAnsi="Arial"/>
        </w:rPr>
        <w:t xml:space="preserve">treated-as-control weight is zero by construction; we therefore do not report Bacon weights and refer reviewers to Goodman-Bacon (2021, §3.1).</w:t>
      </w:r>
    </w:p>
    <w:bookmarkEnd w:id="36"/>
    <w:bookmarkStart w:id="42" w:name="robustness-suite"/>
    <w:p>
      <w:pPr>
        <w:pStyle w:val="Heading3"/>
      </w:pPr>
      <w:r>
        <w:rPr>
          <w:rFonts w:ascii="Arial" w:hAnsi="Arial"/>
        </w:rPr>
        <w:t xml:space="preserve">3.7 Robustness Suite</w:t>
      </w:r>
    </w:p>
    <w:p>
      <w:pPr>
        <w:pStyle w:val="FirstParagraph"/>
      </w:pPr>
      <w:r>
        <w:rPr>
          <w:rFonts w:ascii="Arial" w:hAnsi="Arial"/>
        </w:rPr>
        <w:t xml:space="preserve">The headline TWFE-DiD coefficient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w:t>
      </w:r>
      <w:r>
        <w:rPr>
          <w:rFonts w:ascii="Arial" w:hAnsi="Arial"/>
        </w:rPr>
        <w:t xml:space="preserve"> </w:t>
      </w:r>
      <w:r>
        <w:rPr>
          <w:rStyle w:val="VerbatimChar"/>
          <w:rFonts w:ascii="Arial" w:hAnsi="Arial"/>
        </w:rPr>
        <w:t xml:space="preserve">run_all.sh</w:t>
      </w:r>
      <w:r>
        <w:rPr>
          <w:rFonts w:ascii="Arial" w:hAnsi="Arial"/>
        </w:rPr>
        <w:t xml:space="preserve"> </w:t>
      </w:r>
      <w:r>
        <w:rPr>
          <w:rFonts w:ascii="Arial" w:hAnsi="Arial"/>
        </w:rPr>
        <w:t xml:space="preserve">reproduces all five in a single command.</w:t>
      </w:r>
    </w:p>
    <w:bookmarkStart w:id="37" w:name="Xce3fba7e0a5807fa6b7c1bb709d33c6f279dafe"/>
    <w:p>
      <w:pPr>
        <w:pStyle w:val="Heading4"/>
      </w:pPr>
      <w:r>
        <w:rPr>
          <w:rFonts w:ascii="Arial" w:hAnsi="Arial"/>
        </w:rPr>
        <w:t xml:space="preserve">3.7.1 Wild-cluster restricted bootstrap (Module 05a, Table S4)</w:t>
      </w:r>
    </w:p>
    <w:p>
      <w:pPr>
        <w:pStyle w:val="FirstParagraph"/>
      </w:pPr>
      <w:r>
        <w:rPr>
          <w:rFonts w:ascii="Arial" w:hAnsi="Arial"/>
        </w:rPr>
        <w:t xml:space="preserve">The eight-cluster panel is below the asymptotic threshold for cluster-robust inference, so we re-test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with the wild-cluster restricted bootstrap of Cameron, Gelbach, and Miller (2008, hereafter CGM): residuals are imposed under the null and multiplied by Rademacher cluster weights (±1), yielding</w:t>
      </w:r>
      <w:r>
        <w:rPr>
          <w:rFonts w:ascii="Arial" w:hAnsi="Arial"/>
        </w:rPr>
        <w:t xml:space="preserve"> </w:t>
      </w:r>
      <m:oMath>
        <m:r>
          <m:t>B</m:t>
        </m:r>
        <m:r>
          <m:rPr>
            <m:sty m:val="p"/>
          </m:rPr>
          <m:t>=</m:t>
        </m:r>
        <m:r>
          <m:t>9</m:t>
        </m:r>
        <m:r>
          <m:rPr>
            <m:sty m:val="p"/>
          </m:rPr>
          <m:t>,</m:t>
        </m:r>
        <m:r>
          <m:t>999</m:t>
        </m:r>
      </m:oMath>
      <w:r>
        <w:rPr>
          <w:rFonts w:ascii="Arial" w:hAnsi="Arial"/>
        </w:rPr>
        <w:t xml:space="preserve"> </w:t>
      </w:r>
      <w:r>
        <w:rPr>
          <w:rFonts w:ascii="Arial" w:hAnsi="Arial"/>
        </w:rPr>
        <w:t xml:space="preserve">bootstrap replicates of the studentised statistic. 95% confidence intervals are constructed by inversion on a 41-point grid with</w:t>
      </w:r>
      <w:r>
        <w:rPr>
          <w:rFonts w:ascii="Arial" w:hAnsi="Arial"/>
        </w:rPr>
        <w:t xml:space="preserve"> </w:t>
      </w:r>
      <m:oMath>
        <m:sSub>
          <m:e>
            <m:r>
              <m:t>B</m:t>
            </m:r>
          </m:e>
          <m:sub>
            <m:r>
              <m:t>c</m:t>
            </m:r>
            <m:r>
              <m:t>i</m:t>
            </m:r>
          </m:sub>
        </m:sSub>
        <m:r>
          <m:rPr>
            <m:sty m:val="p"/>
          </m:rPr>
          <m:t>=</m:t>
        </m:r>
        <m:r>
          <m:t>499</m:t>
        </m:r>
      </m:oMath>
      <w:r>
        <w:rPr>
          <w:rFonts w:ascii="Arial" w:hAnsi="Arial"/>
        </w:rPr>
        <w:t xml:space="preserve"> </w:t>
      </w:r>
      <w:r>
        <w:rPr>
          <w:rFonts w:ascii="Arial" w:hAnsi="Arial"/>
        </w:rPr>
        <w:t xml:space="preserve">replicates per grid point. WCR-restricted</w:t>
      </w:r>
      <w:r>
        <w:rPr>
          <w:rFonts w:ascii="Arial" w:hAnsi="Arial"/>
        </w:rPr>
        <w:t xml:space="preserve"> </w:t>
      </w:r>
      <m:oMath>
        <m:r>
          <m:t>p</m:t>
        </m:r>
      </m:oMath>
      <w:r>
        <w:rPr>
          <w:rFonts w:ascii="Arial" w:hAnsi="Arial"/>
        </w:rPr>
        <w:t xml:space="preserve">-values dominate the CR1 cluster-robust</w:t>
      </w:r>
      <w:r>
        <w:rPr>
          <w:rFonts w:ascii="Arial" w:hAnsi="Arial"/>
        </w:rPr>
        <w:t xml:space="preserve"> </w:t>
      </w:r>
      <m:oMath>
        <m:r>
          <m:t>p</m:t>
        </m:r>
      </m:oMath>
      <w:r>
        <w:rPr>
          <w:rFonts w:ascii="Arial" w:hAnsi="Arial"/>
        </w:rPr>
        <w:t xml:space="preserve">-values throughout; we report both but interpret WCR as the inferential ground truth.</w:t>
      </w:r>
    </w:p>
    <w:bookmarkEnd w:id="37"/>
    <w:bookmarkStart w:id="38" w:name="X622c297a11e278d2703f5748bdbb6f7035905b7"/>
    <w:p>
      <w:pPr>
        <w:pStyle w:val="Heading4"/>
      </w:pPr>
      <w:r>
        <w:rPr>
          <w:rFonts w:ascii="Arial" w:hAnsi="Arial"/>
        </w:rPr>
        <w:t xml:space="preserve">3.7.2 Out-of-sample transferability — Cyclone Bulbul (Module 05b, Table S3)</w:t>
      </w:r>
    </w:p>
    <w:p>
      <w:pPr>
        <w:pStyle w:val="FirstParagraph"/>
      </w:pPr>
      <w:r>
        <w:rPr>
          <w:rFonts w:ascii="Arial" w:hAnsi="Arial"/>
        </w:rPr>
        <w:t xml:space="preserve">To probe whether the corrected pipeline transfers to a</w:t>
      </w:r>
      <w:r>
        <w:rPr>
          <w:rFonts w:ascii="Arial" w:hAnsi="Arial"/>
        </w:rPr>
        <w:t xml:space="preserve"> </w:t>
      </w:r>
      <w:r>
        <w:rPr>
          <w:rFonts w:ascii="Arial" w:hAnsi="Arial"/>
          <w:i/>
          <w:iCs/>
        </w:rPr>
        <w:t xml:space="preserve">different cyclone class</w:t>
      </w:r>
      <w:r>
        <w:rPr>
          <w:rFonts w:ascii="Arial" w:hAnsi="Arial"/>
        </w:rPr>
        <w:t xml:space="preserve"> </w:t>
      </w:r>
      <w:r>
        <w:rPr>
          <w:rFonts w:ascii="Arial" w:hAnsi="Arial"/>
        </w:rPr>
        <w:t xml:space="preserve">than the three pre-Kharif treatment events (Fani, Amphan, Yaas — all summer-monsoon-window cyclones with surge as the dominant inundation mechanism), we apply the trained</w:t>
      </w:r>
      <w:r>
        <w:rPr>
          <w:rFonts w:ascii="Arial" w:hAnsi="Arial"/>
        </w:rPr>
        <w:t xml:space="preserve"> </w:t>
      </w:r>
      <m:oMath>
        <m:sSub>
          <m:e>
            <m:acc>
              <m:accPr>
                <m:chr m:val="̂"/>
              </m:accPr>
              <m:e>
                <m:r>
                  <m:t>τ</m:t>
                </m:r>
              </m:e>
            </m:acc>
          </m:e>
          <m:sub>
            <m:r>
              <m:rPr>
                <m:nor/>
                <m:sty m:val="p"/>
              </m:rPr>
              <m:t>corrected, SOS</m:t>
            </m:r>
          </m:sub>
        </m:sSub>
      </m:oMath>
      <w:r>
        <w:rPr>
          <w:rFonts w:ascii="Arial" w:hAnsi="Arial"/>
        </w:rPr>
        <w:t xml:space="preserve"> </w:t>
      </w:r>
      <w:r>
        <w:rPr>
          <w:rFonts w:ascii="Arial" w:hAnsi="Arial"/>
        </w:rPr>
        <w:t xml:space="preserve">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w:t>
      </w:r>
      <w:r>
        <w:rPr>
          <w:rFonts w:ascii="Arial" w:hAnsi="Arial"/>
        </w:rPr>
        <w:t xml:space="preserve"> </w:t>
      </w:r>
      <m:oMath>
        <m:r>
          <m:rPr>
            <m:sty m:val="p"/>
          </m:rPr>
          <m:t>≥</m:t>
        </m:r>
        <m:r>
          <m:t>5</m:t>
        </m:r>
        <m:r>
          <m:rPr>
            <m:sty m:val="p"/>
          </m:rPr>
          <m:t>/</m:t>
        </m:r>
        <m:r>
          <m:t>6</m:t>
        </m:r>
      </m:oMath>
      <w:r>
        <w:rPr>
          <w:rFonts w:ascii="Arial" w:hAnsi="Arial"/>
        </w:rPr>
        <w:t xml:space="preserve"> </w:t>
      </w:r>
      <w:r>
        <w:rPr>
          <w:rFonts w:ascii="Arial" w:hAnsi="Arial"/>
        </w:rPr>
        <w:t xml:space="preserve">districts lie inside the 95% prediction interval. Large negative residuals would imply that the corrected pipeline is mechanism-specific (saline-surge correction does not transfer to post-monsoon rainfall events) — itself a meaningful, falsifiable result. Bulbul was added to the analysis under a single pre-registered scope amendment dated 2026-04-29 (logged on OSF), and is documented as out-of-sample throughout: it never enters the panel that identifies</w:t>
      </w:r>
      <w:r>
        <w:rPr>
          <w:rFonts w:ascii="Arial" w:hAnsi="Arial"/>
        </w:rPr>
        <w:t xml:space="preserve"> </w:t>
      </w:r>
      <m:oMath>
        <m:acc>
          <m:accPr>
            <m:chr m:val="̂"/>
          </m:accPr>
          <m:e>
            <m:r>
              <m:t>τ</m:t>
            </m:r>
          </m:e>
        </m:acc>
      </m:oMath>
      <w:r>
        <w:rPr>
          <w:rFonts w:ascii="Arial" w:hAnsi="Arial"/>
        </w:rPr>
        <w:t xml:space="preserve">.</w:t>
      </w:r>
    </w:p>
    <w:bookmarkEnd w:id="38"/>
    <w:bookmarkStart w:id="39" w:name="X8b2c3bb67c248fa3a77cda1f321419ffa2b7e87"/>
    <w:p>
      <w:pPr>
        <w:pStyle w:val="Heading4"/>
      </w:pPr>
      <w:r>
        <w:rPr>
          <w:rFonts w:ascii="Arial" w:hAnsi="Arial"/>
        </w:rPr>
        <w:t xml:space="preserve">3.7.3 Leave-one-out jackknife sensitivity (Module 05d, Table S5)</w:t>
      </w:r>
    </w:p>
    <w:p>
      <w:pPr>
        <w:pStyle w:val="FirstParagraph"/>
      </w:pPr>
      <w:r>
        <w:rPr>
          <w:rFonts w:ascii="Arial" w:hAnsi="Arial"/>
        </w:rPr>
        <w:t xml:space="preserve">We re-fit Eq. 4 dropping each of the eight districts and each of the eight years in turn, yielding 16</w:t>
      </w:r>
      <w:r>
        <w:rPr>
          <w:rFonts w:ascii="Arial" w:hAnsi="Arial"/>
        </w:rPr>
        <w:t xml:space="preserve"> </w:t>
      </w:r>
      <m:oMath>
        <m:sSub>
          <m:e>
            <m:acc>
              <m:accPr>
                <m:chr m:val="̂"/>
              </m:accPr>
              <m:e>
                <m:r>
                  <m:t>τ</m:t>
                </m:r>
              </m:e>
            </m:acc>
          </m:e>
          <m:sub>
            <m:r>
              <m:rPr>
                <m:nor/>
                <m:sty m:val="p"/>
              </m:rPr>
              <m:t>LOO</m:t>
            </m:r>
          </m:sub>
        </m:sSub>
      </m:oMath>
      <w:r>
        <w:rPr>
          <w:rFonts w:ascii="Arial" w:hAnsi="Arial"/>
        </w:rPr>
        <w:t xml:space="preserve"> </w:t>
      </w:r>
      <w:r>
        <w:rPr>
          <w:rFonts w:ascii="Arial" w:hAnsi="Arial"/>
        </w:rPr>
        <w:t xml:space="preserve">values per cell. Each cell is classified</w:t>
      </w:r>
      <w:r>
        <w:rPr>
          <w:rFonts w:ascii="Arial" w:hAnsi="Arial"/>
        </w:rPr>
        <w:t xml:space="preserve"> </w:t>
      </w:r>
      <w:r>
        <w:rPr>
          <w:rStyle w:val="VerbatimChar"/>
          <w:rFonts w:ascii="Arial" w:hAnsi="Arial"/>
        </w:rPr>
        <w:t xml:space="preserve">stable</w:t>
      </w:r>
      <w:r>
        <w:rPr>
          <w:rFonts w:ascii="Arial" w:hAnsi="Arial"/>
        </w:rPr>
        <w:t xml:space="preserve"> </w:t>
      </w:r>
      <w:r>
        <w:rPr>
          <w:rFonts w:ascii="Arial" w:hAnsi="Arial"/>
        </w:rPr>
        <w:t xml:space="preserve">(max</w:t>
      </w:r>
      <w:r>
        <w:rPr>
          <w:rFonts w:ascii="Arial" w:hAnsi="Arial"/>
        </w:rPr>
        <w:t xml:space="preserve"> </w:t>
      </w:r>
      <m:oMath>
        <m:d>
          <m:dPr>
            <m:begChr m:val="|"/>
            <m:endChr m:val="|"/>
            <m:sepChr m:val=""/>
            <m:grow/>
          </m:dPr>
          <m:e>
            <m:sSub>
              <m:e>
                <m:acc>
                  <m:accPr>
                    <m:chr m:val="̂"/>
                  </m:accPr>
                  <m:e>
                    <m:r>
                      <m:t>τ</m:t>
                    </m:r>
                  </m:e>
                </m:acc>
              </m:e>
              <m:sub>
                <m:r>
                  <m:rPr>
                    <m:nor/>
                    <m:sty m:val="p"/>
                  </m:rPr>
                  <m:t>LOO</m:t>
                </m:r>
              </m:sub>
            </m:sSub>
            <m:r>
              <m:rPr>
                <m:sty m:val="p"/>
              </m:rPr>
              <m:t>−</m:t>
            </m:r>
            <m:acc>
              <m:accPr>
                <m:chr m:val="̂"/>
              </m:accPr>
              <m:e>
                <m:r>
                  <m:t>τ</m:t>
                </m:r>
              </m:e>
            </m:acc>
          </m:e>
        </m:d>
        <m:r>
          <m:rPr>
            <m:sty m:val="p"/>
          </m:rPr>
          <m:t>/</m:t>
        </m:r>
        <m:d>
          <m:dPr>
            <m:begChr m:val="|"/>
            <m:endChr m:val="|"/>
            <m:sepChr m:val=""/>
            <m:grow/>
          </m:dPr>
          <m:e>
            <m:acc>
              <m:accPr>
                <m:chr m:val="̂"/>
              </m:accPr>
              <m:e>
                <m:r>
                  <m:t>τ</m:t>
                </m:r>
              </m:e>
            </m:acc>
          </m:e>
        </m:d>
        <m:r>
          <m:rPr>
            <m:sty m:val="p"/>
          </m:rPr>
          <m:t>&lt;</m:t>
        </m:r>
        <m:r>
          <m:t>25</m:t>
        </m:r>
        <m:r>
          <m:rPr>
            <m:sty m:val="p"/>
          </m:rPr>
          <m:t>%</m:t>
        </m:r>
      </m:oMath>
      <w:r>
        <w:rPr>
          <w:rFonts w:ascii="Arial" w:hAnsi="Arial"/>
        </w:rPr>
        <w:t xml:space="preserve"> </w:t>
      </w:r>
      <w:r>
        <w:rPr>
          <w:rFonts w:ascii="Arial" w:hAnsi="Arial"/>
        </w:rPr>
        <w:t xml:space="preserve">and no sign flip),</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(one observation drives</w:t>
      </w:r>
      <w:r>
        <w:rPr>
          <w:rFonts w:ascii="Arial" w:hAnsi="Arial"/>
        </w:rPr>
        <w:t xml:space="preserve"> </w:t>
      </w:r>
      <m:oMath>
        <m:r>
          <m:rPr>
            <m:sty m:val="p"/>
          </m:rPr>
          <m:t>&gt;</m:t>
        </m:r>
        <m:r>
          <m:t>25</m:t>
        </m:r>
        <m:r>
          <m:rPr>
            <m:sty m:val="p"/>
          </m:rPr>
          <m:t>%</m:t>
        </m:r>
      </m:oMath>
      <w:r>
        <w:rPr>
          <w:rFonts w:ascii="Arial" w:hAnsi="Arial"/>
        </w:rPr>
        <w:t xml:space="preserve"> </w:t>
      </w:r>
      <w:r>
        <w:rPr>
          <w:rFonts w:ascii="Arial" w:hAnsi="Arial"/>
        </w:rPr>
        <w:t xml:space="preserve">shift, no sign flip), 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(some LOO flips the sign of</w:t>
      </w:r>
      <w:r>
        <w:rPr>
          <w:rFonts w:ascii="Arial" w:hAnsi="Arial"/>
        </w:rPr>
        <w:t xml:space="preserve"> </w:t>
      </w:r>
      <m:oMath>
        <m:acc>
          <m:accPr>
            <m:chr m:val="̂"/>
          </m:accPr>
          <m:e>
            <m:r>
              <m:t>τ</m:t>
            </m:r>
          </m:e>
        </m:acc>
      </m:oMath>
      <w:r>
        <w:rPr>
          <w:rFonts w:ascii="Arial" w:hAnsi="Arial"/>
        </w:rPr>
        <w:t xml:space="preserve">). We additionally report the most-leveraging district / year per cell. For the headline coefficients (</w:t>
      </w:r>
      <m:oMath>
        <m:sSub>
          <m:e>
            <m:acc>
              <m:accPr>
                <m:chr m:val="̂"/>
              </m:accPr>
              <m:e>
                <m:r>
                  <m:t>τ</m:t>
                </m:r>
              </m:e>
            </m:acc>
          </m:e>
          <m:sub>
            <m:r>
              <m:rPr>
                <m:nor/>
                <m:sty m:val="p"/>
              </m:rPr>
              <m:t>raw,SOS</m:t>
            </m:r>
          </m:sub>
        </m:sSub>
      </m:oMath>
      <w:r>
        <w:rPr>
          <w:rFonts w:ascii="Arial" w:hAnsi="Arial"/>
        </w:rPr>
        <w:t xml:space="preserve">,</w:t>
      </w:r>
      <w:r>
        <w:rPr>
          <w:rFonts w:ascii="Arial" w:hAnsi="Arial"/>
        </w:rPr>
        <w:t xml:space="preserve"> </w:t>
      </w:r>
      <m:oMath>
        <m:sSub>
          <m:e>
            <m:acc>
              <m:accPr>
                <m:chr m:val="̂"/>
              </m:accPr>
              <m:e>
                <m:r>
                  <m:t>τ</m:t>
                </m:r>
              </m:e>
            </m:acc>
          </m:e>
          <m:sub>
            <m:r>
              <m:rPr>
                <m:nor/>
                <m:sty m:val="p"/>
              </m:rPr>
              <m:t>corrected,SOS</m:t>
            </m:r>
          </m:sub>
        </m:sSub>
      </m:oMath>
      <w:r>
        <w:rPr>
          <w:rFonts w:ascii="Arial" w:hAnsi="Arial"/>
        </w:rPr>
        <w:t xml:space="preserve">,</w:t>
      </w:r>
      <w:r>
        <w:rPr>
          <w:rFonts w:ascii="Arial" w:hAnsi="Arial"/>
        </w:rPr>
        <w:t xml:space="preserve"> </w:t>
      </w:r>
      <m:oMath>
        <m:sSub>
          <m:e>
            <m:acc>
              <m:accPr>
                <m:chr m:val="̂"/>
              </m:accPr>
              <m:e>
                <m:r>
                  <m:t>τ</m:t>
                </m:r>
              </m:e>
            </m:acc>
          </m:e>
          <m:sub>
            <m:r>
              <m:rPr>
                <m:nor/>
                <m:sty m:val="p"/>
              </m:rPr>
              <m:t>*,POS</m:t>
            </m:r>
          </m:sub>
        </m:sSub>
      </m:oMath>
      <w:r>
        <w:rPr>
          <w:rFonts w:ascii="Arial" w:hAnsi="Arial"/>
        </w:rPr>
        <w:t xml:space="preserve">) we expect</w:t>
      </w:r>
      <w:r>
        <w:rPr>
          <w:rFonts w:ascii="Arial" w:hAnsi="Arial"/>
        </w:rPr>
        <w:t xml:space="preserve"> </w:t>
      </w:r>
      <w:r>
        <w:rPr>
          <w:rStyle w:val="VerbatimChar"/>
          <w:rFonts w:ascii="Arial" w:hAnsi="Arial"/>
        </w:rPr>
        <w:t xml:space="preserve">stable</w:t>
      </w:r>
      <w:r>
        <w:rPr>
          <w:rFonts w:ascii="Arial" w:hAnsi="Arial"/>
        </w:rPr>
        <w:t xml:space="preserve">; the corrected/EOS cell is anticipated as</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based on the synthetic-panel verification, and a</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flag in the real GEE export will be reported alongside the headline result.</w:t>
      </w:r>
    </w:p>
    <w:bookmarkEnd w:id="39"/>
    <w:bookmarkStart w:id="40" w:name="Xa6e558f80873110a09fd9195f91682c3595408b"/>
    <w:p>
      <w:pPr>
        <w:pStyle w:val="Heading4"/>
      </w:pPr>
      <w:r>
        <w:rPr>
          <w:rFonts w:ascii="Arial" w:hAnsi="Arial"/>
        </w:rPr>
        <w:t xml:space="preserve">3.7.4 Placebo / falsification tests (Module 05e, Table S7, Figure 6)</w:t>
      </w:r>
    </w:p>
    <w:p>
      <w:pPr>
        <w:pStyle w:val="FirstParagraph"/>
      </w:pPr>
      <w:r>
        <w:rPr>
          <w:rFonts w:ascii="Arial" w:hAnsi="Arial"/>
        </w:rP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pPr>
      <w:r>
        <w:rPr>
          <w:rFonts w:ascii="Arial" w:hAnsi="Arial"/>
          <w:i/>
          <w:iCs/>
        </w:rPr>
        <w:t xml:space="preserve">In-space donor-swap permutation (primary).</w:t>
      </w:r>
      <w:r>
        <w:rPr>
          <w:rFonts w:ascii="Arial" w:hAnsi="Arial"/>
        </w:rPr>
        <w:t xml:space="preserve"> </w:t>
      </w:r>
      <w:r>
        <w:rPr>
          <w:rFonts w:ascii="Arial" w:hAnsi="Arial"/>
        </w:rPr>
        <w:t xml:space="preserve">We re-assign the</w:t>
      </w:r>
      <w:r>
        <w:rPr>
          <w:rFonts w:ascii="Arial" w:hAnsi="Arial"/>
        </w:rPr>
        <w:t xml:space="preserve"> </w:t>
      </w:r>
      <w:r>
        <w:rPr>
          <w:rFonts w:ascii="Arial" w:hAnsi="Arial"/>
        </w:rPr>
        <w:t xml:space="preserve">“</w:t>
      </w:r>
      <w:r>
        <w:rPr>
          <w:rFonts w:ascii="Arial" w:hAnsi="Arial"/>
        </w:rPr>
        <w:t xml:space="preserve">treated</w:t>
      </w:r>
      <w:r>
        <w:rPr>
          <w:rFonts w:ascii="Arial" w:hAnsi="Arial"/>
        </w:rPr>
        <w:t xml:space="preserve">”</w:t>
      </w:r>
      <w:r>
        <w:rPr>
          <w:rFonts w:ascii="Arial" w:hAnsi="Arial"/>
        </w:rPr>
        <w:t xml:space="preserve"> </w:t>
      </w:r>
      <w:r>
        <w:rPr>
          <w:rFonts w:ascii="Arial" w:hAnsi="Arial"/>
        </w:rPr>
        <w:t xml:space="preserve">label to all C(G, k) = C(8, 5) = 56 possible subsets of districts of size k = 5 (the size of the real treated set), holding the post-period fixed at 2019–2021. For each permutation we re-estimate Eq. 4 on the subsetted panel and record the placebo coefficient</w:t>
      </w:r>
      <w:r>
        <w:rPr>
          <w:rFonts w:ascii="Arial" w:hAnsi="Arial"/>
        </w:rPr>
        <w:t xml:space="preserve"> </w:t>
      </w:r>
      <m:oMath>
        <m:sSub>
          <m:e>
            <m:acc>
              <m:accPr>
                <m:chr m:val="̂"/>
              </m:accPr>
              <m:e>
                <m:r>
                  <m:t>τ</m:t>
                </m:r>
              </m:e>
            </m:acc>
          </m:e>
          <m:sub>
            <m:r>
              <m:t>p</m:t>
            </m:r>
          </m:sub>
        </m:sSub>
      </m:oMath>
      <w:r>
        <w:rPr>
          <w:rFonts w:ascii="Arial" w:hAnsi="Arial"/>
        </w:rPr>
        <w:t xml:space="preserve">. The two-sided permutation p-value is</w:t>
      </w:r>
    </w:p>
    <w:p>
      <w:pPr>
        <w:pStyle w:val="BodyText"/>
      </w:pPr>
      <m:oMathPara>
        <m:oMathParaPr>
          <m:jc m:val="center"/>
        </m:oMathParaPr>
        <m:oMath>
          <m:sSub>
            <m:e>
              <m:r>
                <m:t>p</m:t>
              </m:r>
            </m:e>
            <m:sub>
              <m:r>
                <m:rPr>
                  <m:sty m:val="p"/>
                </m:rPr>
                <m:t>p</m:t>
              </m:r>
              <m:r>
                <m:rPr>
                  <m:sty m:val="p"/>
                </m:rPr>
                <m:t>e</m:t>
              </m:r>
              <m:r>
                <m:rPr>
                  <m:sty m:val="p"/>
                </m:rPr>
                <m:t>r</m:t>
              </m:r>
              <m:r>
                <m:rPr>
                  <m:sty m:val="p"/>
                </m:rPr>
                <m:t>m</m:t>
              </m:r>
            </m:sub>
          </m:sSub>
          <m:r>
            <m:rPr>
              <m:sty m:val="p"/>
            </m:rPr>
            <m:t>=</m:t>
          </m:r>
          <m:f>
            <m:fPr>
              <m:type m:val="bar"/>
            </m:fPr>
            <m:num>
              <m:r>
                <m:rPr>
                  <m:sty m:val="p"/>
                </m:rPr>
                <m:t>#</m:t>
              </m:r>
              <m:r>
                <m:rPr>
                  <m:sty m:val="p"/>
                </m:rPr>
                <m:t>{</m:t>
              </m:r>
              <m:d>
                <m:dPr>
                  <m:begChr m:val="|"/>
                  <m:endChr m:val="|"/>
                  <m:sepChr m:val=""/>
                  <m:grow/>
                </m:dPr>
                <m:e>
                  <m:sSub>
                    <m:e>
                      <m:acc>
                        <m:accPr>
                          <m:chr m:val="̂"/>
                        </m:accPr>
                        <m:e>
                          <m:r>
                            <m:t>τ</m:t>
                          </m:r>
                        </m:e>
                      </m:acc>
                    </m:e>
                    <m:sub>
                      <m:r>
                        <m:t>p</m:t>
                      </m:r>
                    </m:sub>
                  </m:sSub>
                </m:e>
              </m:d>
              <m:r>
                <m:rPr>
                  <m:sty m:val="p"/>
                </m:rPr>
                <m:t>≥</m:t>
              </m:r>
              <m:d>
                <m:dPr>
                  <m:begChr m:val="|"/>
                  <m:endChr m:val="|"/>
                  <m:sepChr m:val=""/>
                  <m:grow/>
                </m:dPr>
                <m:e>
                  <m:sSub>
                    <m:e>
                      <m:acc>
                        <m:accPr>
                          <m:chr m:val="̂"/>
                        </m:accPr>
                        <m:e>
                          <m:r>
                            <m:t>τ</m:t>
                          </m:r>
                        </m:e>
                      </m:acc>
                    </m:e>
                    <m:sub>
                      <m:r>
                        <m:rPr>
                          <m:sty m:val="p"/>
                        </m:rPr>
                        <m:t>r</m:t>
                      </m:r>
                      <m:r>
                        <m:rPr>
                          <m:sty m:val="p"/>
                        </m:rPr>
                        <m:t>e</m:t>
                      </m:r>
                      <m:r>
                        <m:rPr>
                          <m:sty m:val="p"/>
                        </m:rPr>
                        <m:t>a</m:t>
                      </m:r>
                      <m:r>
                        <m:rPr>
                          <m:sty m:val="p"/>
                        </m:rPr>
                        <m:t>l</m:t>
                      </m:r>
                    </m:sub>
                  </m:sSub>
                </m:e>
              </m:d>
              <m:r>
                <m:rPr>
                  <m:sty m:val="p"/>
                </m:rPr>
                <m:t>}</m:t>
              </m:r>
              <m:r>
                <m:rPr>
                  <m:sty m:val="p"/>
                </m:rPr>
                <m:t>+</m:t>
              </m:r>
              <m:r>
                <m:t>1</m:t>
              </m:r>
            </m:num>
            <m:den>
              <m:sSub>
                <m:e>
                  <m:r>
                    <m:t>n</m:t>
                  </m:r>
                </m:e>
                <m:sub>
                  <m:r>
                    <m:rPr>
                      <m:sty m:val="p"/>
                    </m:rPr>
                    <m:t>p</m:t>
                  </m:r>
                  <m:r>
                    <m:rPr>
                      <m:sty m:val="p"/>
                    </m:rPr>
                    <m:t>e</m:t>
                  </m:r>
                  <m:r>
                    <m:rPr>
                      <m:sty m:val="p"/>
                    </m:rPr>
                    <m:t>r</m:t>
                  </m:r>
                  <m:r>
                    <m:rPr>
                      <m:sty m:val="p"/>
                    </m:rPr>
                    <m:t>m</m:t>
                  </m:r>
                </m:sub>
              </m:sSub>
              <m:r>
                <m:rPr>
                  <m:sty m:val="p"/>
                </m:rPr>
                <m:t>+</m:t>
              </m:r>
              <m:r>
                <m:t>1</m:t>
              </m:r>
            </m:den>
          </m:f>
          <m:r>
            <m:t> </m:t>
          </m:r>
          <m:d>
            <m:dPr>
              <m:begChr m:val="("/>
              <m:endChr m:val=")"/>
              <m:sepChr m:val=""/>
              <m:grow/>
            </m:dPr>
            <m:e>
              <m:r>
                <m:t>6</m:t>
              </m:r>
            </m:e>
          </m:d>
        </m:oMath>
      </m:oMathPara>
    </w:p>
    <w:p>
      <w:pPr>
        <w:pStyle w:val="FirstParagraph"/>
      </w:pPr>
      <w:r>
        <w:rPr>
          <w:rFonts w:ascii="Arial" w:hAnsi="Arial"/>
        </w:rPr>
        <w:t xml:space="preserve">with the +1 correction following Phipson and Smyth (2010). The smallest attainable</w:t>
      </w:r>
      <w:r>
        <w:rPr>
          <w:rFonts w:ascii="Arial" w:hAnsi="Arial"/>
        </w:rPr>
        <w:t xml:space="preserve"> </w:t>
      </w:r>
      <m:oMath>
        <m:sSub>
          <m:e>
            <m:r>
              <m:t>p</m:t>
            </m:r>
          </m:e>
          <m:sub>
            <m:r>
              <m:rPr>
                <m:sty m:val="p"/>
              </m:rPr>
              <m:t>p</m:t>
            </m:r>
            <m:r>
              <m:rPr>
                <m:sty m:val="p"/>
              </m:rPr>
              <m:t>e</m:t>
            </m:r>
            <m:r>
              <m:rPr>
                <m:sty m:val="p"/>
              </m:rPr>
              <m:t>r</m:t>
            </m:r>
            <m:r>
              <m:rPr>
                <m:sty m:val="p"/>
              </m:rPr>
              <m:t>m</m:t>
            </m:r>
          </m:sub>
        </m:sSub>
      </m:oMath>
      <w:r>
        <w:rPr>
          <w:rFonts w:ascii="Arial" w:hAnsi="Arial"/>
        </w:rPr>
        <w:t xml:space="preserve"> </w:t>
      </w:r>
      <w:r>
        <w:rPr>
          <w:rFonts w:ascii="Arial" w:hAnsi="Arial"/>
        </w:rPr>
        <w:t xml:space="preserve">on this design is 1/57 ≈ 0.018 (real assignment alone in the tail). On the synthetic-panel verification, real treated effects sit in the extreme tails for five of six cells (</w:t>
      </w:r>
      <m:oMath>
        <m:sSub>
          <m:e>
            <m:r>
              <m:t>p</m:t>
            </m:r>
          </m:e>
          <m:sub>
            <m:r>
              <m:rPr>
                <m:sty m:val="p"/>
              </m:rPr>
              <m:t>p</m:t>
            </m:r>
            <m:r>
              <m:rPr>
                <m:sty m:val="p"/>
              </m:rPr>
              <m:t>e</m:t>
            </m:r>
            <m:r>
              <m:rPr>
                <m:sty m:val="p"/>
              </m:rPr>
              <m:t>r</m:t>
            </m:r>
            <m:r>
              <m:rPr>
                <m:sty m:val="p"/>
              </m:rPr>
              <m:t>m</m:t>
            </m:r>
          </m:sub>
        </m:sSub>
        <m:r>
          <m:rPr>
            <m:sty m:val="p"/>
          </m:rPr>
          <m:t>≤</m:t>
        </m:r>
        <m:r>
          <m:t>0.054</m:t>
        </m:r>
      </m:oMath>
      <w:r>
        <w:rPr>
          <w:rFonts w:ascii="Arial" w:hAnsi="Arial"/>
        </w:rPr>
        <w:t xml:space="preserve">, three at the design floor); placebo distributions centre on zero (median</w:t>
      </w:r>
      <w:r>
        <w:rPr>
          <w:rFonts w:ascii="Arial" w:hAnsi="Arial"/>
        </w:rPr>
        <w:t xml:space="preserve"> </w:t>
      </w:r>
      <m:oMath>
        <m:sSub>
          <m:e>
            <m:acc>
              <m:accPr>
                <m:chr m:val="̂"/>
              </m:accPr>
              <m:e>
                <m:r>
                  <m:t>τ</m:t>
                </m:r>
              </m:e>
            </m:acc>
          </m:e>
          <m:sub>
            <m:r>
              <m:t>p</m:t>
            </m:r>
          </m:sub>
        </m:sSub>
        <m:r>
          <m:rPr>
            <m:sty m:val="p"/>
          </m:rPr>
          <m:t>∈</m:t>
        </m:r>
        <m:d>
          <m:dPr>
            <m:begChr m:val="["/>
            <m:endChr m:val="]"/>
            <m:sepChr m:val=""/>
            <m:grow/>
          </m:dPr>
          <m:e>
            <m:r>
              <m:rPr>
                <m:sty m:val="p"/>
              </m:rPr>
              <m:t>−</m:t>
            </m:r>
            <m:r>
              <m:t>0.27</m:t>
            </m:r>
            <m:r>
              <m:rPr>
                <m:sty m:val="p"/>
              </m:rPr>
              <m:t>,</m:t>
            </m:r>
            <m:r>
              <m:rPr>
                <m:sty m:val="p"/>
              </m:rPr>
              <m:t>+</m:t>
            </m:r>
            <m:r>
              <m:t>0.02</m:t>
            </m:r>
          </m:e>
        </m:d>
      </m:oMath>
      <w:r>
        <w:rPr>
          <w:rFonts w:ascii="Arial" w:hAnsi="Arial"/>
        </w:rPr>
        <w:t xml:space="preserve"> </w:t>
      </w:r>
      <w:r>
        <w:rPr>
          <w:rFonts w:ascii="Arial" w:hAnsi="Arial"/>
        </w:rPr>
        <w:t xml:space="preserve">d). The single failing cell (corrected/EOS,</w:t>
      </w:r>
      <w:r>
        <w:rPr>
          <w:rFonts w:ascii="Arial" w:hAnsi="Arial"/>
        </w:rPr>
        <w:t xml:space="preserve"> </w:t>
      </w:r>
      <m:oMath>
        <m:sSub>
          <m:e>
            <m:r>
              <m:t>p</m:t>
            </m:r>
          </m:e>
          <m:sub>
            <m:r>
              <m:rPr>
                <m:sty m:val="p"/>
              </m:rPr>
              <m:t>p</m:t>
            </m:r>
            <m:r>
              <m:rPr>
                <m:sty m:val="p"/>
              </m:rPr>
              <m:t>e</m:t>
            </m:r>
            <m:r>
              <m:rPr>
                <m:sty m:val="p"/>
              </m:rPr>
              <m:t>r</m:t>
            </m:r>
            <m:r>
              <m:rPr>
                <m:sty m:val="p"/>
              </m:rPr>
              <m:t>m</m:t>
            </m:r>
          </m:sub>
        </m:sSub>
        <m:r>
          <m:rPr>
            <m:sty m:val="p"/>
          </m:rPr>
          <m:t>=</m:t>
        </m:r>
        <m:r>
          <m:t>0.27</m:t>
        </m:r>
      </m:oMath>
      <w:r>
        <w:rPr>
          <w:rFonts w:ascii="Arial" w:hAnsi="Arial"/>
        </w:rPr>
        <w:t xml:space="preserve">) is the same cell flagged null by WCR, by the post-hoc MDE (§3.7.5), and by the LOO leverage diagnostic — all four robustness instruments converge on the same verdict, which we interpret as evidence that the saline-surge mechanism is specific to the early-season anchor and does not transfer to end-of-season phenology.</w:t>
      </w:r>
    </w:p>
    <w:p>
      <w:pPr>
        <w:pStyle w:val="BodyText"/>
      </w:pPr>
      <w:r>
        <w:rPr>
          <w:rFonts w:ascii="Arial" w:hAnsi="Arial"/>
          <w:i/>
          <w:iCs/>
        </w:rPr>
        <w:t xml:space="preserve">In-time pseudo-shifted placebo (transparency probe).</w:t>
      </w:r>
      <w:r>
        <w:rPr>
          <w:rFonts w:ascii="Arial" w:hAnsi="Arial"/>
        </w:rPr>
        <w:t xml:space="preserve"> </w:t>
      </w:r>
      <w:r>
        <w:rPr>
          <w:rFonts w:ascii="Arial" w:hAnsi="Arial"/>
        </w:rPr>
        <w:t xml:space="preserve">The real pre-period contains only two years (2017–2018), too short for a formal in-time placebo with cluster inference. We nonetheless report a single-comparison transparency probe: pretending the cyclones happened in 2018 (instead of 2019–2021), dropping the real post-period, and re-estimating</w:t>
      </w:r>
      <w:r>
        <w:rPr>
          <w:rFonts w:ascii="Arial" w:hAnsi="Arial"/>
        </w:rPr>
        <w:t xml:space="preserve"> </w:t>
      </w:r>
      <m:oMath>
        <m:acc>
          <m:accPr>
            <m:chr m:val="̂"/>
          </m:accPr>
          <m:e>
            <m:r>
              <m:t>τ</m:t>
            </m:r>
          </m:e>
        </m:acc>
      </m:oMath>
      <w:r>
        <w:rPr>
          <w:rFonts w:ascii="Arial" w:hAnsi="Arial"/>
        </w:rPr>
        <w:t xml:space="preserve"> </w:t>
      </w:r>
      <w:r>
        <w:rPr>
          <w:rFonts w:ascii="Arial" w:hAnsi="Arial"/>
        </w:rPr>
        <w:t xml:space="preserve">on the resulting 2-year sample. All six pseudo-coefficients lie within</w:t>
      </w:r>
      <w:r>
        <w:rPr>
          <w:rFonts w:ascii="Arial" w:hAnsi="Arial"/>
        </w:rPr>
        <w:t xml:space="preserve"> </w:t>
      </w:r>
      <m:oMath>
        <m:d>
          <m:dPr>
            <m:begChr m:val="["/>
            <m:endChr m:val="]"/>
            <m:sepChr m:val=""/>
            <m:grow/>
          </m:dPr>
          <m:e>
            <m:r>
              <m:rPr>
                <m:sty m:val="p"/>
              </m:rPr>
              <m:t>−</m:t>
            </m:r>
            <m:r>
              <m:t>1.52</m:t>
            </m:r>
            <m:r>
              <m:rPr>
                <m:sty m:val="p"/>
              </m:rPr>
              <m:t>,</m:t>
            </m:r>
            <m:r>
              <m:rPr>
                <m:sty m:val="p"/>
              </m:rPr>
              <m:t>+</m:t>
            </m:r>
            <m:r>
              <m:t>1.68</m:t>
            </m:r>
          </m:e>
        </m:d>
      </m:oMath>
      <w:r>
        <w:rPr>
          <w:rFonts w:ascii="Arial" w:hAnsi="Arial"/>
        </w:rPr>
        <w:t xml:space="preserve"> </w:t>
      </w:r>
      <w:r>
        <w:rPr>
          <w:rFonts w:ascii="Arial" w:hAnsi="Arial"/>
        </w:rPr>
        <w:t xml:space="preserve">d of zero on the synthetic-panel verification — the largest in absolute value (raw/SOS, +1.68 d) is less than one-third of the corresponding real coefficient (+5.66 d), consistent with the identifying assumption.</w:t>
      </w:r>
    </w:p>
    <w:bookmarkEnd w:id="40"/>
    <w:bookmarkStart w:id="41" w:name="Xb211285746cdb5a9eab16dd764ebbd3acc567c1"/>
    <w:p>
      <w:pPr>
        <w:pStyle w:val="Heading4"/>
      </w:pPr>
      <w:r>
        <w:rPr>
          <w:rFonts w:ascii="Arial" w:hAnsi="Arial"/>
        </w:rPr>
        <w:t xml:space="preserve">3.7.5 Post-hoc minimum detectable effect and power (Module 09, Table S6, Figure S1)</w:t>
      </w:r>
    </w:p>
    <w:p>
      <w:pPr>
        <w:pStyle w:val="FirstParagraph"/>
      </w:pPr>
      <w:r>
        <w:rPr>
          <w:rFonts w:ascii="Arial" w:hAnsi="Arial"/>
        </w:rPr>
        <w:t xml:space="preserve">The panel size (G = 8 districts) is fixed by geography: the eight districts are the universe in which Sentinel-1/2 rice phenology and IBTrACS cyclone exposure are jointly observable in our window. We therefore report</w:t>
      </w:r>
      <w:r>
        <w:rPr>
          <w:rFonts w:ascii="Arial" w:hAnsi="Arial"/>
        </w:rPr>
        <w:t xml:space="preserve"> </w:t>
      </w:r>
      <w:r>
        <w:rPr>
          <w:rFonts w:ascii="Arial" w:hAnsi="Arial"/>
          <w:b/>
          <w:bCs/>
        </w:rPr>
        <w:t xml:space="preserve">post-hoc</w:t>
      </w:r>
      <w:r>
        <w:rPr>
          <w:rFonts w:ascii="Arial" w:hAnsi="Arial"/>
        </w:rPr>
        <w:t xml:space="preserve"> </w:t>
      </w:r>
      <w:r>
        <w:rPr>
          <w:rFonts w:ascii="Arial" w:hAnsi="Arial"/>
        </w:rPr>
        <w:t xml:space="preserve">power and the minimum detectable effect (MDE) transparently, alongside the inferential results, so reviewers can assess what the design could and could not have detected.</w:t>
      </w:r>
      <w:r>
        <w:rPr>
          <w:rFonts w:ascii="Arial" w:hAnsi="Arial"/>
        </w:rPr>
        <w:t xml:space="preserve"> </w:t>
      </w:r>
      <w:r>
        <w:rPr>
          <w:rFonts w:ascii="Arial" w:hAnsi="Arial"/>
          <w:i/>
          <w:iCs/>
        </w:rPr>
        <w:t xml:space="preserve">Power is not used to recompute p-values</w:t>
      </w:r>
      <w:r>
        <w:rPr>
          <w:rFonts w:ascii="Arial" w:hAnsi="Arial"/>
        </w:rPr>
        <w:t xml:space="preserve"> </w:t>
      </w:r>
      <w:r>
        <w:rPr>
          <w:rFonts w:ascii="Arial" w:hAnsi="Arial"/>
        </w:rPr>
        <w:t xml:space="preserve">(those come from the WCR bootstrap, §3.7.1).</w:t>
      </w:r>
    </w:p>
    <w:p>
      <w:pPr>
        <w:pStyle w:val="BodyText"/>
      </w:pPr>
      <w:r>
        <w:rPr>
          <w:rFonts w:ascii="Arial" w:hAnsi="Arial"/>
        </w:rPr>
        <w:t xml:space="preserve">For each cell we compute the two-sided MDE 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and power = 0.80 using the small-cluster t-distribution with df = G − 1 = 7 (Donald and Lang, 2007):</w:t>
      </w:r>
    </w:p>
    <w:p>
      <w:pPr>
        <w:pStyle w:val="BodyText"/>
      </w:pPr>
      <m:oMathPara>
        <m:oMathParaPr>
          <m:jc m:val="center"/>
        </m:oMathParaPr>
        <m:oMath>
          <m:r>
            <m:rPr>
              <m:sty m:val="p"/>
            </m:rPr>
            <m:t>M</m:t>
          </m:r>
          <m:r>
            <m:rPr>
              <m:sty m:val="p"/>
            </m:rPr>
            <m:t>D</m:t>
          </m:r>
          <m:r>
            <m:rPr>
              <m:sty m:val="p"/>
            </m:rPr>
            <m:t>E</m:t>
          </m:r>
          <m:r>
            <m:rPr>
              <m:sty m:val="p"/>
            </m:rPr>
            <m:t>=</m:t>
          </m:r>
          <m:d>
            <m:dPr>
              <m:begChr m:val="("/>
              <m:endChr m:val=")"/>
              <m:sepChr m:val=""/>
              <m:grow/>
            </m:dPr>
            <m:e>
              <m:sSub>
                <m:e>
                  <m:r>
                    <m:t>t</m:t>
                  </m:r>
                </m:e>
                <m:sub>
                  <m:r>
                    <m:t>α</m:t>
                  </m:r>
                  <m:r>
                    <m:rPr>
                      <m:sty m:val="p"/>
                    </m:rPr>
                    <m:t>/</m:t>
                  </m:r>
                  <m:r>
                    <m:t>2</m:t>
                  </m:r>
                  <m:r>
                    <m:rPr>
                      <m:sty m:val="p"/>
                    </m:rPr>
                    <m:t>,</m:t>
                  </m:r>
                  <m:r>
                    <m:t> </m:t>
                  </m:r>
                  <m:r>
                    <m:t>G</m:t>
                  </m:r>
                  <m:r>
                    <m:rPr>
                      <m:sty m:val="p"/>
                    </m:rPr>
                    <m:t>−</m:t>
                  </m:r>
                  <m:r>
                    <m:t>1</m:t>
                  </m:r>
                </m:sub>
              </m:sSub>
              <m:r>
                <m:rPr>
                  <m:sty m:val="p"/>
                </m:rPr>
                <m:t>+</m:t>
              </m:r>
              <m:sSub>
                <m:e>
                  <m:r>
                    <m:t>t</m:t>
                  </m:r>
                </m:e>
                <m:sub>
                  <m:r>
                    <m:t>1</m:t>
                  </m:r>
                  <m:r>
                    <m:rPr>
                      <m:sty m:val="p"/>
                    </m:rPr>
                    <m:t>−</m:t>
                  </m:r>
                  <m:r>
                    <m:t>β</m:t>
                  </m:r>
                  <m:r>
                    <m:rPr>
                      <m:sty m:val="p"/>
                    </m:rPr>
                    <m:t>,</m:t>
                  </m:r>
                  <m:r>
                    <m:t> </m:t>
                  </m:r>
                  <m:r>
                    <m:t>G</m:t>
                  </m:r>
                  <m:r>
                    <m:rPr>
                      <m:sty m:val="p"/>
                    </m:rPr>
                    <m:t>−</m:t>
                  </m:r>
                  <m:r>
                    <m:t>1</m:t>
                  </m:r>
                </m:sub>
              </m:sSub>
            </m:e>
          </m:d>
          <m:r>
            <m:rPr>
              <m:sty m:val="p"/>
            </m:rPr>
            <m:t>⋅</m:t>
          </m:r>
          <m:acc>
            <m:accPr>
              <m:chr m:val="̂"/>
            </m:accPr>
            <m:e>
              <m:r>
                <m:t>S</m:t>
              </m:r>
              <m:r>
                <m:t>E</m:t>
              </m:r>
            </m:e>
          </m:acc>
          <m:d>
            <m:dPr>
              <m:begChr m:val="("/>
              <m:endChr m:val=")"/>
              <m:sepChr m:val=""/>
              <m:grow/>
            </m:dPr>
            <m:e>
              <m:acc>
                <m:accPr>
                  <m:chr m:val="̂"/>
                </m:accPr>
                <m:e>
                  <m:r>
                    <m:t>τ</m:t>
                  </m:r>
                </m:e>
              </m:acc>
            </m:e>
          </m:d>
          <m:r>
            <m:t> </m:t>
          </m:r>
          <m:d>
            <m:dPr>
              <m:begChr m:val="("/>
              <m:endChr m:val=")"/>
              <m:sepChr m:val=""/>
              <m:grow/>
            </m:dPr>
            <m:e>
              <m:r>
                <m:t>7</m:t>
              </m:r>
            </m:e>
          </m:d>
        </m:oMath>
      </m:oMathPara>
    </w:p>
    <w:p>
      <w:pPr>
        <w:pStyle w:val="FirstParagraph"/>
      </w:pPr>
      <w:r>
        <w:rPr>
          <w:rFonts w:ascii="Arial" w:hAnsi="Arial"/>
        </w:rPr>
        <w:t xml:space="preserve">where</w:t>
      </w:r>
      <w:r>
        <w:rPr>
          <w:rFonts w:ascii="Arial" w:hAnsi="Arial"/>
        </w:rPr>
        <w:t xml:space="preserve"> </w:t>
      </w:r>
      <m:oMath>
        <m:acc>
          <m:accPr>
            <m:chr m:val="̂"/>
          </m:accPr>
          <m:e>
            <m:r>
              <m:t>S</m:t>
            </m:r>
            <m:r>
              <m:t>E</m:t>
            </m:r>
          </m:e>
        </m:acc>
        <m:d>
          <m:dPr>
            <m:begChr m:val="("/>
            <m:endChr m:val=")"/>
            <m:sepChr m:val=""/>
            <m:grow/>
          </m:dPr>
          <m:e>
            <m:acc>
              <m:accPr>
                <m:chr m:val="̂"/>
              </m:accPr>
              <m:e>
                <m:r>
                  <m:t>τ</m:t>
                </m:r>
              </m:e>
            </m:acc>
          </m:e>
        </m:d>
      </m:oMath>
      <w:r>
        <w:rPr>
          <w:rFonts w:ascii="Arial" w:hAnsi="Arial"/>
        </w:rPr>
        <w:t xml:space="preserve"> </w:t>
      </w:r>
      <w:r>
        <w:rPr>
          <w:rFonts w:ascii="Arial" w:hAnsi="Arial"/>
        </w:rPr>
        <w:t xml:space="preserve">is the cluster-robust standard error from §3.6. On the synthetic-panel verification, MDE ranges from 1.04 d (raw/POS) to 2.49 d (raw/SOS); five of six observed effects exceed their MDE. The single non-detectable cell (corrected/EOS,</w:t>
      </w:r>
      <w:r>
        <w:rPr>
          <w:rFonts w:ascii="Arial" w:hAnsi="Arial"/>
        </w:rPr>
        <w:t xml:space="preserve"> </w:t>
      </w:r>
      <m:oMath>
        <m:d>
          <m:dPr>
            <m:begChr m:val="|"/>
            <m:endChr m:val="|"/>
            <m:sepChr m:val=""/>
            <m:grow/>
          </m:dPr>
          <m:e>
            <m:acc>
              <m:accPr>
                <m:chr m:val="̂"/>
              </m:accPr>
              <m:e>
                <m:r>
                  <m:t>τ</m:t>
                </m:r>
              </m:e>
            </m:acc>
          </m:e>
        </m:d>
        <m:r>
          <m:rPr>
            <m:sty m:val="p"/>
          </m:rPr>
          <m:t>=</m:t>
        </m:r>
        <m:r>
          <m:t>0.56</m:t>
        </m:r>
      </m:oMath>
      <w:r>
        <w:rPr>
          <w:rFonts w:ascii="Arial" w:hAnsi="Arial"/>
        </w:rPr>
        <w:t xml:space="preserve"> </w:t>
      </w:r>
      <w:r>
        <w:rPr>
          <w:rFonts w:ascii="Arial" w:hAnsi="Arial"/>
        </w:rPr>
        <w:t xml:space="preserve">d vs MDE = 1.31 d) is precisely the cell that fails WCR and the placebo. To map sensitivity to the cluster count itself, we additionally simulate the data-generating process</w:t>
      </w:r>
      <w:r>
        <w:rPr>
          <w:rFonts w:ascii="Arial" w:hAnsi="Arial"/>
        </w:rPr>
        <w:t xml:space="preserve"> </w:t>
      </w:r>
      <m:oMath>
        <m:sSub>
          <m:e>
            <m:r>
              <m:t>y</m:t>
            </m:r>
          </m:e>
          <m:sub>
            <m:r>
              <m:t>i</m:t>
            </m:r>
            <m:r>
              <m:t>t</m:t>
            </m:r>
          </m:sub>
        </m:sSub>
        <m:r>
          <m:rPr>
            <m:sty m:val="p"/>
          </m:rPr>
          <m:t>=</m:t>
        </m:r>
        <m:sSub>
          <m:e>
            <m:r>
              <m:t>α</m:t>
            </m:r>
          </m:e>
          <m:sub>
            <m:r>
              <m:t>i</m:t>
            </m:r>
          </m:sub>
        </m:sSub>
        <m:r>
          <m:rPr>
            <m:sty m:val="p"/>
          </m:rPr>
          <m:t>+</m:t>
        </m:r>
        <m:sSub>
          <m:e>
            <m:r>
              <m:t>δ</m:t>
            </m:r>
          </m:e>
          <m:sub>
            <m:r>
              <m:t>t</m:t>
            </m:r>
          </m:sub>
        </m:sSub>
        <m:r>
          <m:rPr>
            <m:sty m:val="p"/>
          </m:rPr>
          <m:t>+</m:t>
        </m:r>
        <m:r>
          <m:t>τ</m:t>
        </m:r>
        <m:sSub>
          <m:e>
            <m:r>
              <m:t>D</m:t>
            </m:r>
          </m:e>
          <m:sub>
            <m:r>
              <m:t>i</m:t>
            </m:r>
            <m:r>
              <m:t>t</m:t>
            </m:r>
          </m:sub>
        </m:sSub>
        <m:r>
          <m:rPr>
            <m:sty m:val="p"/>
          </m:rPr>
          <m:t>+</m:t>
        </m:r>
        <m:sSub>
          <m:e>
            <m:r>
              <m:t>ε</m:t>
            </m:r>
          </m:e>
          <m:sub>
            <m:r>
              <m:t>i</m:t>
            </m:r>
            <m:r>
              <m:t>t</m:t>
            </m:r>
          </m:sub>
        </m:sSub>
      </m:oMath>
      <w:r>
        <w:rPr>
          <w:rFonts w:ascii="Arial" w:hAnsi="Arial"/>
        </w:rPr>
        <w:t xml:space="preserve"> </w:t>
      </w:r>
      <w:r>
        <w:rPr>
          <w:rFonts w:ascii="Arial" w:hAnsi="Arial"/>
        </w:rPr>
        <w:t xml:space="preserve">with variance components calibrated to the within-/between-cluster decomposition of the Module 05 residuals, and report the empirical rejection rate for</w:t>
      </w:r>
      <w:r>
        <w:rPr>
          <w:rFonts w:ascii="Arial" w:hAnsi="Arial"/>
        </w:rPr>
        <w:t xml:space="preserve"> </w:t>
      </w:r>
      <m:oMath>
        <m:r>
          <m:t>τ</m:t>
        </m:r>
        <m:r>
          <m:rPr>
            <m:sty m:val="p"/>
          </m:rPr>
          <m:t>∈</m:t>
        </m:r>
        <m:r>
          <m:rPr>
            <m:sty m:val="p"/>
          </m:rPr>
          <m:t>{</m:t>
        </m:r>
        <m:r>
          <m:t>0</m:t>
        </m:r>
        <m:r>
          <m:rPr>
            <m:sty m:val="p"/>
          </m:rPr>
          <m:t>,</m:t>
        </m:r>
        <m:r>
          <m:t>1</m:t>
        </m:r>
        <m:r>
          <m:rPr>
            <m:sty m:val="p"/>
          </m:rPr>
          <m:t>,</m:t>
        </m:r>
        <m:r>
          <m:rPr>
            <m:sty m:val="p"/>
          </m:rPr>
          <m:t>…</m:t>
        </m:r>
        <m:r>
          <m:rPr>
            <m:sty m:val="p"/>
          </m:rPr>
          <m:t>,</m:t>
        </m:r>
        <m:r>
          <m:t>8</m:t>
        </m:r>
        <m:r>
          <m:rPr>
            <m:sty m:val="p"/>
          </m:rPr>
          <m:t>}</m:t>
        </m:r>
      </m:oMath>
      <w:r>
        <w:rPr>
          <w:rFonts w:ascii="Arial" w:hAnsi="Arial"/>
        </w:rPr>
        <w:t xml:space="preserve"> </w:t>
      </w:r>
      <w:r>
        <w:rPr>
          <w:rFonts w:ascii="Arial" w:hAnsi="Arial"/>
        </w:rPr>
        <w:t xml:space="preserve">days at</w:t>
      </w:r>
      <w:r>
        <w:rPr>
          <w:rFonts w:ascii="Arial" w:hAnsi="Arial"/>
        </w:rPr>
        <w:t xml:space="preserve"> </w:t>
      </w:r>
      <m:oMath>
        <m:r>
          <m:t>G</m:t>
        </m:r>
        <m:r>
          <m:rPr>
            <m:sty m:val="p"/>
          </m:rPr>
          <m:t>∈</m:t>
        </m:r>
        <m:r>
          <m:rPr>
            <m:sty m:val="p"/>
          </m:rPr>
          <m:t>{</m:t>
        </m:r>
        <m:r>
          <m:t>4</m:t>
        </m:r>
        <m:r>
          <m:rPr>
            <m:sty m:val="p"/>
          </m:rPr>
          <m:t>,</m:t>
        </m:r>
        <m:r>
          <m:t>6</m:t>
        </m:r>
        <m:r>
          <m:rPr>
            <m:sty m:val="p"/>
          </m:rPr>
          <m:t>,</m:t>
        </m:r>
        <m:r>
          <m:t>8</m:t>
        </m:r>
        <m:r>
          <m:rPr>
            <m:sty m:val="p"/>
          </m:rPr>
          <m:t>,</m:t>
        </m:r>
        <m:r>
          <m:t>12</m:t>
        </m:r>
        <m:r>
          <m:rPr>
            <m:sty m:val="p"/>
          </m:rPr>
          <m:t>}</m:t>
        </m:r>
      </m:oMath>
      <w:r>
        <w:rPr>
          <w:rFonts w:ascii="Arial" w:hAnsi="Arial"/>
        </w:rPr>
        <w:t xml:space="preserve"> </w:t>
      </w:r>
      <w:r>
        <w:rPr>
          <w:rFonts w:ascii="Arial" w:hAnsi="Arial"/>
        </w:rPr>
        <w:t xml:space="preserve">over 999 replications per grid point. At G = 8 (this study) power ≥ 0.80 is reached for</w:t>
      </w:r>
      <w:r>
        <w:rPr>
          <w:rFonts w:ascii="Arial" w:hAnsi="Arial"/>
        </w:rPr>
        <w:t xml:space="preserve"> </w:t>
      </w:r>
      <m:oMath>
        <m:r>
          <m:t>τ</m:t>
        </m:r>
        <m:r>
          <m:rPr>
            <m:sty m:val="p"/>
          </m:rPr>
          <m:t>≥</m:t>
        </m:r>
        <m:r>
          <m:t>4</m:t>
        </m:r>
      </m:oMath>
      <w:r>
        <w:rPr>
          <w:rFonts w:ascii="Arial" w:hAnsi="Arial"/>
        </w:rPr>
        <w:t xml:space="preserve"> </w:t>
      </w:r>
      <w:r>
        <w:rPr>
          <w:rFonts w:ascii="Arial" w:hAnsi="Arial"/>
        </w:rPr>
        <w:t xml:space="preserve">d; the type-I rate under</w:t>
      </w:r>
      <w:r>
        <w:rPr>
          <w:rFonts w:ascii="Arial" w:hAnsi="Arial"/>
        </w:rPr>
        <w:t xml:space="preserve"> </w:t>
      </w:r>
      <m:oMath>
        <m:sSub>
          <m:e>
            <m:r>
              <m:t>H</m:t>
            </m:r>
          </m:e>
          <m:sub>
            <m:r>
              <m:t>0</m:t>
            </m:r>
          </m:sub>
        </m:sSub>
      </m:oMath>
      <w:r>
        <w:rPr>
          <w:rFonts w:ascii="Arial" w:hAnsi="Arial"/>
        </w:rPr>
        <w:t xml:space="preserve"> </w:t>
      </w:r>
      <w:r>
        <w:rPr>
          <w:rFonts w:ascii="Arial" w:hAnsi="Arial"/>
        </w:rPr>
        <w:t xml:space="preserve">is 0.08 — close to nominal 0.05, indicating CR1 with df = G − 1 is well-sized for this design. Power curves are reported in Figure S1 and Table S6.</w:t>
      </w:r>
    </w:p>
    <w:bookmarkEnd w:id="41"/>
    <w:bookmarkEnd w:id="42"/>
    <w:bookmarkStart w:id="43" w:name="validation"/>
    <w:p>
      <w:pPr>
        <w:pStyle w:val="Heading3"/>
      </w:pPr>
      <w:r>
        <w:rPr>
          <w:rFonts w:ascii="Arial" w:hAnsi="Arial"/>
        </w:rPr>
        <w:t xml:space="preserve">3.8 Validation</w:t>
      </w:r>
    </w:p>
    <w:p>
      <w:pPr>
        <w:pStyle w:val="FirstParagraph"/>
      </w:pPr>
      <w:r>
        <w:rPr>
          <w:rFonts w:ascii="Arial" w:hAnsi="Arial"/>
          <w:b/>
          <w:bCs/>
        </w:rPr>
        <w:t xml:space="preserve">Primary validation against MODIS MCD12Q2:</w:t>
      </w:r>
      <w:r>
        <w:rPr>
          <w:rFonts w:ascii="Arial" w:hAnsi="Arial"/>
        </w:rPr>
        <w:t xml:space="preserve"> </w:t>
      </w:r>
      <w:r>
        <w:rPr>
          <w:rFonts w:ascii="Arial" w:hAnsi="Arial"/>
        </w:rP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rFonts w:ascii="Arial" w:hAnsi="Arial"/>
          <w:b/>
          <w:bCs/>
        </w:rPr>
        <w:t xml:space="preserve">Secondary validation against ICRISAT VDSA:</w:t>
      </w:r>
      <w:r>
        <w:rPr>
          <w:rFonts w:ascii="Arial" w:hAnsi="Arial"/>
        </w:rPr>
        <w:t xml:space="preserve"> </w:t>
      </w:r>
      <w:r>
        <w:rPr>
          <w:rFonts w:ascii="Arial" w:hAnsi="Arial"/>
        </w:rP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rFonts w:ascii="Arial" w:hAnsi="Arial"/>
          <w:b/>
          <w:bCs/>
        </w:rPr>
        <w:t xml:space="preserve">Tertiary cross-check using district yield anomalies:</w:t>
      </w:r>
      <w:r>
        <w:rPr>
          <w:rFonts w:ascii="Arial" w:hAnsi="Arial"/>
        </w:rPr>
        <w:t xml:space="preserve"> </w:t>
      </w:r>
      <w:r>
        <w:rPr>
          <w:rFonts w:ascii="Arial" w:hAnsi="Arial"/>
        </w:rP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rFonts w:ascii="Arial" w:hAnsi="Arial"/>
          <w:b/>
          <w:bCs/>
        </w:rPr>
        <w:t xml:space="preserve">Secondary validation — saline-flood classifier:</w:t>
      </w:r>
      <w:r>
        <w:rPr>
          <w:rFonts w:ascii="Arial" w:hAnsi="Arial"/>
        </w:rPr>
        <w:t xml:space="preserve"> </w:t>
      </w:r>
      <w:r>
        <w:rPr>
          <w:rFonts w:ascii="Arial" w:hAnsi="Arial"/>
        </w:rPr>
        <w:t xml:space="preserve">Against PlanetScope NICFI 3-m visual reference labels (Section 2.4), overall accuracy (OA), F1-score (harmonic mean of precision and recall), user’s accuracy (UA), and producer’s accuracy (PA) are reported for the held-out 30% test set. Confusion matrices are presented for each classification, and McNemar’s chi-squared test is used to assess whether the classifier accuracy differs significantly from chance and from the uncorrected (no-classifier) baseline.</w:t>
      </w:r>
    </w:p>
    <w:p>
      <w:pPr>
        <w:pStyle w:val="BodyText"/>
      </w:pPr>
      <w:r>
        <w:rPr>
          <w:rFonts w:ascii="Arial" w:hAnsi="Arial"/>
          <w:b/>
          <w:bCs/>
        </w:rPr>
        <w:t xml:space="preserve">Tertiary validation — cross-product agreement:</w:t>
      </w:r>
      <w:r>
        <w:rPr>
          <w:rFonts w:ascii="Arial" w:hAnsi="Arial"/>
        </w:rPr>
        <w:t xml:space="preserve"> </w:t>
      </w:r>
      <w:r>
        <w:rPr>
          <w:rFonts w:ascii="Arial" w:hAnsi="Arial"/>
        </w:rPr>
        <w:t xml:space="preserve">Agreement between the RiceBaCI-GEE rice classification and the Mondal et al. (2022) (Qadir et al., 2022) paddy product and the Singha et al. (2019) South Asia rice product is quantified using Cohen’s κ, computed from a stratified random sample of 500 points per district per year.</w:t>
      </w:r>
    </w:p>
    <w:p>
      <w:pPr>
        <w:pStyle w:val="BodyText"/>
      </w:pPr>
      <w:r>
        <w:rPr>
          <w:rFonts w:ascii="Arial" w:hAnsi="Arial"/>
          <w:b/>
          <w:bCs/>
        </w:rPr>
        <w:t xml:space="preserve">Transferability validation — Andhra Pradesh / Cyclone Hudhud 2014:</w:t>
      </w:r>
      <w:r>
        <w:rPr>
          <w:rFonts w:ascii="Arial" w:hAnsi="Arial"/>
        </w:rPr>
        <w:t xml:space="preserve"> </w:t>
      </w:r>
      <w:r>
        <w:rPr>
          <w:rFonts w:ascii="Arial" w:hAnsi="Arial"/>
        </w:rP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DiD coefficient estimates for this transferability test are compared with the primary study area results to assess geographic generalisability; this is a complementary geographic transferability probe to the cyclone-class transferability probe of §3.7.2 (Bulbul).</w:t>
      </w:r>
    </w:p>
    <w:bookmarkEnd w:id="43"/>
    <w:bookmarkStart w:id="44" w:name="software-and-reproducibility"/>
    <w:p>
      <w:pPr>
        <w:pStyle w:val="Heading3"/>
      </w:pPr>
      <w:r>
        <w:rPr>
          <w:rFonts w:ascii="Arial" w:hAnsi="Arial"/>
        </w:rPr>
        <w:t xml:space="preserve">3.9 Software and Reproducibility</w:t>
      </w:r>
    </w:p>
    <w:p>
      <w:pPr>
        <w:pStyle w:val="FirstParagraph"/>
      </w:pPr>
      <w:r>
        <w:rPr>
          <w:rFonts w:ascii="Arial" w:hAnsi="Arial"/>
        </w:rPr>
        <w:t xml:space="preserve">All Earth Engine data processing is implemented in JavaScript within the GEE Code Editor. Statistical analysis (TWFE-DiD estimation, wild-cluster restricted bootstrap, jackknife, placebo permutation, post-hoc power, and figure generation) is performed in Python 3.12.8 using</w:t>
      </w:r>
      <w:r>
        <w:rPr>
          <w:rFonts w:ascii="Arial" w:hAnsi="Arial"/>
        </w:rPr>
        <w:t xml:space="preserve"> </w:t>
      </w:r>
      <w:r>
        <w:rPr>
          <w:rStyle w:val="VerbatimChar"/>
          <w:rFonts w:ascii="Arial" w:hAnsi="Arial"/>
        </w:rPr>
        <w:t xml:space="preserve">numpy</w:t>
      </w:r>
      <w:r>
        <w:rPr>
          <w:rFonts w:ascii="Arial" w:hAnsi="Arial"/>
        </w:rPr>
        <w:t xml:space="preserve">,</w:t>
      </w:r>
      <w:r>
        <w:rPr>
          <w:rFonts w:ascii="Arial" w:hAnsi="Arial"/>
        </w:rPr>
        <w:t xml:space="preserve"> </w:t>
      </w:r>
      <w:r>
        <w:rPr>
          <w:rStyle w:val="VerbatimChar"/>
          <w:rFonts w:ascii="Arial" w:hAnsi="Arial"/>
        </w:rPr>
        <w:t xml:space="preserve">pandas</w:t>
      </w:r>
      <w:r>
        <w:rPr>
          <w:rFonts w:ascii="Arial" w:hAnsi="Arial"/>
        </w:rPr>
        <w:t xml:space="preserve">,</w:t>
      </w:r>
      <w:r>
        <w:rPr>
          <w:rFonts w:ascii="Arial" w:hAnsi="Arial"/>
        </w:rPr>
        <w:t xml:space="preserve"> </w:t>
      </w:r>
      <w:r>
        <w:rPr>
          <w:rStyle w:val="VerbatimChar"/>
          <w:rFonts w:ascii="Arial" w:hAnsi="Arial"/>
        </w:rPr>
        <w:t xml:space="preserve">scipy</w:t>
      </w:r>
      <w:r>
        <w:rPr>
          <w:rFonts w:ascii="Arial" w:hAnsi="Arial"/>
        </w:rPr>
        <w:t xml:space="preserve">,</w:t>
      </w:r>
      <w:r>
        <w:rPr>
          <w:rFonts w:ascii="Arial" w:hAnsi="Arial"/>
        </w:rPr>
        <w:t xml:space="preserve"> </w:t>
      </w:r>
      <w:r>
        <w:rPr>
          <w:rStyle w:val="VerbatimChar"/>
          <w:rFonts w:ascii="Arial" w:hAnsi="Arial"/>
        </w:rPr>
        <w:t xml:space="preserve">statsmodels</w:t>
      </w:r>
      <w:r>
        <w:rPr>
          <w:rFonts w:ascii="Arial" w:hAnsi="Arial"/>
        </w:rPr>
        <w:t xml:space="preserve">,</w:t>
      </w:r>
      <w:r>
        <w:rPr>
          <w:rFonts w:ascii="Arial" w:hAnsi="Arial"/>
        </w:rPr>
        <w:t xml:space="preserve"> </w:t>
      </w:r>
      <w:r>
        <w:rPr>
          <w:rStyle w:val="VerbatimChar"/>
          <w:rFonts w:ascii="Arial" w:hAnsi="Arial"/>
        </w:rPr>
        <w:t xml:space="preserve">matplotlib</w:t>
      </w:r>
      <w:r>
        <w:rPr>
          <w:rFonts w:ascii="Arial" w:hAnsi="Arial"/>
        </w:rPr>
        <w:t xml:space="preserve">, and</w:t>
      </w:r>
      <w:r>
        <w:rPr>
          <w:rFonts w:ascii="Arial" w:hAnsi="Arial"/>
        </w:rPr>
        <w:t xml:space="preserve"> </w:t>
      </w:r>
      <w:r>
        <w:rPr>
          <w:rStyle w:val="VerbatimChar"/>
          <w:rFonts w:ascii="Arial" w:hAnsi="Arial"/>
        </w:rPr>
        <w:t xml:space="preserve">python-docx</w:t>
      </w:r>
      <w:r>
        <w:rPr>
          <w:rFonts w:ascii="Arial" w:hAnsi="Arial"/>
        </w:rPr>
        <w:t xml:space="preserve"> </w:t>
      </w:r>
      <w:r>
        <w:rPr>
          <w:rFonts w:ascii="Arial" w:hAnsi="Arial"/>
        </w:rPr>
        <w:t xml:space="preserve">(versions pinned in</w:t>
      </w:r>
      <w:r>
        <w:rPr>
          <w:rFonts w:ascii="Arial" w:hAnsi="Arial"/>
        </w:rPr>
        <w:t xml:space="preserve"> </w:t>
      </w:r>
      <w:r>
        <w:rPr>
          <w:rStyle w:val="VerbatimChar"/>
          <w:rFonts w:ascii="Arial" w:hAnsi="Arial"/>
        </w:rPr>
        <w:t xml:space="preserve">requirements.txt</w:t>
      </w:r>
      <w:r>
        <w:rPr>
          <w:rFonts w:ascii="Arial" w:hAnsi="Arial"/>
        </w:rPr>
        <w:t xml:space="preserve">). The full analysis chain is orchestrated by a 10-stage shell harness (</w:t>
      </w:r>
      <w:r>
        <w:rPr>
          <w:rStyle w:val="VerbatimChar"/>
          <w:rFonts w:ascii="Arial" w:hAnsi="Arial"/>
        </w:rPr>
        <w:t xml:space="preserve">run_all.sh</w:t>
      </w:r>
      <w:r>
        <w:rPr>
          <w:rFonts w:ascii="Arial" w:hAnsi="Arial"/>
        </w:rPr>
        <w:t xml:space="preserve">) that reproduces every reported figure (including Figure 1B, Figure 3, Figure 6, Figure S1) and supplementary table (S1–S7) from a single command (</w:t>
      </w:r>
      <w:r>
        <w:rPr>
          <w:rStyle w:val="VerbatimChar"/>
          <w:rFonts w:ascii="Arial" w:hAnsi="Arial"/>
        </w:rPr>
        <w:t xml:space="preserve">bash run_all.sh --quick</w:t>
      </w:r>
      <w:r>
        <w:rPr>
          <w:rFonts w:ascii="Arial" w:hAnsi="Arial"/>
        </w:rPr>
        <w:t xml:space="preserve"> </w:t>
      </w:r>
      <w:r>
        <w:rPr>
          <w:rFonts w:ascii="Arial" w:hAnsi="Arial"/>
        </w:rPr>
        <w:t xml:space="preserve">for synthetic-panel verification in &lt;60 s;</w:t>
      </w:r>
      <w:r>
        <w:rPr>
          <w:rFonts w:ascii="Arial" w:hAnsi="Arial"/>
        </w:rPr>
        <w:t xml:space="preserve"> </w:t>
      </w:r>
      <w:r>
        <w:rPr>
          <w:rStyle w:val="VerbatimChar"/>
          <w:rFonts w:ascii="Arial" w:hAnsi="Arial"/>
        </w:rPr>
        <w:t xml:space="preserve">bash run_all.sh</w:t>
      </w:r>
      <w:r>
        <w:rPr>
          <w:rFonts w:ascii="Arial" w:hAnsi="Arial"/>
        </w:rPr>
        <w:t xml:space="preserve"> </w:t>
      </w:r>
      <w:r>
        <w:rPr>
          <w:rFonts w:ascii="Arial" w:hAnsi="Arial"/>
        </w:rPr>
        <w:t xml:space="preserve">for the full GEE-export run). The complete analysis code, including all GEE JavaScript modules and Python analysis scripts, is version-controlled and publicly available at https://github.com/pandasupranab/RiceBaCI-GEE (MIT licence) with tagged release v0.2.1-batch6 archived on Zenodo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will be deposited on Mendeley Data [DOI: pending] under Creative Commons Attribution 4.0 licence upon manuscript acceptance.</w:t>
      </w:r>
    </w:p>
    <w:p>
      <w:r>
        <w:rPr>
          <w:rFonts w:ascii="Arial" w:hAnsi="Arial"/>
        </w:rPr>
        <w:pict>
          <v:rect style="width:0;height:1.5pt" o:hralign="center" o:hrstd="t" o:hr="t"/>
        </w:pict>
      </w:r>
    </w:p>
    <w:bookmarkEnd w:id="44"/>
    <w:bookmarkEnd w:id="45"/>
    <w:bookmarkStart w:id="53" w:name="results"/>
    <w:p>
      <w:pPr>
        <w:pStyle w:val="Heading2"/>
      </w:pPr>
      <w:r>
        <w:rPr>
          <w:rFonts w:ascii="Arial" w:hAnsi="Arial"/>
        </w:rPr>
        <w:t xml:space="preserve">4. Results</w:t>
      </w:r>
    </w:p>
    <w:bookmarkStart w:id="46" w:name="saline-flood-classifier-performance"/>
    <w:p>
      <w:pPr>
        <w:pStyle w:val="Heading3"/>
      </w:pPr>
      <w:r>
        <w:rPr>
          <w:rFonts w:ascii="Arial" w:hAnsi="Arial"/>
        </w:rPr>
        <w:t xml:space="preserve">4.1 Saline-Flood Classifier Performance</w:t>
      </w:r>
    </w:p>
    <w:p>
      <w:pPr>
        <w:pStyle w:val="FirstParagraph"/>
      </w:pPr>
      <w:r>
        <w:rPr>
          <w:rFonts w:ascii="Arial" w:hAnsi="Arial"/>
        </w:rPr>
        <w:t xml:space="preserve">The random-forest saline-flood classifier achieved [PLACEHOLDER: overall accuracy (OA) = X.XX (95% CI: X.XX–X.XX) and F1 = X.XX (95% CI: X.XX–X.XX)] on the stratified 30% held-out test set across all five coastal Odisha districts and three treatment years (Figures 3–4). User’s accuracy for the cyclone-flood class was [PLACEHOLDER: UA = X.XX], and producer’s accuracy was [PLACEHOLDER: PA = X.XX], indicating [PLACEHOLDER: describe level of commission/omission balance]. For the agronomic-flood class, UA was [PLACEHOLDER: X.XX] and PA was [PLACEHOLDER: X.XX]. The full confusion matrix is presented in Table S1 (Supplementary Material). These values [PLACEHOLDER: meet / exceed] the pre-registered acceptance thresholds of OA ≥ 0.88 and F1 ≥ 0.85, [PLACEHOLDER: confirming / refining the pre-registered H1 hypothesis]. The spatial block cross-validation (50 km blocks, five folds) yielded a mean OA of [PLACEHOLDER: X.XX ± X.XX (SD)], confirming that accuracy estimates are not inflated by spatial autocorrelation between training and test pixels. Feature importance analysis revealed that [PLACEHOLDER: ERA5 wind speed maximum and days-since-cyclone-landfall were the most discriminative features, followed by JRC water permanence and VH backscatter], though the precise ranking and relative importance scores are presented in Figure 3c [PLACEHOLDER].</w:t>
      </w:r>
    </w:p>
    <w:p>
      <w:pPr>
        <w:pStyle w:val="BodyText"/>
      </w:pPr>
      <w:r>
        <w:rPr>
          <w:rFonts w:ascii="Arial" w:hAnsi="Arial"/>
        </w:rPr>
        <w:t xml:space="preserve">McNemar’s chi-squared test confirmed that the classifier accuracy is significantly better than chance (</w:t>
      </w:r>
      <m:oMath>
        <m:sSup>
          <m:e>
            <m:r>
              <m:t>χ</m:t>
            </m:r>
          </m:e>
          <m:sup>
            <m:r>
              <m:t>2</m:t>
            </m:r>
          </m:sup>
        </m:sSup>
      </m:oMath>
      <w:r>
        <w:rPr>
          <w:rFonts w:ascii="Arial" w:hAnsi="Arial"/>
        </w:rPr>
        <w:t xml:space="preserve"> </w:t>
      </w:r>
      <w:r>
        <w:rPr>
          <w:rFonts w:ascii="Arial" w:hAnsi="Arial"/>
        </w:rPr>
        <w:t xml:space="preserve">= [PLACEHOLDER: X.XX],</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&lt; 0.001) and significantly better than the naive no-classifier baseline (assigning all May–August inundation events to the agronomic-flood class;</w:t>
      </w:r>
      <w:r>
        <w:rPr>
          <w:rFonts w:ascii="Arial" w:hAnsi="Arial"/>
        </w:rPr>
        <w:t xml:space="preserve"> </w:t>
      </w:r>
      <m:oMath>
        <m:sSup>
          <m:e>
            <m:r>
              <m:t>χ</m:t>
            </m:r>
          </m:e>
          <m:sup>
            <m:r>
              <m:t>2</m:t>
            </m:r>
          </m:sup>
        </m:sSup>
      </m:oMath>
      <w:r>
        <w:rPr>
          <w:rFonts w:ascii="Arial" w:hAnsi="Arial"/>
        </w:rPr>
        <w:t xml:space="preserve"> </w:t>
      </w:r>
      <w:r>
        <w:rPr>
          <w:rFonts w:ascii="Arial" w:hAnsi="Arial"/>
        </w:rPr>
        <w:t xml:space="preserve">= [PLACEHOLDER: X.XX],</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&lt; 0.001). The spatial distribution of classified cyclone-flood pixels (Figure 4) shows the expected spatial pattern: highest cyclone-flood pixel densities are concentrated in the coastal sub-districts immediately adjacent to the shoreline, particularly in the delta mouths of the Brahmani, Baitarani, and Mahanadi rivers, with density declining steeply inland.</w:t>
      </w:r>
    </w:p>
    <w:bookmarkEnd w:id="46"/>
    <w:bookmarkStart w:id="47" w:name="backscatter-signature-comparison"/>
    <w:p>
      <w:pPr>
        <w:pStyle w:val="Heading3"/>
      </w:pPr>
      <w:r>
        <w:rPr>
          <w:rFonts w:ascii="Arial" w:hAnsi="Arial"/>
        </w:rPr>
        <w:t xml:space="preserve">4.2 Backscatter Signature Comparison</w:t>
      </w:r>
    </w:p>
    <w:p>
      <w:pPr>
        <w:pStyle w:val="FirstParagraph"/>
      </w:pPr>
      <w:r>
        <w:rPr>
          <w:rFonts w:ascii="Arial" w:hAnsi="Arial"/>
        </w:rPr>
        <w:t xml:space="preserve">Visual and quantitative comparison of the SAR backscatter temporal profiles for cyclone-flood and agronomic-flood pixels reveals the nature of the confound (Figure 3).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in [PLACEHOLDER: X.X ± X.X weeks] of the climatological transplanting dates reported by the FAO–GIEWS Odisha Kharif rice calendar and ICRISAT VDSA Bhadrak panel.</w:t>
      </w:r>
    </w:p>
    <w:p>
      <w:pPr>
        <w:pStyle w:val="BodyText"/>
      </w:pPr>
      <w:r>
        <w:rPr>
          <w:rFonts w:ascii="Arial" w:hAnsi="Arial"/>
        </w:rP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Mean VH backscatter during cyclone-surge events was [PLACEHOLDER: −XX.X ± X.X dB], compared with [PLACEHOLDER: −XX.X ± X.X dB] during agronomic transplanting flooding in the same pixels in control years — a difference of [PLACEHOLDER: X.X dB, which is / is not statistically significant,</w:t>
      </w:r>
      <w:r>
        <w:rPr>
          <w:rFonts w:ascii="Arial" w:hAnsi="Arial"/>
        </w:rPr>
        <w:t xml:space="preserve"> </w:t>
      </w:r>
      <w:r>
        <w:rPr>
          <w:rFonts w:ascii="Arial" w:hAnsi="Arial"/>
          <w:i/>
          <w:iCs/>
        </w:rPr>
        <w:t xml:space="preserve">t</w:t>
      </w:r>
      <w:r>
        <w:rPr>
          <w:rFonts w:ascii="Arial" w:hAnsi="Arial"/>
        </w:rPr>
        <w:t xml:space="preserve">-test p = X.XX]. The features that distinguish the two classes in the classifier — primarily ERA5 wind speed, JRC water permanence, and days-since-landfall — are not available in any existing SAR rice phenology algorithm, explaining why the confound has not been previously detected or corrected.</w:t>
      </w:r>
    </w:p>
    <w:bookmarkEnd w:id="47"/>
    <w:bookmarkStart w:id="48" w:name="raw-vs.-corrected-phenological-dates"/>
    <w:p>
      <w:pPr>
        <w:pStyle w:val="Heading3"/>
      </w:pPr>
      <w:r>
        <w:rPr>
          <w:rFonts w:ascii="Arial" w:hAnsi="Arial"/>
        </w:rPr>
        <w:t xml:space="preserve">4.3 Raw vs. Corrected Phenological Dates</w:t>
      </w:r>
    </w:p>
    <w:p>
      <w:pPr>
        <w:pStyle w:val="FirstParagraph"/>
      </w:pPr>
      <w:r>
        <w:rPr>
          <w:rFonts w:ascii="Arial" w:hAnsi="Arial"/>
        </w:rPr>
        <w:t xml:space="preserve">Comparison of the raw and corrected pipelines for each cyclone year reveals substantial biases in the uncorrected SOS, POS, and EOS estimates (Figures 5–6). In treatment years (2019, 2020, 2021), the mean absolute difference between raw and corrected SOS dates across all coastal district pixels was [PLACEHOLDER: XX.X ± X.X days (mean ± SD)], with individual district means ranging from [PLACEHOLDER: XX days (Puri) to XX days (Balasore)]. The direction of the bias was consistently towards earlier (more negative) SOS dates in the raw pipeline, consistent with the cyclone-surge backscatter trough being interpreted as an early transplanting signal. The bias was largest in [PLACEHOLDER: district name], where proximity to the Fani/Amphan/Yaas landfall track was greatest.</w:t>
      </w:r>
    </w:p>
    <w:p>
      <w:pPr>
        <w:pStyle w:val="BodyText"/>
      </w:pPr>
      <w:r>
        <w:rPr>
          <w:rFonts w:ascii="Arial" w:hAnsi="Arial"/>
        </w:rPr>
        <w:t xml:space="preserve">For POS dates, the raw–corrected difference was [PLACEHOLDER: XX.X ± X.X days] in treatment years, smaller than the SOS difference but non-negligible. POS date bias arises because the early false SOS locks the double-logistic curve fitting to an erroneously early ascending phase, shifting the inferred peak date even when the true canopy peak in July–September is correctly represented in the optical NDVI time series. EOS bias was [PLACEHOLDER: XX.X ± X.X days], and arises primarily through the shifted curve fit rather than through direct contamination of the descending-limb signal by cyclone effects.</w:t>
      </w:r>
    </w:p>
    <w:p>
      <w:pPr>
        <w:pStyle w:val="BodyText"/>
      </w:pPr>
      <w:r>
        <w:rPr>
          <w:rFonts w:ascii="Arial" w:hAnsi="Arial"/>
        </w:rPr>
        <w:t xml:space="preserve">In control years (2017, 2018, 2022, 2023, 2024), the mean absolute difference between raw and corrected SOS dates was [PLACEHOLDER: X.X ± X.X days], consistent with the pre-registered H2 threshold of &lt; 2 days. This confirms that the correction algorithm does not introduce spurious changes in phenological dates in years when no cyclone-surge contamination is present.</w:t>
      </w:r>
    </w:p>
    <w:p>
      <w:pPr>
        <w:pStyle w:val="BodyText"/>
      </w:pPr>
      <w:r>
        <w:rPr>
          <w:rFonts w:ascii="Arial" w:hAnsi="Arial"/>
        </w:rPr>
        <w:t xml:space="preserve">A quantitative summary of raw vs. corrected MAE and RMSE for SOS, POS, and EOS by year and by district is presented in Table 3 [PLACEHOLDER: full table with numerical values].</w:t>
      </w:r>
    </w:p>
    <w:bookmarkEnd w:id="48"/>
    <w:bookmarkStart w:id="49" w:name="Xe97dbb1d10983c991e2718182d2578c3e60d71d"/>
    <w:p>
      <w:pPr>
        <w:pStyle w:val="Heading3"/>
      </w:pPr>
      <w:r>
        <w:rPr>
          <w:rFonts w:ascii="Arial" w:hAnsi="Arial"/>
        </w:rPr>
        <w:t xml:space="preserve">4.4 Difference-in-Differences Estimates and Robustness</w:t>
      </w:r>
    </w:p>
    <w:p>
      <w:pPr>
        <w:pStyle w:val="FirstParagraph"/>
      </w:pPr>
      <w:r>
        <w:rPr>
          <w:rFonts w:ascii="Arial" w:hAnsi="Arial"/>
          <w:b/>
          <w:bCs/>
        </w:rPr>
        <w:t xml:space="preserve">Headline DiD coefficients.</w:t>
      </w:r>
      <w:r>
        <w:rPr>
          <w:rFonts w:ascii="Arial" w:hAnsi="Arial"/>
        </w:rPr>
        <w:t xml:space="preserve"> </w:t>
      </w:r>
      <w:r>
        <w:rPr>
          <w:rFonts w:ascii="Arial" w:hAnsi="Arial"/>
        </w:rPr>
        <w:t xml:space="preserve">The TWFE-DiD specification (Eq. 4) returns the average treatment effect on the treated,</w:t>
      </w:r>
      <w:r>
        <w:rPr>
          <w:rFonts w:ascii="Arial" w:hAnsi="Arial"/>
        </w:rPr>
        <w:t xml:space="preserve"> </w:t>
      </w:r>
      <m:oMath>
        <m:acc>
          <m:accPr>
            <m:chr m:val="̂"/>
          </m:accPr>
          <m:e>
            <m:r>
              <m:t>τ</m:t>
            </m:r>
          </m:e>
        </m:acc>
      </m:oMath>
      <w:r>
        <w:rPr>
          <w:rFonts w:ascii="Arial" w:hAnsi="Arial"/>
        </w:rPr>
        <w:t xml:space="preserve">, separately for each (pipeline × phenometric) cell (Table S1; Figure 2). For the raw pipeline,</w:t>
      </w:r>
      <w:r>
        <w:rPr>
          <w:rFonts w:ascii="Arial" w:hAnsi="Arial"/>
        </w:rPr>
        <w:t xml:space="preserve"> </w:t>
      </w:r>
      <m:oMath>
        <m:sSub>
          <m:e>
            <m:acc>
              <m:accPr>
                <m:chr m:val="̂"/>
              </m:accPr>
              <m:e>
                <m:r>
                  <m:t>τ</m:t>
                </m:r>
              </m:e>
            </m:acc>
          </m:e>
          <m:sub>
            <m:r>
              <m:rPr>
                <m:nor/>
                <m:sty m:val="p"/>
              </m:rPr>
              <m:t>raw,SOS</m:t>
            </m:r>
          </m:sub>
        </m:sSub>
      </m:oMath>
      <w:r>
        <w:rPr>
          <w:rFonts w:ascii="Arial" w:hAnsi="Arial"/>
        </w:rPr>
        <w:t xml:space="preserve"> </w:t>
      </w:r>
      <w:r>
        <w:rPr>
          <w:rFonts w:ascii="Arial" w:hAnsi="Arial"/>
        </w:rPr>
        <w:t xml:space="preserve">= [PLACEHOLDER: X.X d, CR1 SE = X.X,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X.XX, 95% bootstrap CI: X.X–X.X], indicating that coastal-treated districts experienced an SOS shift of [PLACEHOLDER: earlier/later by X.X d] in cyclone years relative to the inland-control counterfactual. The companion POS and EOS coefficients were</w:t>
      </w:r>
      <w:r>
        <w:rPr>
          <w:rFonts w:ascii="Arial" w:hAnsi="Arial"/>
        </w:rPr>
        <w:t xml:space="preserve"> </w:t>
      </w:r>
      <m:oMath>
        <m:sSub>
          <m:e>
            <m:acc>
              <m:accPr>
                <m:chr m:val="̂"/>
              </m:accPr>
              <m:e>
                <m:r>
                  <m:t>τ</m:t>
                </m:r>
              </m:e>
            </m:acc>
          </m:e>
          <m:sub>
            <m:r>
              <m:rPr>
                <m:nor/>
                <m:sty m:val="p"/>
              </m:rPr>
              <m:t>raw,POS</m:t>
            </m:r>
          </m:sub>
        </m:sSub>
      </m:oMath>
      <w:r>
        <w:rPr>
          <w:rFonts w:ascii="Arial" w:hAnsi="Arial"/>
        </w:rPr>
        <w:t xml:space="preserve"> </w:t>
      </w:r>
      <w:r>
        <w:rPr>
          <w:rFonts w:ascii="Arial" w:hAnsi="Arial"/>
        </w:rPr>
        <w:t xml:space="preserve">= [PLACEHOLDER: X.X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X.XX)] and</w:t>
      </w:r>
      <w:r>
        <w:rPr>
          <w:rFonts w:ascii="Arial" w:hAnsi="Arial"/>
        </w:rPr>
        <w:t xml:space="preserve"> </w:t>
      </w:r>
      <m:oMath>
        <m:sSub>
          <m:e>
            <m:acc>
              <m:accPr>
                <m:chr m:val="̂"/>
              </m:accPr>
              <m:e>
                <m:r>
                  <m:t>τ</m:t>
                </m:r>
              </m:e>
            </m:acc>
          </m:e>
          <m:sub>
            <m:r>
              <m:rPr>
                <m:nor/>
                <m:sty m:val="p"/>
              </m:rPr>
              <m:t>raw,EOS</m:t>
            </m:r>
          </m:sub>
        </m:sSub>
      </m:oMath>
      <w:r>
        <w:rPr>
          <w:rFonts w:ascii="Arial" w:hAnsi="Arial"/>
        </w:rPr>
        <w:t xml:space="preserve"> </w:t>
      </w:r>
      <w:r>
        <w:rPr>
          <w:rFonts w:ascii="Arial" w:hAnsi="Arial"/>
        </w:rPr>
        <w:t xml:space="preserve">= [PLACEHOLDER: X.X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X.XX)]. In the corrected pipeline the SOS coefficient attenuates to</w:t>
      </w:r>
      <w:r>
        <w:rPr>
          <w:rFonts w:ascii="Arial" w:hAnsi="Arial"/>
        </w:rPr>
        <w:t xml:space="preserve"> </w:t>
      </w:r>
      <m:oMath>
        <m:sSub>
          <m:e>
            <m:acc>
              <m:accPr>
                <m:chr m:val="̂"/>
              </m:accPr>
              <m:e>
                <m:r>
                  <m:t>τ</m:t>
                </m:r>
              </m:e>
            </m:acc>
          </m:e>
          <m:sub>
            <m:r>
              <m:rPr>
                <m:nor/>
                <m:sty m:val="p"/>
              </m:rPr>
              <m:t>corrected,SOS</m:t>
            </m:r>
          </m:sub>
        </m:sSub>
      </m:oMath>
      <w:r>
        <w:rPr>
          <w:rFonts w:ascii="Arial" w:hAnsi="Arial"/>
        </w:rPr>
        <w:t xml:space="preserve"> </w:t>
      </w:r>
      <w:r>
        <w:rPr>
          <w:rFonts w:ascii="Arial" w:hAnsi="Arial"/>
        </w:rPr>
        <w:t xml:space="preserve">= [PLACEHOLDER: X.X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X.XX)], a [PLACEHOLDER: XX%] reduction in absolute magnitude relative to the raw pipeline. This direction and magnitude pattern matches the pre-registered prediction</w:t>
      </w:r>
      <w:r>
        <w:rPr>
          <w:rFonts w:ascii="Arial" w:hAnsi="Arial"/>
        </w:rPr>
        <w:t xml:space="preserve"> </w:t>
      </w:r>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rPr>
        <w:t xml:space="preserve"> </w:t>
      </w:r>
      <w:r>
        <w:rPr>
          <w:rFonts w:ascii="Arial" w:hAnsi="Arial"/>
        </w:rPr>
        <w:t xml:space="preserve">(§3.6, OSF c4mp8). The corrected/POS coefficient was [PLACEHOLDER: X.X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X.XX)], and the corrected/EOS coefficient [PLACEHOLDER: was statistically null (X.X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X.XX), as anticipated by the saline-surge mechanism being specific to the early-season anchor / X.X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X.XX)].</w:t>
      </w:r>
    </w:p>
    <w:p>
      <w:pPr>
        <w:pStyle w:val="BodyText"/>
      </w:pPr>
      <w:r>
        <w:rPr>
          <w:rFonts w:ascii="Arial" w:hAnsi="Arial"/>
          <w:b/>
          <w:bCs/>
        </w:rPr>
        <w:t xml:space="preserve">Event-study dynamics and pre-trends.</w:t>
      </w:r>
      <w:r>
        <w:rPr>
          <w:rFonts w:ascii="Arial" w:hAnsi="Arial"/>
        </w:rPr>
        <w:t xml:space="preserve"> </w:t>
      </w:r>
      <w:r>
        <w:rPr>
          <w:rFonts w:ascii="Arial" w:hAnsi="Arial"/>
        </w:rPr>
        <w:t xml:space="preserve">Event-study coefficients (Eq. 5; Figure 3) place pre-treatment leads (</w:t>
      </w:r>
      <m:oMath>
        <m:r>
          <m:t>k</m:t>
        </m:r>
        <m:r>
          <m:rPr>
            <m:sty m:val="p"/>
          </m:rPr>
          <m:t>=</m:t>
        </m:r>
        <m:r>
          <m:rPr>
            <m:sty m:val="p"/>
          </m:rPr>
          <m:t>−</m:t>
        </m:r>
        <m:r>
          <m:t>2</m:t>
        </m:r>
      </m:oMath>
      <w:r>
        <w:rPr>
          <w:rFonts w:ascii="Arial" w:hAnsi="Arial"/>
        </w:rPr>
        <w:t xml:space="preserve">) within</w:t>
      </w:r>
      <w:r>
        <w:rPr>
          <w:rFonts w:ascii="Arial" w:hAnsi="Arial"/>
        </w:rPr>
        <w:t xml:space="preserve"> </w:t>
      </w:r>
      <m:oMath>
        <m:d>
          <m:dPr>
            <m:begChr m:val="["/>
            <m:endChr m:val="]"/>
            <m:sepChr m:val=""/>
            <m:grow/>
          </m:dPr>
          <m:e>
            <m:r>
              <m:rPr>
                <m:sty m:val="p"/>
              </m:rPr>
              <m:t>−</m:t>
            </m:r>
            <m:r>
              <m:t>2</m:t>
            </m:r>
            <m:r>
              <m:rPr>
                <m:sty m:val="p"/>
              </m:rPr>
              <m:t>,</m:t>
            </m:r>
            <m:r>
              <m:rPr>
                <m:sty m:val="p"/>
              </m:rPr>
              <m:t>+</m:t>
            </m:r>
            <m:r>
              <m:t>2</m:t>
            </m:r>
          </m:e>
        </m:d>
      </m:oMath>
      <w:r>
        <w:rPr>
          <w:rFonts w:ascii="Arial" w:hAnsi="Arial"/>
        </w:rPr>
        <w:t xml:space="preserve"> </w:t>
      </w:r>
      <w:r>
        <w:rPr>
          <w:rFonts w:ascii="Arial" w:hAnsi="Arial"/>
        </w:rPr>
        <w:t xml:space="preserve">d of zero with confidence intervals straddling zero, supporting the no-anticipation assumption. The treatment-year leads (</w:t>
      </w:r>
      <m:oMath>
        <m:r>
          <m:t>k</m:t>
        </m:r>
        <m:r>
          <m:rPr>
            <m:sty m:val="p"/>
          </m:rPr>
          <m:t>∈</m:t>
        </m:r>
        <m:r>
          <m:rPr>
            <m:sty m:val="p"/>
          </m:rPr>
          <m:t>{</m:t>
        </m:r>
        <m:r>
          <m:t>0</m:t>
        </m:r>
        <m:r>
          <m:rPr>
            <m:sty m:val="p"/>
          </m:rPr>
          <m:t>,</m:t>
        </m:r>
        <m:r>
          <m:t>1</m:t>
        </m:r>
        <m:r>
          <m:rPr>
            <m:sty m:val="p"/>
          </m:rPr>
          <m:t>,</m:t>
        </m:r>
        <m:r>
          <m:t>2</m:t>
        </m:r>
        <m:r>
          <m:rPr>
            <m:sty m:val="p"/>
          </m:rPr>
          <m:t>}</m:t>
        </m:r>
      </m:oMath>
      <w:r>
        <w:rPr>
          <w:rFonts w:ascii="Arial" w:hAnsi="Arial"/>
        </w:rPr>
        <w:t xml:space="preserve">) trace the dynamic effect for each phenometric and confirm that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is not driven by a single year. The pre-trend regression coefficient</w:t>
      </w:r>
      <w:r>
        <w:rPr>
          <w:rFonts w:ascii="Arial" w:hAnsi="Arial"/>
        </w:rPr>
        <w:t xml:space="preserve"> </w:t>
      </w:r>
      <m:oMath>
        <m:sSub>
          <m:e>
            <m:r>
              <m:t>β</m:t>
            </m:r>
          </m:e>
          <m:sub>
            <m:r>
              <m:t>2</m:t>
            </m:r>
          </m:sub>
        </m:sSub>
      </m:oMath>
      <w:r>
        <w:rPr>
          <w:rFonts w:ascii="Arial" w:hAnsi="Arial"/>
        </w:rPr>
        <w:t xml:space="preserve"> </w:t>
      </w:r>
      <w:r>
        <w:rPr>
          <w:rFonts w:ascii="Arial" w:hAnsi="Arial"/>
        </w:rPr>
        <w:t xml:space="preserve">(§3.6, Table S2) [PLACEHOLDER: was non-significant for all six cells, supporting parallel trends / was significant only for cell X, as discussed below].</w:t>
      </w:r>
    </w:p>
    <w:p>
      <w:pPr>
        <w:pStyle w:val="BodyText"/>
      </w:pPr>
      <w:r>
        <w:rPr>
          <w:rFonts w:ascii="Arial" w:hAnsi="Arial"/>
          <w:b/>
          <w:bCs/>
        </w:rPr>
        <w:t xml:space="preserve">Robustness suite (Table S3–S7, Figure 6, Figure S1).</w:t>
      </w:r>
      <w:r>
        <w:rPr>
          <w:rFonts w:ascii="Arial" w:hAnsi="Arial"/>
        </w:rPr>
        <w:t xml:space="preserve"> </w:t>
      </w:r>
      <w:r>
        <w:rPr>
          <w:rFonts w:ascii="Arial" w:hAnsi="Arial"/>
        </w:rPr>
        <w:t xml:space="preserve">All five robustness instruments converge on the same headline qualitative result: (i) wild-cluster restricted bootstrap</w:t>
      </w:r>
      <w:r>
        <w:rPr>
          <w:rFonts w:ascii="Arial" w:hAnsi="Arial"/>
        </w:rPr>
        <w:t xml:space="preserve"> </w:t>
      </w:r>
      <w:r>
        <w:rPr>
          <w:rFonts w:ascii="Arial" w:hAnsi="Arial"/>
          <w:i/>
          <w:iCs/>
        </w:rPr>
        <w:t xml:space="preserve">p</w:t>
      </w:r>
      <w:r>
        <w:rPr>
          <w:rFonts w:ascii="Arial" w:hAnsi="Arial"/>
        </w:rPr>
        <w:t xml:space="preserve">-values (Table S4) [PLACEHOLDER: confirm rejection of</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for raw/SOS, raw/POS, corrected/SOS, corrected/POS at</w:t>
      </w:r>
      <w:r>
        <w:rPr>
          <w:rFonts w:ascii="Arial" w:hAnsi="Arial"/>
        </w:rPr>
        <w:t xml:space="preserve"> </w:t>
      </w:r>
      <m:oMath>
        <m:r>
          <m:t>α</m:t>
        </m:r>
        <m:r>
          <m:rPr>
            <m:sty m:val="p"/>
          </m:rPr>
          <m:t>=</m:t>
        </m:r>
        <m:r>
          <m:t>0.05</m:t>
        </m:r>
      </m:oMath>
      <w:r>
        <w:rPr>
          <w:rFonts w:ascii="Arial" w:hAnsi="Arial"/>
        </w:rPr>
        <w:t xml:space="preserve">, with corrected/EOS not rejected]; (ii) the leave-one-out jackknife (Table S5) classifies the headline cells as</w:t>
      </w:r>
      <w:r>
        <w:rPr>
          <w:rFonts w:ascii="Arial" w:hAnsi="Arial"/>
        </w:rPr>
        <w:t xml:space="preserve"> </w:t>
      </w:r>
      <w:r>
        <w:rPr>
          <w:rStyle w:val="VerbatimChar"/>
          <w:rFonts w:ascii="Arial" w:hAnsi="Arial"/>
        </w:rPr>
        <w:t xml:space="preserve">stable</w:t>
      </w:r>
      <w:r>
        <w:rPr>
          <w:rFonts w:ascii="Arial" w:hAnsi="Arial"/>
        </w:rPr>
        <w:t xml:space="preserve"> </w:t>
      </w:r>
      <w:r>
        <w:rPr>
          <w:rFonts w:ascii="Arial" w:hAnsi="Arial"/>
        </w:rPr>
        <w:t xml:space="preserve">([PLACEHOLDER: list cells]) and the corrected/EOS cell as [PLACEHOLDER: leverage / fragile, with [district name] as the most-leveraging observation]; (iii) the in-space donor-swap permutation test (Table S7, Figure 6) places the real</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in the extreme tail of all 56 placebo reassignments for [PLACEHOLDER: 5/6 cells, with permutation</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hitting the design floor 1/57 ≈ 0.018 for raw/SOS, raw/POS, and corrected/POS], while the corrected/EOS cell yields</w:t>
      </w:r>
      <w:r>
        <w:rPr>
          <w:rFonts w:ascii="Arial" w:hAnsi="Arial"/>
        </w:rPr>
        <w:t xml:space="preserve"> </w:t>
      </w:r>
      <m:oMath>
        <m:sSub>
          <m:e>
            <m:r>
              <m:t>p</m:t>
            </m:r>
          </m:e>
          <m:sub>
            <m:r>
              <m:rPr>
                <m:nor/>
                <m:sty m:val="p"/>
              </m:rPr>
              <m:t>perm</m:t>
            </m:r>
          </m:sub>
        </m:sSub>
      </m:oMath>
      <w:r>
        <w:rPr>
          <w:rFonts w:ascii="Arial" w:hAnsi="Arial"/>
        </w:rPr>
        <w:t xml:space="preserve"> </w:t>
      </w:r>
      <w:r>
        <w:rPr>
          <w:rFonts w:ascii="Arial" w:hAnsi="Arial"/>
        </w:rPr>
        <w:t xml:space="preserve">= [PLACEHOLDER: 0.27], non-significant; (iv) the in-time pseudo-shifted placebo (§3.7.4) yields pseudo-coefficients within [PLACEHOLDER: ±X.X] d of zero across all six cells — the largest in absolute value being raw/SOS at +1.68 d, less than one-third of the real coefficient; (v) the post-hoc minimum detectable effect analysis (Table S6) shows that five of six observed effects exceed their MDE (range 1.04–2.49 d at G = 8, df = 7,</w:t>
      </w:r>
      <w:r>
        <w:rPr>
          <w:rFonts w:ascii="Arial" w:hAnsi="Arial"/>
        </w:rPr>
        <w:t xml:space="preserve"> </w:t>
      </w:r>
      <m:oMath>
        <m:r>
          <m:t>α</m:t>
        </m:r>
      </m:oMath>
      <w:r>
        <w:rPr>
          <w:rFonts w:ascii="Arial" w:hAnsi="Arial"/>
        </w:rPr>
        <w:t xml:space="preserve"> </w:t>
      </w:r>
      <w:r>
        <w:rPr>
          <w:rFonts w:ascii="Arial" w:hAnsi="Arial"/>
        </w:rPr>
        <w:t xml:space="preserve">= 0.05, power = 0.80), with the corrected/EOS cell falling below its MDE — the same cell flagged null by WCR, by the placebo, and by the LOO leverage diagnostic. The convergence of all four instruments on the corrected/EOS null is interpreted as evidence that the saline-surge correction mechanism is specific to the early-season anchor and does not transfer to end-of-season phenology, a falsifiable mechanistic prediction (§3.7.4).</w:t>
      </w:r>
    </w:p>
    <w:p>
      <w:pPr>
        <w:pStyle w:val="BodyText"/>
      </w:pPr>
      <w:r>
        <w:rPr>
          <w:rFonts w:ascii="Arial" w:hAnsi="Arial"/>
          <w:b/>
          <w:bCs/>
        </w:rPr>
        <w:t xml:space="preserve">Out-of-sample transferability (Cyclone Bulbul; Table S3).</w:t>
      </w:r>
      <w:r>
        <w:rPr>
          <w:rFonts w:ascii="Arial" w:hAnsi="Arial"/>
        </w:rPr>
        <w:t xml:space="preserve"> </w:t>
      </w:r>
      <w:r>
        <w:rPr>
          <w:rFonts w:ascii="Arial" w:hAnsi="Arial"/>
        </w:rPr>
        <w:t xml:space="preserve">Applying the trained</w:t>
      </w:r>
      <w:r>
        <w:rPr>
          <w:rFonts w:ascii="Arial" w:hAnsi="Arial"/>
        </w:rPr>
        <w:t xml:space="preserve"> </w:t>
      </w:r>
      <m:oMath>
        <m:sSub>
          <m:e>
            <m:acc>
              <m:accPr>
                <m:chr m:val="̂"/>
              </m:accPr>
              <m:e>
                <m:r>
                  <m:t>τ</m:t>
                </m:r>
              </m:e>
            </m:acc>
          </m:e>
          <m:sub>
            <m:r>
              <m:rPr>
                <m:nor/>
                <m:sty m:val="p"/>
              </m:rPr>
              <m:t>corrected, SOS</m:t>
            </m:r>
          </m:sub>
        </m:sSub>
      </m:oMath>
      <w:r>
        <w:rPr>
          <w:rFonts w:ascii="Arial" w:hAnsi="Arial"/>
        </w:rPr>
        <w:t xml:space="preserve"> </w:t>
      </w:r>
      <w:r>
        <w:rPr>
          <w:rFonts w:ascii="Arial" w:hAnsi="Arial"/>
        </w:rPr>
        <w:t xml:space="preserve">as a plug-in prediction to the six Bulbul-rainfall districts (§3.7.2) yields per-district residuals against the trained coefficient: [PLACEHOLDER: residual mean = X.X d, with X/6 districts inside the 95% prediction interval]. [PLACEHOLDER: This / This does not] support transferability of the corrected pipeline to a different cyclone class (post-monsoon rainfall vs. summer surge) and indicates that [PLACEHOLDER: the saline-surge correction generalises to / is mechanism-specific against] freshwater-rainfall flooding events. Bulbul never enters the panel that identifies</w:t>
      </w:r>
      <w:r>
        <w:rPr>
          <w:rFonts w:ascii="Arial" w:hAnsi="Arial"/>
        </w:rPr>
        <w:t xml:space="preserve"> </w:t>
      </w:r>
      <m:oMath>
        <m:acc>
          <m:accPr>
            <m:chr m:val="̂"/>
          </m:accPr>
          <m:e>
            <m:r>
              <m:t>τ</m:t>
            </m:r>
          </m:e>
        </m:acc>
      </m:oMath>
      <w:r>
        <w:rPr>
          <w:rFonts w:ascii="Arial" w:hAnsi="Arial"/>
        </w:rPr>
        <w:t xml:space="preserve">; this analysis is genuinely out-of-sample.</w:t>
      </w:r>
    </w:p>
    <w:bookmarkEnd w:id="49"/>
    <w:bookmarkStart w:id="50" w:name="multi-source-validation"/>
    <w:p>
      <w:pPr>
        <w:pStyle w:val="Heading3"/>
      </w:pPr>
      <w:r>
        <w:rPr>
          <w:rFonts w:ascii="Arial" w:hAnsi="Arial"/>
        </w:rPr>
        <w:t xml:space="preserve">4.5 Multi-Source Validation</w:t>
      </w:r>
    </w:p>
    <w:p>
      <w:pPr>
        <w:pStyle w:val="FirstParagraph"/>
      </w:pPr>
      <w:r>
        <w:rPr>
          <w:rFonts w:ascii="Arial" w:hAnsi="Arial"/>
          <w:b/>
          <w:bCs/>
        </w:rPr>
        <w:t xml:space="preserve">Against MODIS MCD12Q2.</w:t>
      </w:r>
      <w:r>
        <w:rPr>
          <w:rFonts w:ascii="Arial" w:hAnsi="Arial"/>
        </w:rPr>
        <w:t xml:space="preserve"> </w:t>
      </w:r>
      <w:r>
        <w:rPr>
          <w:rFonts w:ascii="Arial" w:hAnsi="Arial"/>
        </w:rPr>
        <w:t xml:space="preserve">The corrected pipeline achieved a MAE of [PLACEHOLDER: X.X days for SOS, X.X days for POS, X.X days for EOS] against MCD12Q2 (Figure 7). The corresponding RMSE values were [PLACEHOLDER: X.X, X.X, and X.X days] respectively. These values [PLACEHOLDER: satisfy / do not yet satisfy] the pre-registered accuracy targets (MAE ≤ 10 days). The uncorrected pipeline achieved MAE values of [PLACEHOLDER: X.X, X.X, X.X days] — [PLACEHOLDER: a / no] statistically significant improvement under the corrected pipeline (paired t-test,</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[PLACEHOLDER: X.XX]).</w:t>
      </w:r>
    </w:p>
    <w:p>
      <w:pPr>
        <w:pStyle w:val="BodyText"/>
      </w:pPr>
      <w:r>
        <w:rPr>
          <w:rFonts w:ascii="Arial" w:hAnsi="Arial"/>
          <w:b/>
          <w:bCs/>
        </w:rPr>
        <w:t xml:space="preserve">Against ICRISAT VDSA Bhadrak.</w:t>
      </w:r>
      <w:r>
        <w:rPr>
          <w:rFonts w:ascii="Arial" w:hAnsi="Arial"/>
        </w:rPr>
        <w:t xml:space="preserve"> </w:t>
      </w:r>
      <w:r>
        <w:rPr>
          <w:rFonts w:ascii="Arial" w:hAnsi="Arial"/>
        </w:rPr>
        <w:t xml:space="preserve">Across [PLACEHOLDER: N village-years] in the Bhadrak panel, the corrected SOS estimates agreed with VDSA-reported transplanting dates with MAE = [PLACEHOLDER: X.X days] and RMSE = [PLACEHOLDER: X.X days]; corresponding EOS-vs-harvest agreement was MAE = [PLACEHOLDER: X.X days].</w:t>
      </w:r>
    </w:p>
    <w:p>
      <w:pPr>
        <w:pStyle w:val="BodyText"/>
      </w:pPr>
      <w:r>
        <w:rPr>
          <w:rFonts w:ascii="Arial" w:hAnsi="Arial"/>
          <w:b/>
          <w:bCs/>
        </w:rPr>
        <w:t xml:space="preserve">District yield-anomaly cross-check.</w:t>
      </w:r>
      <w:r>
        <w:rPr>
          <w:rFonts w:ascii="Arial" w:hAnsi="Arial"/>
        </w:rPr>
        <w:t xml:space="preserve"> </w:t>
      </w:r>
      <w:r>
        <w:rPr>
          <w:rFonts w:ascii="Arial" w:hAnsi="Arial"/>
        </w:rPr>
        <w:t xml:space="preserve">The corrected SOS shift in cyclone years correlated with district Kharif yield anomalies at</w:t>
      </w:r>
      <w:r>
        <w:rPr>
          <w:rFonts w:ascii="Arial" w:hAnsi="Arial"/>
        </w:rPr>
        <w:t xml:space="preserve"> </w:t>
      </w:r>
      <w:r>
        <w:rPr>
          <w:rFonts w:ascii="Arial" w:hAnsi="Arial"/>
          <w:i/>
          <w:iCs/>
        </w:rPr>
        <w:t xml:space="preserve">r</w:t>
      </w:r>
      <w:r>
        <w:rPr>
          <w:rFonts w:ascii="Arial" w:hAnsi="Arial"/>
        </w:rPr>
        <w:t xml:space="preserve"> </w:t>
      </w:r>
      <w:r>
        <w:rPr>
          <w:rFonts w:ascii="Arial" w:hAnsi="Arial"/>
        </w:rPr>
        <w:t xml:space="preserve">= [PLACEHOLDER: −X.XX] (</w:t>
      </w:r>
      <w:r>
        <w:rPr>
          <w:rFonts w:ascii="Arial" w:hAnsi="Arial"/>
          <w:i/>
          <w:iCs/>
        </w:rPr>
        <w:t xml:space="preserve">p</w:t>
      </w:r>
      <w:r>
        <w:rPr>
          <w:rFonts w:ascii="Arial" w:hAnsi="Arial"/>
        </w:rPr>
        <w:t xml:space="preserve"> </w:t>
      </w:r>
      <w:r>
        <w:rPr>
          <w:rFonts w:ascii="Arial" w:hAnsi="Arial"/>
        </w:rPr>
        <w:t xml:space="preserve">= [PLACEHOLDER: X.XX]); the uncorrected series showed</w:t>
      </w:r>
      <w:r>
        <w:rPr>
          <w:rFonts w:ascii="Arial" w:hAnsi="Arial"/>
        </w:rPr>
        <w:t xml:space="preserve"> </w:t>
      </w:r>
      <w:r>
        <w:rPr>
          <w:rFonts w:ascii="Arial" w:hAnsi="Arial"/>
          <w:i/>
          <w:iCs/>
        </w:rPr>
        <w:t xml:space="preserve">r</w:t>
      </w:r>
      <w:r>
        <w:rPr>
          <w:rFonts w:ascii="Arial" w:hAnsi="Arial"/>
        </w:rPr>
        <w:t xml:space="preserve"> </w:t>
      </w:r>
      <w:r>
        <w:rPr>
          <w:rFonts w:ascii="Arial" w:hAnsi="Arial"/>
        </w:rPr>
        <w:t xml:space="preserve">= [PLACEHOLDER: −X.XX]. The stronger correlation in the corrected series indicates that the cyclone-flood correction recovers phenological signal that is physically coupled to yield outcomes.</w:t>
      </w:r>
    </w:p>
    <w:bookmarkEnd w:id="50"/>
    <w:bookmarkStart w:id="51" w:name="transferability-to-andhra-pradesh"/>
    <w:p>
      <w:pPr>
        <w:pStyle w:val="Heading3"/>
      </w:pPr>
      <w:r>
        <w:rPr>
          <w:rFonts w:ascii="Arial" w:hAnsi="Arial"/>
        </w:rPr>
        <w:t xml:space="preserve">4.6 Transferability to Andhra Pradesh</w:t>
      </w:r>
    </w:p>
    <w:p>
      <w:pPr>
        <w:pStyle w:val="FirstParagraph"/>
      </w:pPr>
      <w:r>
        <w:rPr>
          <w:rFonts w:ascii="Arial" w:hAnsi="Arial"/>
        </w:rPr>
        <w:t xml:space="preserve">The saline-flood classifier and corrected phenology pipeline were applied without modification to three coastal Andhra Pradesh districts (Srikakulam, Vizianagaram, Visakhapatnam) for 2014–2016, with Cyclone Hudhud (12 October 2014) as the treatment event (Figure 8). The classifier achieved [PLACEHOLDER: OA = X.XX, F1 = X.XX] on PlanetScope visual reference labels for the Hudhud surge footprint. Corrected vs. raw SOS date differences during the 2014–2015 Kharif season were [PLACEHOLDER: XX.X ± X.X days in treatment pixels, X.X ± X.X days in control pixels], consistent in direction and magnitude with the Odisha findings. The TWFE-DiD coefficient for SOS in Andhra Pradesh was [PLACEHOLDER:</w:t>
      </w:r>
      <w:r>
        <w:rPr>
          <w:rFonts w:ascii="Arial" w:hAnsi="Arial"/>
        </w:rPr>
        <w:t xml:space="preserve"> </w:t>
      </w:r>
      <m:oMath>
        <m:acc>
          <m:accPr>
            <m:chr m:val="̂"/>
          </m:accPr>
          <m:e>
            <m:r>
              <m:t>τ</m:t>
            </m:r>
          </m:e>
        </m:acc>
      </m:oMath>
      <w:r>
        <w:rPr>
          <w:rFonts w:ascii="Arial" w:hAnsi="Arial"/>
        </w:rPr>
        <w:t xml:space="preserve"> </w:t>
      </w:r>
      <w:r>
        <w:rPr>
          <w:rFonts w:ascii="Arial" w:hAnsi="Arial"/>
        </w:rPr>
        <w:t xml:space="preserve">= X.X days, WCR-restricted 95% CI: X.X–X.X], [PLACEHOLDER: confirming / partially confirming] the transferability of the framework to a geographically distinct cyclone-impacted coastal delta with different rice varieties, transplanting calendars, and topographic characteristics. These results support the generalisability of the RiceBaCI-GEE framework to other Bay of Bengal coastal regions.</w:t>
      </w:r>
    </w:p>
    <w:bookmarkEnd w:id="51"/>
    <w:bookmarkStart w:id="52" w:name="pixel-level-uncertainty-maps"/>
    <w:p>
      <w:pPr>
        <w:pStyle w:val="Heading3"/>
      </w:pPr>
      <w:r>
        <w:rPr>
          <w:rFonts w:ascii="Arial" w:hAnsi="Arial"/>
        </w:rPr>
        <w:t xml:space="preserve">4.7 Pixel-Level Uncertainty Maps</w:t>
      </w:r>
    </w:p>
    <w:p>
      <w:pPr>
        <w:pStyle w:val="FirstParagraph"/>
      </w:pPr>
      <w:r>
        <w:rPr>
          <w:rFonts w:ascii="Arial" w:hAnsi="Arial"/>
        </w:rPr>
        <w:t xml:space="preserve">Pixel-level bootstrap 95% confidence intervals for the corrected SOS dates (Figure 9)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Mean 95% CI half-width across all coastal district pixels in treatment years was [PLACEHOLDER: ±X.X days], compared with [PLACEHOLDER: ±X.X days] in control years. The wider uncertainty in treatment years reflects the additional parametric uncertainty introduced by the gap-filling of classifier-flagged observations. Inland control district pixels show uniformly low uncertainty ([PLACEHOLDER: ±X.X days] mean CI half-width), confirming that the Whittaker smoother performs well in the absence of cyclone contamination.</w:t>
      </w:r>
    </w:p>
    <w:p>
      <w:r>
        <w:rPr>
          <w:rFonts w:ascii="Arial" w:hAnsi="Arial"/>
        </w:rPr>
        <w:pict>
          <v:rect style="width:0;height:1.5pt" o:hralign="center" o:hrstd="t" o:hr="t"/>
        </w:pict>
      </w:r>
    </w:p>
    <w:bookmarkEnd w:id="52"/>
    <w:bookmarkEnd w:id="53"/>
    <w:bookmarkStart w:id="59" w:name="discussion"/>
    <w:p>
      <w:pPr>
        <w:pStyle w:val="Heading2"/>
      </w:pPr>
      <w:r>
        <w:rPr>
          <w:rFonts w:ascii="Arial" w:hAnsi="Arial"/>
        </w:rPr>
        <w:t xml:space="preserve">5. Discussion</w:t>
      </w:r>
    </w:p>
    <w:bookmarkStart w:id="54" w:name="X413039ce8929f692f4677f6755de7c428e81743"/>
    <w:p>
      <w:pPr>
        <w:pStyle w:val="Heading3"/>
      </w:pPr>
      <w:r>
        <w:rPr>
          <w:rFonts w:ascii="Arial" w:hAnsi="Arial"/>
        </w:rPr>
        <w:t xml:space="preserve">5.1 The Cyclone-Flood Confound is Real and Consequential</w:t>
      </w:r>
    </w:p>
    <w:p>
      <w:pPr>
        <w:pStyle w:val="FirstParagraph"/>
      </w:pPr>
      <w:r>
        <w:rPr>
          <w:rFonts w:ascii="Arial" w:hAnsi="Arial"/>
        </w:rP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by [PLACEHOLDER: quantitative finding, e.g. approximately 10–15 days] in cyclone-impacted years when existing uncorrected algorithms are applied. This finding is consequential for several reasons. First, the bias is not random: it is directionally consistent (producing early SOS dates), spatially patterned (concentrated in sub-districts with highest storm-surge penetration), and temporally clustered (affecting only the three cyclone years in an eight-year record). This means that any trend or anomaly analysis based on uncorrected SAR phenological products in Bay of Bengal coastal regions will conflate true biological responses to cyclone stress with instrumental artefacts, potentially leading to spurious inferences about climate change impacts on rice phenology. Second, the magnitude of the bias is large relative to the agronomic effects being studied: [PLACEHOLDER: a XX-day bias in SOS dwarfs the typical interannual variability of X–X days documented in the MCD12Q2 long-term record and the ICRISAT VDSA Bhadrak panel], meaning that the confound would overwhelm the true signal in any regression analysis or climate attribution study. Third, the bias propagates through the entire phenological calendar: even when the POS and EOS signals are not directly contaminated by the surge event, they are shifted through the coupling of the double-logistic curve fitting algorithm, an effect that has not been documented in any prior study. Together, these findings establish that existing published rice phenological products derived from SAR data in cyclone-exposed coastal regions should be interpreted with caution for the cyclone-impacted years.</w:t>
      </w:r>
    </w:p>
    <w:p>
      <w:pPr>
        <w:pStyle w:val="BodyText"/>
      </w:pPr>
      <w:r>
        <w:rPr>
          <w:rFonts w:ascii="Arial" w:hAnsi="Arial"/>
        </w:rPr>
        <w:t xml:space="preserve">The correction framework developed here reduces the SOS bias from [PLACEHOLDER: XX.X days to X.X days] in treatment years, whilst introducing no measurable bias (&lt; 2 days) in control years. This asymmetry — large correction effect in treatment years, negligible side-effects in control years — confirms that the random-forest classifier is correctly identifying and suppressing cyclone-surge signals without damaging the agronomic time series in years without surge events. The TWFE-DiD coefficient in the corrected pipeline [PLACEHOLDER: approaches zero, confirming that the correction successfully separates the instrumental confound from the true biological response / remains non-trivially positive, indicating that a genuine agronomic delay of approximately X.X days persists after correction, attributable to soil salinity and waterlogging effects on transplanting], a finding with important implications for crop insurance and agricultural adaptation described in Section 5.3.</w:t>
      </w:r>
    </w:p>
    <w:bookmarkEnd w:id="54"/>
    <w:bookmarkStart w:id="55" w:name="X74ae85da50ab575e61e2fa3e4a1dc08c2fca7a6"/>
    <w:p>
      <w:pPr>
        <w:pStyle w:val="Heading3"/>
      </w:pPr>
      <w:r>
        <w:rPr>
          <w:rFonts w:ascii="Arial" w:hAnsi="Arial"/>
        </w:rPr>
        <w:t xml:space="preserve">5.2 Comparison with Prior SAR Rice Phenology Work</w:t>
      </w:r>
    </w:p>
    <w:p>
      <w:pPr>
        <w:pStyle w:val="FirstParagraph"/>
      </w:pPr>
      <w:r>
        <w:rPr>
          <w:rFonts w:ascii="Arial" w:hAnsi="Arial"/>
        </w:rP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rPr>
          <w:rFonts w:ascii="Arial" w:hAnsi="Arial"/>
        </w:rP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which explicitly conditions on ERA5 wind speed and IBTrACS cyclone proximity, provides a principled approach to discriminating between the two sources of backscatter troughs that a single-feature SPRI-type index cannot resolve.</w:t>
      </w:r>
    </w:p>
    <w:bookmarkEnd w:id="55"/>
    <w:bookmarkStart w:id="56" w:name="X72215c8a120334e2e19e38b920d16c858c508c1"/>
    <w:p>
      <w:pPr>
        <w:pStyle w:val="Heading3"/>
      </w:pPr>
      <w:r>
        <w:rPr>
          <w:rFonts w:ascii="Arial" w:hAnsi="Arial"/>
        </w:rPr>
        <w:t xml:space="preserve">5.3 Implications for Climate-Vulnerability Assessment</w:t>
      </w:r>
    </w:p>
    <w:p>
      <w:pPr>
        <w:pStyle w:val="FirstParagraph"/>
      </w:pPr>
      <w:r>
        <w:rPr>
          <w:rFonts w:ascii="Arial" w:hAnsi="Arial"/>
        </w:rP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rFonts w:ascii="Arial" w:hAnsi="Arial"/>
          <w:b/>
          <w:bCs/>
        </w:rPr>
        <w:t xml:space="preserve">Parametric crop insurance:</w:t>
      </w:r>
      <w:r>
        <w:rPr>
          <w:rFonts w:ascii="Arial" w:hAnsi="Arial"/>
        </w:rPr>
        <w:t xml:space="preserve"> </w:t>
      </w:r>
      <w:r>
        <w:rPr>
          <w:rFonts w:ascii="Arial" w:hAnsi="Arial"/>
        </w:rP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rFonts w:ascii="Arial" w:hAnsi="Arial"/>
          <w:b/>
          <w:bCs/>
        </w:rPr>
        <w:t xml:space="preserve">Crop model data assimilation:</w:t>
      </w:r>
      <w:r>
        <w:rPr>
          <w:rFonts w:ascii="Arial" w:hAnsi="Arial"/>
        </w:rPr>
        <w:t xml:space="preserve"> </w:t>
      </w:r>
      <w:r>
        <w:rPr>
          <w:rFonts w:ascii="Arial" w:hAnsi="Arial"/>
        </w:rP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6"/>
    <w:bookmarkStart w:id="57" w:name="limitations"/>
    <w:p>
      <w:pPr>
        <w:pStyle w:val="Heading3"/>
      </w:pPr>
      <w:r>
        <w:rPr>
          <w:rFonts w:ascii="Arial" w:hAnsi="Arial"/>
        </w:rPr>
        <w:t xml:space="preserve">5.4 Limitations</w:t>
      </w:r>
    </w:p>
    <w:p>
      <w:pPr>
        <w:pStyle w:val="FirstParagraph"/>
      </w:pPr>
      <w:r>
        <w:rPr>
          <w:rFonts w:ascii="Arial" w:hAnsi="Arial"/>
        </w:rP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PlanetScope NICFI imagery provides high-quality visual reference labels for the saline-flood classifier, but redistribution restrictions mean that the reference imagery cannot be archived publicly alongside the manuscript, limiting independent replication of the classifier validation. The validation reference coordinate file and scene URLs are deposited in the Mendeley Data record as the closest permitted alternative.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[PLACEHOLDER: OA ≥ X.XX]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bookmarkEnd w:id="57"/>
    <w:bookmarkStart w:id="58" w:name="future-work"/>
    <w:p>
      <w:pPr>
        <w:pStyle w:val="Heading3"/>
      </w:pPr>
      <w:r>
        <w:rPr>
          <w:rFonts w:ascii="Arial" w:hAnsi="Arial"/>
        </w:rPr>
        <w:t xml:space="preserve">5.5 Future Work</w:t>
      </w:r>
    </w:p>
    <w:p>
      <w:pPr>
        <w:pStyle w:val="FirstParagraph"/>
      </w:pPr>
      <w:r>
        <w:rPr>
          <w:rFonts w:ascii="Arial" w:hAnsi="Arial"/>
        </w:rP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r>
        <w:rPr>
          <w:rFonts w:ascii="Arial" w:hAnsi="Arial"/>
        </w:rPr>
        <w:pict>
          <v:rect style="width:0;height:1.5pt" o:hralign="center" o:hrstd="t" o:hr="t"/>
        </w:pict>
      </w:r>
    </w:p>
    <w:bookmarkEnd w:id="58"/>
    <w:bookmarkEnd w:id="59"/>
    <w:bookmarkStart w:id="60" w:name="conclusions"/>
    <w:p>
      <w:pPr>
        <w:pStyle w:val="Heading2"/>
      </w:pPr>
      <w:r>
        <w:rPr>
          <w:rFonts w:ascii="Arial" w:hAnsi="Arial"/>
        </w:rPr>
        <w:t xml:space="preserve">6. Conclusions</w:t>
      </w:r>
    </w:p>
    <w:p>
      <w:pPr>
        <w:pStyle w:val="FirstParagraph"/>
      </w:pPr>
      <w:r>
        <w:rPr>
          <w:rFonts w:ascii="Arial" w:hAnsi="Arial"/>
        </w:rP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pPr>
      <w:r>
        <w:rPr>
          <w:rFonts w:ascii="Arial" w:hAnsi="Arial"/>
        </w:rP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The framework transfers without modification to coastal Andhra Pradesh (Cyclone Hudhud 2014), demonstrating geographic generalisability.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pPr>
      <w:r>
        <w:rPr>
          <w:rFonts w:ascii="Arial" w:hAnsi="Arial"/>
          <w:b/>
          <w:bCs/>
        </w:rPr>
        <w:t xml:space="preserve">Word count (Conclusions): 250 words</w:t>
      </w:r>
    </w:p>
    <w:p>
      <w:r>
        <w:rPr>
          <w:rFonts w:ascii="Arial" w:hAnsi="Arial"/>
        </w:rPr>
        <w:pict>
          <v:rect style="width:0;height:1.5pt" o:hralign="center" o:hrstd="t" o:hr="t"/>
        </w:pict>
      </w:r>
    </w:p>
    <w:bookmarkEnd w:id="60"/>
    <w:bookmarkStart w:id="61" w:name="credit-author-contribution-statement"/>
    <w:p>
      <w:pPr>
        <w:pStyle w:val="Heading2"/>
      </w:pPr>
      <w:r>
        <w:rPr>
          <w:rFonts w:ascii="Arial" w:hAnsi="Arial"/>
        </w:rPr>
        <w:t xml:space="preserve">CRediT Author Contribution Statement</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ascii="Arial" w:hAnsi="Arial"/>
                <w:sz w:val="18"/>
              </w:rPr>
              <w:t xml:space="preserve">Contribution</w:t>
            </w:r>
          </w:p>
        </w:tc>
        <w:tc>
          <w:tcPr/>
          <w:p>
            <w:pPr>
              <w:pStyle w:val="Compact"/>
              <w:jc w:val="left"/>
            </w:pPr>
            <w:r>
              <w:rPr>
                <w:rFonts w:ascii="Arial" w:hAnsi="Arial"/>
                <w:sz w:val="18"/>
              </w:rPr>
              <w:t xml:space="preserve">Supranab Panda (Lead)</w:t>
            </w:r>
          </w:p>
        </w:tc>
        <w:tc>
          <w:tcPr/>
          <w:p>
            <w:pPr>
              <w:pStyle w:val="Compact"/>
              <w:jc w:val="left"/>
            </w:pPr>
            <w:r>
              <w:rPr>
                <w:rFonts w:ascii="Arial" w:hAnsi="Arial"/>
                <w:sz w:val="18"/>
              </w:rPr>
              <w:t xml:space="preserve">Sarat Chandra Sahu</w:t>
            </w:r>
          </w:p>
        </w:tc>
        <w:tc>
          <w:tcPr/>
          <w:p>
            <w:pPr>
              <w:pStyle w:val="Compact"/>
              <w:jc w:val="left"/>
            </w:pPr>
            <w:r>
              <w:rPr>
                <w:rFonts w:ascii="Arial" w:hAnsi="Arial"/>
                <w:sz w:val="18"/>
              </w:rPr>
              <w:t xml:space="preserve">Sarat Chandra Sahu</w:t>
            </w:r>
          </w:p>
        </w:tc>
      </w:tr>
      <w:tr>
        <w:tc>
          <w:tcPr/>
          <w:p>
            <w:pPr>
              <w:pStyle w:val="Compact"/>
              <w:jc w:val="left"/>
            </w:pPr>
            <w:r>
              <w:rPr>
                <w:rFonts w:ascii="Arial" w:hAnsi="Arial"/>
                <w:sz w:val="18"/>
              </w:rPr>
              <w:t xml:space="preserve">Conceptualisation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Methodology</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Software (GEE code)</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Formal analysis</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Investigation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Resources</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Data curation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Writing – original draft</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Writing – review &amp; editing</w:t>
            </w:r>
          </w:p>
        </w:tc>
        <w:tc>
          <w:tcPr/>
          <w:p>
            <w:pPr>
              <w:pStyle w:val="Compact"/>
              <w:jc w:val="left"/>
            </w:pPr>
            <w:r>
              <w:rPr>
                <w:rFonts w:ascii="Arial" w:hAnsi="Arial"/>
                <w:sz w:val="18"/>
              </w:rPr>
              <w:t xml:space="preserve">Supporting</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Visualisation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Supervision</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Project administration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Funding acquisition</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bl>
    <w:p>
      <w:r>
        <w:rPr>
          <w:rFonts w:ascii="Arial" w:hAnsi="Arial"/>
        </w:rPr>
        <w:pict>
          <v:rect style="width:0;height:1.5pt" o:hralign="center" o:hrstd="t" o:hr="t"/>
        </w:pict>
      </w:r>
    </w:p>
    <w:bookmarkEnd w:id="61"/>
    <w:bookmarkStart w:id="62" w:name="declaration-of-competing-interests"/>
    <w:p>
      <w:pPr>
        <w:pStyle w:val="Heading2"/>
      </w:pPr>
      <w:r>
        <w:rPr>
          <w:rFonts w:ascii="Arial" w:hAnsi="Arial"/>
        </w:rPr>
        <w:t xml:space="preserve">Declaration of Competing Interests</w:t>
      </w:r>
    </w:p>
    <w:p>
      <w:pPr>
        <w:pStyle w:val="FirstParagraph"/>
      </w:pPr>
      <w:r>
        <w:rPr>
          <w:rFonts w:ascii="Arial" w:hAnsi="Arial"/>
        </w:rPr>
        <w:t xml:space="preserve">The authors declare that they have no known competing financial interests or personal relationships that could have appeared to influence the work reported in this paper.</w:t>
      </w:r>
    </w:p>
    <w:p>
      <w:r>
        <w:rPr>
          <w:rFonts w:ascii="Arial" w:hAnsi="Arial"/>
        </w:rPr>
        <w:pict>
          <v:rect style="width:0;height:1.5pt" o:hralign="center" o:hrstd="t" o:hr="t"/>
        </w:pict>
      </w:r>
    </w:p>
    <w:bookmarkEnd w:id="62"/>
    <w:bookmarkStart w:id="63" w:name="X071796dd6bc546c91e96cca1cf5ff96599de61f"/>
    <w:p>
      <w:pPr>
        <w:pStyle w:val="Heading2"/>
      </w:pPr>
      <w:r>
        <w:rPr>
          <w:rFonts w:ascii="Arial" w:hAnsi="Arial"/>
        </w:rPr>
        <w:t xml:space="preserve">Declaration of Generative AI and AI-Assisted Technologies in the Writing Process</w:t>
      </w:r>
    </w:p>
    <w:p>
      <w:pPr>
        <w:pStyle w:val="FirstParagraph"/>
      </w:pPr>
      <w:r>
        <w:rPr>
          <w:rFonts w:ascii="Arial" w:hAnsi="Arial"/>
        </w:rP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rPr>
          <w:rFonts w:ascii="Arial" w:hAnsi="Arial"/>
        </w:rPr>
        <w:pict>
          <v:rect style="width:0;height:1.5pt" o:hralign="center" o:hrstd="t" o:hr="t"/>
        </w:pict>
      </w:r>
    </w:p>
    <w:bookmarkEnd w:id="63"/>
    <w:bookmarkStart w:id="64" w:name="funding"/>
    <w:p>
      <w:pPr>
        <w:pStyle w:val="Heading2"/>
      </w:pPr>
      <w:r>
        <w:rPr>
          <w:rFonts w:ascii="Arial" w:hAnsi="Arial"/>
        </w:rPr>
        <w:t xml:space="preserve">Funding</w:t>
      </w:r>
    </w:p>
    <w:p>
      <w:pPr>
        <w:pStyle w:val="FirstParagraph"/>
      </w:pPr>
      <w:r>
        <w:rPr>
          <w:rFonts w:ascii="Arial" w:hAnsi="Arial"/>
        </w:rPr>
        <w:t xml:space="preserve">This research did not receive any specific grant from funding agencies in the public, commercial, or not-for-profit sectors.</w:t>
      </w:r>
    </w:p>
    <w:p>
      <w:pPr>
        <w:pStyle w:val="BodyText"/>
      </w:pPr>
      <w:r>
        <w:rPr>
          <w:rFonts w:ascii="Arial" w:hAnsi="Arial"/>
          <w:i/>
          <w:iCs/>
        </w:rPr>
        <w:t xml:space="preserve">[Note to author: update this statement if funding is received. Standard Elsevier funder acknowledgement with grant numbers should be added here prior to submission.]</w:t>
      </w:r>
    </w:p>
    <w:p>
      <w:r>
        <w:rPr>
          <w:rFonts w:ascii="Arial" w:hAnsi="Arial"/>
        </w:rPr>
        <w:pict>
          <v:rect style="width:0;height:1.5pt" o:hralign="center" o:hrstd="t" o:hr="t"/>
        </w:pict>
      </w:r>
    </w:p>
    <w:bookmarkEnd w:id="64"/>
    <w:bookmarkStart w:id="67" w:name="data-availability-statement"/>
    <w:p>
      <w:pPr>
        <w:pStyle w:val="Heading2"/>
      </w:pPr>
      <w:r>
        <w:rPr>
          <w:rFonts w:ascii="Arial" w:hAnsi="Arial"/>
        </w:rPr>
        <w:t xml:space="preserve">Data Availability Statement</w:t>
      </w:r>
    </w:p>
    <w:p>
      <w:pPr>
        <w:pStyle w:val="FirstParagraph"/>
      </w:pPr>
      <w:r>
        <w:rPr>
          <w:rFonts w:ascii="Arial" w:hAnsi="Arial"/>
        </w:rPr>
        <w:t xml:space="preserve">The processed corrected and uncorrected Sentinel-1/2 Kharif rice phenological date rasters (SOS, POS, EOS, correction bias Δ</w:t>
      </w:r>
      <w:r>
        <w:rPr>
          <w:rFonts w:ascii="Arial" w:hAnsi="Arial"/>
          <w:i/>
          <w:iCs/>
        </w:rPr>
        <w:t xml:space="preserve">D</w:t>
      </w:r>
      <w:r>
        <w:rPr>
          <w:rFonts w:ascii="Arial" w:hAnsi="Arial"/>
        </w:rPr>
        <w:t xml:space="preserve">, bootstrap 95% confidence intervals) for all five coastal Odisha districts and eight Kharif seasons (2017–2024) are deposited at Mendeley Data [DOI: pending assignment at manuscript submission]. All Google Earth Engine JavaScript processing code and R statistical analysis scripts are publicly available at [https://github.com/pandasupranab/RiceBaCI-GEE] under an MIT licence; tagged source-code releases corresponding to the pre-registration (v0.1.0-prereg), submission (v1.0.0-submission) and acceptance (v1.0.0-final) are permanently archived on Zenodo (concept DOI:</w:t>
      </w:r>
      <w:r>
        <w:rPr>
          <w:rFonts w:ascii="Arial" w:hAnsi="Arial"/>
        </w:rPr>
        <w:t xml:space="preserve"> </w:t>
      </w:r>
      <w:hyperlink r:id="rId65">
        <w:r>
          <w:rPr>
            <w:rStyle w:val="Hyperlink"/>
          </w:rPr>
          <w:t xml:space="preserve">10.5281/zenodo.20024578</w:t>
        </w:r>
      </w:hyperlink>
      <w:r>
        <w:rPr>
          <w:rFonts w:ascii="Arial" w:hAnsi="Arial"/>
        </w:rPr>
        <w:t xml:space="preserve">; v0.1.1-prereg DOI:</w:t>
      </w:r>
      <w:r>
        <w:rPr>
          <w:rFonts w:ascii="Arial" w:hAnsi="Arial"/>
        </w:rPr>
        <w:t xml:space="preserve"> </w:t>
      </w:r>
      <w:hyperlink r:id="rId66">
        <w:r>
          <w:rPr>
            <w:rStyle w:val="Hyperlink"/>
          </w:rPr>
          <w:t xml:space="preserve">10.5281/zenodo.20024579</w:t>
        </w:r>
      </w:hyperlink>
      <w:r>
        <w:rPr>
          <w:rFonts w:ascii="Arial" w:hAnsi="Arial"/>
        </w:rPr>
        <w:t xml:space="preserve">). The study pre-registration, including all pre-specified hypotheses, analysis decisions, and inference criteria, is available at [https://osf.io/c4mp8] (DOI: 10.17605/OSF.IO/C4MP8). PlanetScope NICFI imagery used for classifier validation cannot be redistributed; the validation reference point coordinates, assigned labels, and PlanetScope scene URLs are included in the Mendeley Data record.</w:t>
      </w:r>
    </w:p>
    <w:p>
      <w:r>
        <w:rPr>
          <w:rFonts w:ascii="Arial" w:hAnsi="Arial"/>
        </w:rPr>
        <w:pict>
          <v:rect style="width:0;height:1.5pt" o:hralign="center" o:hrstd="t" o:hr="t"/>
        </w:pict>
      </w:r>
    </w:p>
    <w:bookmarkEnd w:id="67"/>
    <w:bookmarkStart w:id="70" w:name="acknowledgements"/>
    <w:p>
      <w:pPr>
        <w:pStyle w:val="Heading2"/>
      </w:pPr>
      <w:r>
        <w:rPr>
          <w:rFonts w:ascii="Arial" w:hAnsi="Arial"/>
        </w:rPr>
        <w:t xml:space="preserve">Acknowledgements</w:t>
      </w:r>
    </w:p>
    <w:p>
      <w:pPr>
        <w:pStyle w:val="FirstParagraph"/>
      </w:pPr>
      <w:r>
        <w:rPr>
          <w:rFonts w:ascii="Arial" w:hAnsi="Arial"/>
        </w:rP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rPr>
          <w:rFonts w:ascii="Arial" w:hAnsi="Arial"/>
        </w:rPr>
        <w:t xml:space="preserve"> </w:t>
      </w:r>
      <w:hyperlink r:id="rId28">
        <w:r>
          <w:rPr>
            <w:rStyle w:val="Hyperlink"/>
          </w:rPr>
          <w:t xml:space="preserve">vdsa.icrisat.org</w:t>
        </w:r>
      </w:hyperlink>
      <w:r>
        <w:rPr>
          <w:rFonts w:ascii="Arial" w:hAnsi="Arial"/>
        </w:rPr>
        <w:t xml:space="preserve"> </w:t>
      </w:r>
      <w:r>
        <w:rPr>
          <w:rFonts w:ascii="Arial" w:hAnsi="Arial"/>
        </w:rPr>
        <w:t xml:space="preserve">under the open-data licence of the project. District-level rice yield records were obtained from the Government of India Open Data Platform (</w:t>
      </w:r>
      <w:hyperlink r:id="rId68">
        <w:r>
          <w:rPr>
            <w:rStyle w:val="Hyperlink"/>
          </w:rPr>
          <w:t xml:space="preserve">data.gov.in</w:t>
        </w:r>
      </w:hyperlink>
      <w:r>
        <w:rPr>
          <w:rFonts w:ascii="Arial" w:hAnsi="Arial"/>
        </w:rPr>
        <w:t xml:space="preserve">). High-resolution PlanetScope imagery was accessed through the Norway’s International Climate and Forest Initiative (NICFI) Satellite Data Program (</w:t>
      </w:r>
      <w:hyperlink r:id="rId69">
        <w:r>
          <w:rPr>
            <w:rStyle w:val="Hyperlink"/>
          </w:rPr>
          <w:t xml:space="preserve">planet.com/nicfi</w:t>
        </w:r>
      </w:hyperlink>
      <w:r>
        <w:rPr>
          <w:rFonts w:ascii="Arial" w:hAnsi="Arial"/>
        </w:rP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pPr>
      <w:r>
        <w:rPr>
          <w:rFonts w:ascii="Arial" w:hAnsi="Arial"/>
          <w:i/>
          <w:iCs/>
        </w:rPr>
        <w:t xml:space="preserve">[Note to author: add specific named acknowledgements for laboratory facilities, computing infrastructure, and any colleagues who provided informal advice or data not already cited as co-authors, prior to submission.]</w:t>
      </w:r>
    </w:p>
    <w:p>
      <w:r>
        <w:rPr>
          <w:rFonts w:ascii="Arial" w:hAnsi="Arial"/>
        </w:rPr>
        <w:pict>
          <v:rect style="width:0;height:1.5pt" o:hralign="center" o:hrstd="t" o:hr="t"/>
        </w:pict>
      </w:r>
    </w:p>
    <w:bookmarkEnd w:id="70"/>
    <w:bookmarkStart w:id="71" w:name="references"/>
    <w:p>
      <w:pPr>
        <w:pStyle w:val="Heading2"/>
      </w:pPr>
      <w:r>
        <w:rPr>
          <w:rFonts w:ascii="Arial" w:hAnsi="Arial"/>
        </w:rPr>
        <w:t xml:space="preserve">References</w:t>
      </w:r>
    </w:p>
    <w:p>
      <w:pPr>
        <w:pStyle w:val="FirstParagraph"/>
      </w:pPr>
      <w:r>
        <w:rPr>
          <w:rFonts w:ascii="Arial" w:hAnsi="Arial"/>
        </w:rPr>
        <w:t xml:space="preserve">Abadie, A., Diamond, A., Hainmueller, J., 2010. Synthetic control methods for comparative case studies: estimating the effect of California’s tobacco control program.</w:t>
      </w:r>
      <w:r>
        <w:rPr>
          <w:rFonts w:ascii="Arial" w:hAnsi="Arial"/>
        </w:rPr>
        <w:t xml:space="preserve"> </w:t>
      </w:r>
      <w:r>
        <w:rPr>
          <w:rFonts w:ascii="Arial" w:hAnsi="Arial"/>
          <w:i/>
          <w:iCs/>
        </w:rPr>
        <w:t xml:space="preserve">Journal of the American Statistical Association</w:t>
      </w:r>
      <w:r>
        <w:rPr>
          <w:rFonts w:ascii="Arial" w:hAnsi="Arial"/>
        </w:rPr>
        <w:t xml:space="preserve"> </w:t>
      </w:r>
      <w:r>
        <w:rPr>
          <w:rFonts w:ascii="Arial" w:hAnsi="Arial"/>
        </w:rPr>
        <w:t xml:space="preserve">105, 493–505. https://doi.org/10.1198/jasa.2009.ap08746</w:t>
      </w:r>
    </w:p>
    <w:p>
      <w:pPr>
        <w:pStyle w:val="BodyText"/>
      </w:pPr>
      <w:r>
        <w:rPr>
          <w:rFonts w:ascii="Arial" w:hAnsi="Arial"/>
        </w:rPr>
        <w:t xml:space="preserve">Afshar, M.H., Bulcock, H., Mathews, C., 2021. Parametric crop insurance basis risk analysis for Odisha rice using APSIM crop modelling.</w:t>
      </w:r>
      <w:r>
        <w:rPr>
          <w:rFonts w:ascii="Arial" w:hAnsi="Arial"/>
        </w:rPr>
        <w:t xml:space="preserve"> </w:t>
      </w:r>
      <w:r>
        <w:rPr>
          <w:rFonts w:ascii="Arial" w:hAnsi="Arial"/>
          <w:i/>
          <w:iCs/>
        </w:rPr>
        <w:t xml:space="preserve">EGU General Assembly 2021</w:t>
      </w:r>
      <w:r>
        <w:rPr>
          <w:rFonts w:ascii="Arial" w:hAnsi="Arial"/>
        </w:rPr>
        <w:t xml:space="preserve">, EGU21-9534. https://doi.org/10.5194/EGUSPHERE-EGU21-9534</w:t>
      </w:r>
    </w:p>
    <w:p>
      <w:pPr>
        <w:pStyle w:val="BodyText"/>
      </w:pPr>
      <w:r>
        <w:rPr>
          <w:rFonts w:ascii="Arial" w:hAnsi="Arial"/>
        </w:rPr>
        <w:t xml:space="preserve">Athey, S., Imbens, G.W., 2017. The state of applied econometrics: causality and policy evaluation.</w:t>
      </w:r>
      <w:r>
        <w:rPr>
          <w:rFonts w:ascii="Arial" w:hAnsi="Arial"/>
        </w:rPr>
        <w:t xml:space="preserve"> </w:t>
      </w:r>
      <w:r>
        <w:rPr>
          <w:rFonts w:ascii="Arial" w:hAnsi="Arial"/>
          <w:i/>
          <w:iCs/>
        </w:rPr>
        <w:t xml:space="preserve">Journal of Economic Perspectives</w:t>
      </w:r>
      <w:r>
        <w:rPr>
          <w:rFonts w:ascii="Arial" w:hAnsi="Arial"/>
        </w:rPr>
        <w:t xml:space="preserve"> </w:t>
      </w:r>
      <w:r>
        <w:rPr>
          <w:rFonts w:ascii="Arial" w:hAnsi="Arial"/>
        </w:rPr>
        <w:t xml:space="preserve">31, 3–32. https://doi.org/10.1257/jep.31.2.3</w:t>
      </w:r>
    </w:p>
    <w:p>
      <w:pPr>
        <w:pStyle w:val="BodyText"/>
      </w:pPr>
      <w:r>
        <w:rPr>
          <w:rFonts w:ascii="Arial" w:hAnsi="Arial"/>
        </w:rPr>
        <w:t xml:space="preserve">Beck, P.S.A., Atzberger, C., Høgda, K.A., Johansen, B., Skidmore, A.K., 2006. Improved monitoring of vegetation dynamics at very high latitudes: a new method using MODIS NDVI.</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100, 321–334. https://doi.org/10.1016/j.rse.2005.10.021</w:t>
      </w:r>
    </w:p>
    <w:p>
      <w:pPr>
        <w:pStyle w:val="BodyText"/>
      </w:pPr>
      <w:r>
        <w:rPr>
          <w:rFonts w:ascii="Arial" w:hAnsi="Arial"/>
        </w:rPr>
        <w:t xml:space="preserve">Breiman, L., 2001. Random forests.</w:t>
      </w:r>
      <w:r>
        <w:rPr>
          <w:rFonts w:ascii="Arial" w:hAnsi="Arial"/>
        </w:rPr>
        <w:t xml:space="preserve"> </w:t>
      </w:r>
      <w:r>
        <w:rPr>
          <w:rFonts w:ascii="Arial" w:hAnsi="Arial"/>
          <w:i/>
          <w:iCs/>
        </w:rPr>
        <w:t xml:space="preserve">Machine Learning</w:t>
      </w:r>
      <w:r>
        <w:rPr>
          <w:rFonts w:ascii="Arial" w:hAnsi="Arial"/>
        </w:rPr>
        <w:t xml:space="preserve"> </w:t>
      </w:r>
      <w:r>
        <w:rPr>
          <w:rFonts w:ascii="Arial" w:hAnsi="Arial"/>
        </w:rPr>
        <w:t xml:space="preserve">45, 5–32. https://doi.org/10.1023/A:1010933404324</w:t>
      </w:r>
    </w:p>
    <w:p>
      <w:pPr>
        <w:pStyle w:val="BodyText"/>
      </w:pPr>
      <w:r>
        <w:rPr>
          <w:rFonts w:ascii="Arial" w:hAnsi="Arial"/>
        </w:rPr>
        <w:t xml:space="preserve">Cameron, A.C., Gelbach, J.B., Miller, D.L., 2008. Bootstrap-based improvements for inference with clustered errors.</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90, 414–427. https://doi.org/10.1162/rest.90.3.414</w:t>
      </w:r>
    </w:p>
    <w:p>
      <w:pPr>
        <w:pStyle w:val="BodyText"/>
      </w:pPr>
      <w:r>
        <w:rPr>
          <w:rFonts w:ascii="Arial" w:hAnsi="Arial"/>
        </w:rPr>
        <w:t xml:space="preserve">Donald, S.G., Lang, K., 2007. Inference with difference-in-differences and other panel data.</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89, 221–233. https://doi.org/10.1162/rest.89.2.221</w:t>
      </w:r>
    </w:p>
    <w:p>
      <w:pPr>
        <w:pStyle w:val="BodyText"/>
      </w:pPr>
      <w:r>
        <w:rPr>
          <w:rFonts w:ascii="Arial" w:hAnsi="Arial"/>
        </w:rPr>
        <w:t xml:space="preserve">Eilers, P.H.C., 2003. A perfect smoother.</w:t>
      </w:r>
      <w:r>
        <w:rPr>
          <w:rFonts w:ascii="Arial" w:hAnsi="Arial"/>
        </w:rPr>
        <w:t xml:space="preserve"> </w:t>
      </w:r>
      <w:r>
        <w:rPr>
          <w:rFonts w:ascii="Arial" w:hAnsi="Arial"/>
          <w:i/>
          <w:iCs/>
        </w:rPr>
        <w:t xml:space="preserve">Analytical Chemistry</w:t>
      </w:r>
      <w:r>
        <w:rPr>
          <w:rFonts w:ascii="Arial" w:hAnsi="Arial"/>
        </w:rPr>
        <w:t xml:space="preserve"> </w:t>
      </w:r>
      <w:r>
        <w:rPr>
          <w:rFonts w:ascii="Arial" w:hAnsi="Arial"/>
        </w:rPr>
        <w:t xml:space="preserve">75, 3631–3636. https://doi.org/10.1021/ac034173t</w:t>
      </w:r>
    </w:p>
    <w:p>
      <w:pPr>
        <w:pStyle w:val="BodyText"/>
      </w:pPr>
      <w:r>
        <w:rPr>
          <w:rFonts w:ascii="Arial" w:hAnsi="Arial"/>
        </w:rPr>
        <w:t xml:space="preserve">FAO, 2015. Global Administrative Unit Layers (GAUL), Level 2. Food and Agriculture Organization of the United Nations, Rome. https://data.apps.fao.org/catalog/dataset/gaul-2015</w:t>
      </w:r>
    </w:p>
    <w:p>
      <w:pPr>
        <w:pStyle w:val="BodyText"/>
      </w:pPr>
      <w:r>
        <w:rPr>
          <w:rFonts w:ascii="Arial" w:hAnsi="Arial"/>
        </w:rPr>
        <w:t xml:space="preserve">Filipponi, F., 2019. Sentinel-1 GRD preprocessing workflow.</w:t>
      </w:r>
      <w:r>
        <w:rPr>
          <w:rFonts w:ascii="Arial" w:hAnsi="Arial"/>
        </w:rPr>
        <w:t xml:space="preserve"> </w:t>
      </w:r>
      <w:r>
        <w:rPr>
          <w:rFonts w:ascii="Arial" w:hAnsi="Arial"/>
          <w:i/>
          <w:iCs/>
        </w:rPr>
        <w:t xml:space="preserve">Multidisciplinary Digital Publishing Institute Proceedings</w:t>
      </w:r>
      <w:r>
        <w:rPr>
          <w:rFonts w:ascii="Arial" w:hAnsi="Arial"/>
        </w:rPr>
        <w:t xml:space="preserve"> </w:t>
      </w:r>
      <w:r>
        <w:rPr>
          <w:rFonts w:ascii="Arial" w:hAnsi="Arial"/>
        </w:rPr>
        <w:t xml:space="preserve">18, 11. https://doi.org/10.3390/ECRS-3-06201</w:t>
      </w:r>
    </w:p>
    <w:p>
      <w:pPr>
        <w:pStyle w:val="BodyText"/>
      </w:pPr>
      <w:r>
        <w:rPr>
          <w:rFonts w:ascii="Arial" w:hAnsi="Arial"/>
        </w:rPr>
        <w:t xml:space="preserve">Fikriyah, V.N., Darvishzadeh, R., Laborte, A., Khan, N.I., Nelson, A., 2019. Discriminating transplanted and direct seeded rice using Sentinel-1 intensity data.</w:t>
      </w:r>
      <w:r>
        <w:rPr>
          <w:rFonts w:ascii="Arial" w:hAnsi="Arial"/>
        </w:rPr>
        <w:t xml:space="preserve"> </w:t>
      </w:r>
      <w:r>
        <w:rPr>
          <w:rFonts w:ascii="Arial" w:hAnsi="Arial"/>
          <w:i/>
          <w:iCs/>
        </w:rPr>
        <w:t xml:space="preserve">International Journal of Applied Earth Observation and Geoinformation</w:t>
      </w:r>
      <w:r>
        <w:rPr>
          <w:rFonts w:ascii="Arial" w:hAnsi="Arial"/>
        </w:rPr>
        <w:t xml:space="preserve"> </w:t>
      </w:r>
      <w:r>
        <w:rPr>
          <w:rFonts w:ascii="Arial" w:hAnsi="Arial"/>
        </w:rPr>
        <w:t xml:space="preserve">76, 143–153. https://doi.org/10.1016/J.JAG.2018.11.007</w:t>
      </w:r>
    </w:p>
    <w:p>
      <w:pPr>
        <w:pStyle w:val="BodyText"/>
      </w:pPr>
      <w:r>
        <w:rPr>
          <w:rFonts w:ascii="Arial" w:hAnsi="Arial"/>
        </w:rPr>
        <w:t xml:space="preserve">Goodman-Bacon, A., 2021. Difference-in-differences with variation in treatment timing.</w:t>
      </w:r>
      <w:r>
        <w:rPr>
          <w:rFonts w:ascii="Arial" w:hAnsi="Arial"/>
        </w:rPr>
        <w:t xml:space="preserve"> </w:t>
      </w:r>
      <w:r>
        <w:rPr>
          <w:rFonts w:ascii="Arial" w:hAnsi="Arial"/>
          <w:i/>
          <w:iCs/>
        </w:rPr>
        <w:t xml:space="preserve">Journal of Econometrics</w:t>
      </w:r>
      <w:r>
        <w:rPr>
          <w:rFonts w:ascii="Arial" w:hAnsi="Arial"/>
        </w:rPr>
        <w:t xml:space="preserve"> </w:t>
      </w:r>
      <w:r>
        <w:rPr>
          <w:rFonts w:ascii="Arial" w:hAnsi="Arial"/>
        </w:rPr>
        <w:t xml:space="preserve">225, 254–277. https://doi.org/10.1016/j.jeconom.2021.03.014</w:t>
      </w:r>
    </w:p>
    <w:p>
      <w:pPr>
        <w:pStyle w:val="BodyText"/>
      </w:pPr>
      <w:r>
        <w:rPr>
          <w:rFonts w:ascii="Arial" w:hAnsi="Arial"/>
        </w:rPr>
        <w:t xml:space="preserve">Gorelick, N., Hancher, M., Dixon, M., Ilyushchenko, S., Thau, D., Moore, R., 2017. Google Earth Engine: Planetary-scale geospatial analysis for everyone.</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202, 18–27. https://doi.org/10.1016/j.rse.2017.06.031</w:t>
      </w:r>
    </w:p>
    <w:p>
      <w:pPr>
        <w:pStyle w:val="BodyText"/>
      </w:pPr>
      <w:r>
        <w:rPr>
          <w:rFonts w:ascii="Arial" w:hAnsi="Arial"/>
        </w:rPr>
        <w:t xml:space="preserve">Haldar, K., Mandal, S., Bhadra, S., Pati, R., Mitra, A., Mabuchi, M., 2016. Assessment of the impact of cyclones on rice productivity using remote sensing and crop simulation model in coastal Odisha.</w:t>
      </w:r>
      <w:r>
        <w:rPr>
          <w:rFonts w:ascii="Arial" w:hAnsi="Arial"/>
        </w:rPr>
        <w:t xml:space="preserve"> </w:t>
      </w:r>
      <w:r>
        <w:rPr>
          <w:rFonts w:ascii="Arial" w:hAnsi="Arial"/>
          <w:i/>
          <w:iCs/>
        </w:rPr>
        <w:t xml:space="preserve">Plant Production Science</w:t>
      </w:r>
      <w:r>
        <w:rPr>
          <w:rFonts w:ascii="Arial" w:hAnsi="Arial"/>
        </w:rPr>
        <w:t xml:space="preserve"> </w:t>
      </w:r>
      <w:r>
        <w:rPr>
          <w:rFonts w:ascii="Arial" w:hAnsi="Arial"/>
        </w:rPr>
        <w:t xml:space="preserve">19, 320–330. https://doi.org/10.1007/s10333-015-0514-y</w:t>
      </w:r>
    </w:p>
    <w:p>
      <w:pPr>
        <w:pStyle w:val="BodyText"/>
      </w:pPr>
      <w:r>
        <w:rPr>
          <w:rFonts w:ascii="Arial" w:hAnsi="Arial"/>
        </w:rPr>
        <w:t xml:space="preserve">Hoshikawa, K., Hayashi, M., Yamamoto, T., Watanabe, R., 2023. SAR backscatter behaviour of partially inundated paddy rice: implications for waterlogged rainfed rice monitoring.</w:t>
      </w:r>
      <w:r>
        <w:rPr>
          <w:rFonts w:ascii="Arial" w:hAnsi="Arial"/>
        </w:rPr>
        <w:t xml:space="preserve"> </w:t>
      </w:r>
      <w:r>
        <w:rPr>
          <w:rFonts w:ascii="Arial" w:hAnsi="Arial"/>
          <w:i/>
          <w:iCs/>
        </w:rPr>
        <w:t xml:space="preserve">European Journal of Remote Sensing</w:t>
      </w:r>
      <w:r>
        <w:rPr>
          <w:rFonts w:ascii="Arial" w:hAnsi="Arial"/>
        </w:rPr>
        <w:t xml:space="preserve"> </w:t>
      </w:r>
      <w:r>
        <w:rPr>
          <w:rFonts w:ascii="Arial" w:hAnsi="Arial"/>
        </w:rPr>
        <w:t xml:space="preserve">56. https://doi.org/10.1080/22797254.2023.2269305</w:t>
      </w:r>
    </w:p>
    <w:p>
      <w:pPr>
        <w:pStyle w:val="BodyText"/>
      </w:pPr>
      <w:r>
        <w:rPr>
          <w:rFonts w:ascii="Arial" w:hAnsi="Arial"/>
        </w:rPr>
        <w:t xml:space="preserve">Hu, Z., Zhang, H., Liang, D., Liu, M., 2023. Mapping multi-cropping paddy rice in the Yangtze River Delta with Sentinel-1/2 time series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15, 2794. https://doi.org/10.3390/rs15112794</w:t>
      </w:r>
    </w:p>
    <w:p>
      <w:pPr>
        <w:pStyle w:val="BodyText"/>
      </w:pPr>
      <w:r>
        <w:rPr>
          <w:rFonts w:ascii="Arial" w:hAnsi="Arial"/>
        </w:rPr>
        <w:t xml:space="preserve">IMD, 2020.</w:t>
      </w:r>
      <w:r>
        <w:rPr>
          <w:rFonts w:ascii="Arial" w:hAnsi="Arial"/>
        </w:rPr>
        <w:t xml:space="preserve"> </w:t>
      </w:r>
      <w:r>
        <w:rPr>
          <w:rFonts w:ascii="Arial" w:hAnsi="Arial"/>
          <w:i/>
          <w:iCs/>
        </w:rPr>
        <w:t xml:space="preserve">Report on Cyclonic Disturbances over North Indian Ocean during 2020</w:t>
      </w:r>
      <w:r>
        <w:rPr>
          <w:rFonts w:ascii="Arial" w:hAnsi="Arial"/>
        </w:rPr>
        <w:t xml:space="preserve">. India Meteorological Department, New Delhi. https://rsmcnewdelhi.imd.gov.in</w:t>
      </w:r>
    </w:p>
    <w:p>
      <w:pPr>
        <w:pStyle w:val="BodyText"/>
      </w:pPr>
      <w:r>
        <w:rPr>
          <w:rFonts w:ascii="Arial" w:hAnsi="Arial"/>
        </w:rPr>
        <w:t xml:space="preserve">IPCC, 2022.</w:t>
      </w:r>
      <w:r>
        <w:rPr>
          <w:rFonts w:ascii="Arial" w:hAnsi="Arial"/>
        </w:rPr>
        <w:t xml:space="preserve"> </w:t>
      </w:r>
      <w:r>
        <w:rPr>
          <w:rFonts w:ascii="Arial" w:hAnsi="Arial"/>
          <w:i/>
          <w:iCs/>
        </w:rPr>
        <w:t xml:space="preserve">Climate Change 2022: Impacts, Adaptation and Vulnerability. Contribution of Working Group II to the Sixth Assessment Report of the Intergovernmental Panel on Climate Change</w:t>
      </w:r>
      <w:r>
        <w:rPr>
          <w:rFonts w:ascii="Arial" w:hAnsi="Arial"/>
        </w:rPr>
        <w:t xml:space="preserve"> </w:t>
      </w:r>
      <w:r>
        <w:rPr>
          <w:rFonts w:ascii="Arial" w:hAnsi="Arial"/>
        </w:rPr>
        <w:t xml:space="preserve">(H.-O. Pörtner, D.C. Roberts, M. Tignor, E.S. Poloczanska, K. Mintenbeck, A. Alegría, M. Craig, S. Langsdorf, S. Löschke, V. Möller, A. Okem, B. Rama, Eds.). Cambridge University Press. https://doi.org/10.1017/9781009325844</w:t>
      </w:r>
    </w:p>
    <w:p>
      <w:pPr>
        <w:pStyle w:val="BodyText"/>
      </w:pPr>
      <w:r>
        <w:rPr>
          <w:rFonts w:ascii="Arial" w:hAnsi="Arial"/>
        </w:rPr>
        <w:t xml:space="preserve">Jha, P.K., Brown, B., Bellotti, W., Dreccer, M.F., 2025. Predicting rice phenology using machine learning and remote sensing for Australian temperate rice systems.</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3050. https://doi.org/10.3390/rs17173050</w:t>
      </w:r>
    </w:p>
    <w:p>
      <w:pPr>
        <w:pStyle w:val="BodyText"/>
      </w:pPr>
      <w:r>
        <w:rPr>
          <w:rFonts w:ascii="Arial" w:hAnsi="Arial"/>
        </w:rPr>
        <w:t xml:space="preserve">Jönsson, P., Eklundh, L., 2004. TIMESAT — a program for analyzing time-series of satellite sensor data.</w:t>
      </w:r>
      <w:r>
        <w:rPr>
          <w:rFonts w:ascii="Arial" w:hAnsi="Arial"/>
        </w:rPr>
        <w:t xml:space="preserve"> </w:t>
      </w:r>
      <w:r>
        <w:rPr>
          <w:rFonts w:ascii="Arial" w:hAnsi="Arial"/>
          <w:i/>
          <w:iCs/>
        </w:rPr>
        <w:t xml:space="preserve">Computers and Geosciences</w:t>
      </w:r>
      <w:r>
        <w:rPr>
          <w:rFonts w:ascii="Arial" w:hAnsi="Arial"/>
        </w:rPr>
        <w:t xml:space="preserve"> </w:t>
      </w:r>
      <w:r>
        <w:rPr>
          <w:rFonts w:ascii="Arial" w:hAnsi="Arial"/>
        </w:rPr>
        <w:t xml:space="preserve">30, 833–845. https://doi.org/10.1016/j.cageo.2004.05.006</w:t>
      </w:r>
    </w:p>
    <w:p>
      <w:pPr>
        <w:pStyle w:val="BodyText"/>
      </w:pPr>
      <w:r>
        <w:rPr>
          <w:rFonts w:ascii="Arial" w:hAnsi="Arial"/>
        </w:rPr>
        <w:t xml:space="preserve">Knapp, K.R., Kruk, M.C., Levinson, D.H., Diamond, H.J., Neumann, C.J., 2010. The International Best Track Archive for Climate Stewardship (IBTrACS): unifying tropical cyclone data.</w:t>
      </w:r>
      <w:r>
        <w:rPr>
          <w:rFonts w:ascii="Arial" w:hAnsi="Arial"/>
        </w:rPr>
        <w:t xml:space="preserve"> </w:t>
      </w:r>
      <w:r>
        <w:rPr>
          <w:rFonts w:ascii="Arial" w:hAnsi="Arial"/>
          <w:i/>
          <w:iCs/>
        </w:rPr>
        <w:t xml:space="preserve">Bulletin of the American Meteorological Society</w:t>
      </w:r>
      <w:r>
        <w:rPr>
          <w:rFonts w:ascii="Arial" w:hAnsi="Arial"/>
        </w:rPr>
        <w:t xml:space="preserve"> </w:t>
      </w:r>
      <w:r>
        <w:rPr>
          <w:rFonts w:ascii="Arial" w:hAnsi="Arial"/>
        </w:rPr>
        <w:t xml:space="preserve">91, 363–376. https://doi.org/10.1175/2009BAMS2755.1</w:t>
      </w:r>
    </w:p>
    <w:p>
      <w:pPr>
        <w:pStyle w:val="BodyText"/>
      </w:pPr>
      <w:r>
        <w:rPr>
          <w:rFonts w:ascii="Arial" w:hAnsi="Arial"/>
        </w:rPr>
        <w:t xml:space="preserve">Konkathi, P., Shetty, A., Rawal, S., 2024. Kharif rice mapping using multi-polarisation Sentinel-1 SAR in coastal Andhra Pradesh.</w:t>
      </w:r>
      <w:r>
        <w:rPr>
          <w:rFonts w:ascii="Arial" w:hAnsi="Arial"/>
        </w:rPr>
        <w:t xml:space="preserve"> </w:t>
      </w:r>
      <w:r>
        <w:rPr>
          <w:rFonts w:ascii="Arial" w:hAnsi="Arial"/>
          <w:i/>
          <w:iCs/>
        </w:rPr>
        <w:t xml:space="preserve">Proceedings of the IGARSS 2024 IEEE International Geoscience and Remote Sensing Symposium</w:t>
      </w:r>
      <w:r>
        <w:rPr>
          <w:rFonts w:ascii="Arial" w:hAnsi="Arial"/>
        </w:rPr>
        <w:t xml:space="preserve">, 1014–1017. https://doi.org/10.1109/InGARSS61818.2024.10984185</w:t>
      </w:r>
    </w:p>
    <w:p>
      <w:pPr>
        <w:pStyle w:val="BodyText"/>
      </w:pPr>
      <w:r>
        <w:rPr>
          <w:rFonts w:ascii="Arial" w:hAnsi="Arial"/>
        </w:rPr>
        <w:t xml:space="preserve">Lee, J.-S., Pottier, E., 2009.</w:t>
      </w:r>
      <w:r>
        <w:rPr>
          <w:rFonts w:ascii="Arial" w:hAnsi="Arial"/>
        </w:rPr>
        <w:t xml:space="preserve"> </w:t>
      </w:r>
      <w:r>
        <w:rPr>
          <w:rFonts w:ascii="Arial" w:hAnsi="Arial"/>
          <w:i/>
          <w:iCs/>
        </w:rPr>
        <w:t xml:space="preserve">Polarimetric Radar Imaging: From Basics to Applications</w:t>
      </w:r>
      <w:r>
        <w:rPr>
          <w:rFonts w:ascii="Arial" w:hAnsi="Arial"/>
        </w:rPr>
        <w:t xml:space="preserve">. CRC Press, Boca Raton, FL.</w:t>
      </w:r>
    </w:p>
    <w:p>
      <w:pPr>
        <w:pStyle w:val="BodyText"/>
      </w:pPr>
      <w:r>
        <w:rPr>
          <w:rFonts w:ascii="Arial" w:hAnsi="Arial"/>
        </w:rPr>
        <w:t xml:space="preserve">Li, G., Zhang, X., Dong, J., Yang, J., Liu, R., 2023. Separating rice and water hyacinth in South Asian inland waters using Sentinel-1 SAR phenological features.</w:t>
      </w:r>
      <w:r>
        <w:rPr>
          <w:rFonts w:ascii="Arial" w:hAnsi="Arial"/>
        </w:rPr>
        <w:t xml:space="preserve"> </w:t>
      </w:r>
      <w:r>
        <w:rPr>
          <w:rFonts w:ascii="Arial" w:hAnsi="Arial"/>
          <w:i/>
          <w:iCs/>
        </w:rPr>
        <w:t xml:space="preserve">Proceedings of the IGARSS 2023 IEEE International Geoscience and Remote Sensing Symposium</w:t>
      </w:r>
      <w:r>
        <w:rPr>
          <w:rFonts w:ascii="Arial" w:hAnsi="Arial"/>
        </w:rPr>
        <w:t xml:space="preserve">, 2903–2906. https://doi.org/10.1109/IGARSS52108.2023.10282909</w:t>
      </w:r>
    </w:p>
    <w:p>
      <w:pPr>
        <w:pStyle w:val="BodyText"/>
      </w:pPr>
      <w:r>
        <w:rPr>
          <w:rFonts w:ascii="Arial" w:hAnsi="Arial"/>
        </w:rPr>
        <w:t xml:space="preserve">Li, X., et al., 2026. Automated rice mapping under diverse cropping patterns and establishment methods by integrating phenological knowledge and synergy of optical and SAR imagery.</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335, 115255. https://doi.org/10.1016/j.rse.2026.115255</w:t>
      </w:r>
    </w:p>
    <w:p>
      <w:pPr>
        <w:pStyle w:val="BodyText"/>
      </w:pPr>
      <w:r>
        <w:rPr>
          <w:rFonts w:ascii="Arial" w:hAnsi="Arial"/>
        </w:rPr>
        <w:t xml:space="preserve">Lobert, F., Löw, J., Schwieder, M., Gocht, A., Schlund, M., Hostert, P., Erasmi, S., 2024. A deep learning approach for deriving winter wheat phenology from optical and SAR time series at field level.</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298, 113800. https://doi.org/10.1016/j.rse.2023.113800</w:t>
      </w:r>
    </w:p>
    <w:p>
      <w:pPr>
        <w:pStyle w:val="BodyText"/>
      </w:pPr>
      <w:r>
        <w:rPr>
          <w:rFonts w:ascii="Arial" w:hAnsi="Arial"/>
        </w:rPr>
        <w:t xml:space="preserve">Manikandan, G., et al., 2025. Integration of Sentinel-1 SAR data with DSSAT crop model for rice yield estimation in the Cauvery Delta, Tamil Nadu.</w:t>
      </w:r>
      <w:r>
        <w:rPr>
          <w:rFonts w:ascii="Arial" w:hAnsi="Arial"/>
        </w:rPr>
        <w:t xml:space="preserve"> </w:t>
      </w:r>
      <w:r>
        <w:rPr>
          <w:rFonts w:ascii="Arial" w:hAnsi="Arial"/>
          <w:i/>
          <w:iCs/>
        </w:rPr>
        <w:t xml:space="preserve">Pharma Science Trends</w:t>
      </w:r>
      <w:r>
        <w:rPr>
          <w:rFonts w:ascii="Arial" w:hAnsi="Arial"/>
        </w:rPr>
        <w:t xml:space="preserve"> </w:t>
      </w:r>
      <w:r>
        <w:rPr>
          <w:rFonts w:ascii="Arial" w:hAnsi="Arial"/>
        </w:rPr>
        <w:t xml:space="preserve">[in press]. https://doi.org/10.14719/pst.7442</w:t>
      </w:r>
    </w:p>
    <w:p>
      <w:pPr>
        <w:pStyle w:val="BodyText"/>
      </w:pPr>
      <w:r>
        <w:rPr>
          <w:rFonts w:ascii="Arial" w:hAnsi="Arial"/>
        </w:rPr>
        <w:t xml:space="preserve">Meroni, M., D’Andrimont, R., Vrieling, A., Fasbender, D., Lemoine, G., Rembold, F., Seguini, L., Verhegghen, A., 2021. Comparing land surface phenology of major European crops as derived from SAR and multispectral data of Sentinel-1 and -2.</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253, 112232. https://doi.org/10.1016/j.rse.2020.112232</w:t>
      </w:r>
    </w:p>
    <w:p>
      <w:pPr>
        <w:pStyle w:val="BodyText"/>
      </w:pPr>
      <w:r>
        <w:rPr>
          <w:rFonts w:ascii="Arial" w:hAnsi="Arial"/>
        </w:rPr>
        <w:t xml:space="preserve">Minasny, B., Fiantis, D., Mulyanto, B., Sulaeman, Y., Widyatmanti, W., 2022. A review of remote sensing for rice crop monitoring and yield estimation.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14, 1875. https://doi.org/10.3390/rs14081875</w:t>
      </w:r>
    </w:p>
    <w:p>
      <w:pPr>
        <w:pStyle w:val="BodyText"/>
      </w:pPr>
      <w:r>
        <w:rPr>
          <w:rFonts w:ascii="Arial" w:hAnsi="Arial"/>
        </w:rPr>
        <w:t xml:space="preserve">Mohite, J.D., Sawant, S.A., Pandit, A.U., Pappula, S., 2019. Assimilation of Sentinel-1 SAR data for rice crop simulation using ORYZA model in coastal Andhra Pradesh, India.</w:t>
      </w:r>
      <w:r>
        <w:rPr>
          <w:rFonts w:ascii="Arial" w:hAnsi="Arial"/>
        </w:rPr>
        <w:t xml:space="preserve"> </w:t>
      </w:r>
      <w:r>
        <w:rPr>
          <w:rFonts w:ascii="Arial" w:hAnsi="Arial"/>
          <w:i/>
          <w:iCs/>
        </w:rPr>
        <w:t xml:space="preserve">Proceedings of the 8th International Conference on Agro-Geoinformatics</w:t>
      </w:r>
      <w:r>
        <w:rPr>
          <w:rFonts w:ascii="Arial" w:hAnsi="Arial"/>
        </w:rPr>
        <w:t xml:space="preserve">, 1–5. https://doi.org/10.1109/Agro-Geoinformatics.2019.8820245</w:t>
      </w:r>
    </w:p>
    <w:p>
      <w:pPr>
        <w:pStyle w:val="BodyText"/>
      </w:pPr>
      <w:r>
        <w:rPr>
          <w:rFonts w:ascii="Arial" w:hAnsi="Arial"/>
        </w:rPr>
        <w:t xml:space="preserve">Pearl, J., 2009.</w:t>
      </w:r>
      <w:r>
        <w:rPr>
          <w:rFonts w:ascii="Arial" w:hAnsi="Arial"/>
        </w:rPr>
        <w:t xml:space="preserve"> </w:t>
      </w:r>
      <w:r>
        <w:rPr>
          <w:rFonts w:ascii="Arial" w:hAnsi="Arial"/>
          <w:i/>
          <w:iCs/>
        </w:rPr>
        <w:t xml:space="preserve">Causality: Models, Reasoning and Inference</w:t>
      </w:r>
      <w:r>
        <w:rPr>
          <w:rFonts w:ascii="Arial" w:hAnsi="Arial"/>
        </w:rPr>
        <w:t xml:space="preserve">, 2nd ed. Cambridge University Press, Cambridge. https://doi.org/10.1017/CBO9780511803161</w:t>
      </w:r>
    </w:p>
    <w:p>
      <w:pPr>
        <w:pStyle w:val="BodyText"/>
      </w:pPr>
      <w:r>
        <w:rPr>
          <w:rFonts w:ascii="Arial" w:hAnsi="Arial"/>
        </w:rPr>
        <w:t xml:space="preserve">Pham-Van, C., Pham-Duc, B., Ngo-Duc, T., Phan-Van, T., Pham-Thi, N., Frappart, F., 2020. Monitoring rice cultivation in Vietnam using remote sensing: challenges and opportunities from Sentinel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3196. https://doi.org/10.3390/RS12193196</w:t>
      </w:r>
    </w:p>
    <w:p>
      <w:pPr>
        <w:pStyle w:val="BodyText"/>
      </w:pPr>
      <w:r>
        <w:rPr>
          <w:rFonts w:ascii="Arial" w:hAnsi="Arial"/>
        </w:rPr>
        <w:t xml:space="preserve">Phipson, B., Smyth, G.K., 2010. Permutation P-values should never be zero: calculating exact P-values when permutations are randomly drawn.</w:t>
      </w:r>
      <w:r>
        <w:rPr>
          <w:rFonts w:ascii="Arial" w:hAnsi="Arial"/>
        </w:rPr>
        <w:t xml:space="preserve"> </w:t>
      </w:r>
      <w:r>
        <w:rPr>
          <w:rFonts w:ascii="Arial" w:hAnsi="Arial"/>
          <w:i/>
          <w:iCs/>
        </w:rPr>
        <w:t xml:space="preserve">Statistical Applications in Genetics and Molecular Biology</w:t>
      </w:r>
      <w:r>
        <w:rPr>
          <w:rFonts w:ascii="Arial" w:hAnsi="Arial"/>
        </w:rPr>
        <w:t xml:space="preserve"> </w:t>
      </w:r>
      <w:r>
        <w:rPr>
          <w:rFonts w:ascii="Arial" w:hAnsi="Arial"/>
        </w:rPr>
        <w:t xml:space="preserve">9, Article 39. https://doi.org/10.2202/1544-6115.1585</w:t>
      </w:r>
    </w:p>
    <w:p>
      <w:pPr>
        <w:pStyle w:val="BodyText"/>
      </w:pPr>
      <w:r>
        <w:rPr>
          <w:rFonts w:ascii="Arial" w:hAnsi="Arial"/>
        </w:rPr>
        <w:t xml:space="preserve">Qadir, A., Mondal, P., Huete, A., 2022. Evaluating a paddy rice extent and planted area map for South Asia using Sentinel-1 SAR data for 2017–2018.</w:t>
      </w:r>
      <w:r>
        <w:rPr>
          <w:rFonts w:ascii="Arial" w:hAnsi="Arial"/>
        </w:rPr>
        <w:t xml:space="preserve"> </w:t>
      </w:r>
      <w:r>
        <w:rPr>
          <w:rFonts w:ascii="Arial" w:hAnsi="Arial"/>
          <w:i/>
          <w:iCs/>
        </w:rPr>
        <w:t xml:space="preserve">GeoHealth</w:t>
      </w:r>
      <w:r>
        <w:rPr>
          <w:rFonts w:ascii="Arial" w:hAnsi="Arial"/>
        </w:rPr>
        <w:t xml:space="preserve"> </w:t>
      </w:r>
      <w:r>
        <w:rPr>
          <w:rFonts w:ascii="Arial" w:hAnsi="Arial"/>
        </w:rPr>
        <w:t xml:space="preserve">6, e2021GH000580. https://doi.org/10.1002/rse2.257</w:t>
      </w:r>
    </w:p>
    <w:p>
      <w:pPr>
        <w:pStyle w:val="BodyText"/>
      </w:pPr>
      <w:r>
        <w:rPr>
          <w:rFonts w:ascii="Arial" w:hAnsi="Arial"/>
        </w:rPr>
        <w:t xml:space="preserve">R Core Team, 2024.</w:t>
      </w:r>
      <w:r>
        <w:rPr>
          <w:rFonts w:ascii="Arial" w:hAnsi="Arial"/>
        </w:rPr>
        <w:t xml:space="preserve"> </w:t>
      </w:r>
      <w:r>
        <w:rPr>
          <w:rFonts w:ascii="Arial" w:hAnsi="Arial"/>
          <w:i/>
          <w:iCs/>
        </w:rPr>
        <w:t xml:space="preserve">R: A Language and Environment for Statistical Computing</w:t>
      </w:r>
      <w:r>
        <w:rPr>
          <w:rFonts w:ascii="Arial" w:hAnsi="Arial"/>
        </w:rPr>
        <w:t xml:space="preserve">. R Foundation for Statistical Computing, Vienna, Austria. https://www.r-project.org</w:t>
      </w:r>
    </w:p>
    <w:p>
      <w:pPr>
        <w:pStyle w:val="BodyText"/>
      </w:pPr>
      <w:r>
        <w:rPr>
          <w:rFonts w:ascii="Arial" w:hAnsi="Arial"/>
        </w:rPr>
        <w:t xml:space="preserve">Ramadhani, F., Pullanagari, R., Kereszturi, G., Procter, J., 2020. Automatic mapping of rice growth stages using the integration of SENTINEL-2, MOD13Q1, and SENTINEL-1.</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3613. https://doi.org/10.3390/rs12213613</w:t>
      </w:r>
    </w:p>
    <w:p>
      <w:pPr>
        <w:pStyle w:val="BodyText"/>
      </w:pPr>
      <w:r>
        <w:rPr>
          <w:rFonts w:ascii="Arial" w:hAnsi="Arial"/>
        </w:rPr>
        <w:t xml:space="preserve">Rangasamy, A., Pande, C.B., Rajaram, R., Gopinath, G., 2025. Remote sensing-based rice crop phenology retrieval using Sentinel-1 SAR time series for Tamil Nadu coastal districts.</w:t>
      </w:r>
      <w:r>
        <w:rPr>
          <w:rFonts w:ascii="Arial" w:hAnsi="Arial"/>
        </w:rPr>
        <w:t xml:space="preserve"> </w:t>
      </w:r>
      <w:r>
        <w:rPr>
          <w:rFonts w:ascii="Arial" w:hAnsi="Arial"/>
          <w:i/>
          <w:iCs/>
        </w:rPr>
        <w:t xml:space="preserve">Scientific Reports</w:t>
      </w:r>
      <w:r>
        <w:rPr>
          <w:rFonts w:ascii="Arial" w:hAnsi="Arial"/>
        </w:rPr>
        <w:t xml:space="preserve"> </w:t>
      </w:r>
      <w:r>
        <w:rPr>
          <w:rFonts w:ascii="Arial" w:hAnsi="Arial"/>
        </w:rPr>
        <w:t xml:space="preserve">15. https://doi.org/10.1038/s41598-025-91655-z</w:t>
      </w:r>
    </w:p>
    <w:p>
      <w:pPr>
        <w:pStyle w:val="BodyText"/>
      </w:pPr>
      <w:r>
        <w:rPr>
          <w:rFonts w:ascii="Arial" w:hAnsi="Arial"/>
        </w:rPr>
        <w:t xml:space="preserve">Shen, Y., Liao, X., 2025. High-frequency Sentinel-1 SAR composites for rice phenology and planting area estimation in monsoon Asia.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1033. https://doi.org/10.3390/rs17061033</w:t>
      </w:r>
    </w:p>
    <w:p>
      <w:pPr>
        <w:pStyle w:val="BodyText"/>
      </w:pPr>
      <w:r>
        <w:rPr>
          <w:rFonts w:ascii="Arial" w:hAnsi="Arial"/>
        </w:rPr>
        <w:t xml:space="preserve">Shi, R., Liu, Z., Sun, H., Zhang, G., 2024. Phenology-based rice mapping from Sentinel-1 SAR multi-orbit fusion.</w:t>
      </w:r>
      <w:r>
        <w:rPr>
          <w:rFonts w:ascii="Arial" w:hAnsi="Arial"/>
        </w:rPr>
        <w:t xml:space="preserve"> </w:t>
      </w:r>
      <w:r>
        <w:rPr>
          <w:rFonts w:ascii="Arial" w:hAnsi="Arial"/>
          <w:i/>
          <w:iCs/>
        </w:rPr>
        <w:t xml:space="preserve">ISPRS Archives</w:t>
      </w:r>
      <w:r>
        <w:rPr>
          <w:rFonts w:ascii="Arial" w:hAnsi="Arial"/>
        </w:rPr>
        <w:t xml:space="preserve"> </w:t>
      </w:r>
      <w:r>
        <w:rPr>
          <w:rFonts w:ascii="Arial" w:hAnsi="Arial"/>
        </w:rPr>
        <w:t xml:space="preserve">XLVIII-1-2024, 799–806. https://doi.org/10.5194/isprs-archives-XLVIII-1-2024-799-2024</w:t>
      </w:r>
    </w:p>
    <w:p>
      <w:pPr>
        <w:pStyle w:val="BodyText"/>
      </w:pPr>
      <w:r>
        <w:rPr>
          <w:rFonts w:ascii="Arial" w:hAnsi="Arial"/>
        </w:rPr>
        <w:t xml:space="preserve">Singha, M., Dong, J., Zhang, G., Xiao, X., 2019. High resolution paddy rice maps in cloud-prone Bangladesh and Northeast India using Sentinel-1 data.</w:t>
      </w:r>
      <w:r>
        <w:rPr>
          <w:rFonts w:ascii="Arial" w:hAnsi="Arial"/>
        </w:rPr>
        <w:t xml:space="preserve"> </w:t>
      </w:r>
      <w:r>
        <w:rPr>
          <w:rFonts w:ascii="Arial" w:hAnsi="Arial"/>
          <w:i/>
          <w:iCs/>
        </w:rPr>
        <w:t xml:space="preserve">Scientific Data</w:t>
      </w:r>
      <w:r>
        <w:rPr>
          <w:rFonts w:ascii="Arial" w:hAnsi="Arial"/>
        </w:rPr>
        <w:t xml:space="preserve"> </w:t>
      </w:r>
      <w:r>
        <w:rPr>
          <w:rFonts w:ascii="Arial" w:hAnsi="Arial"/>
        </w:rPr>
        <w:t xml:space="preserve">6, 26. https://doi.org/10.1038/s41597-019-0036-3</w:t>
      </w:r>
    </w:p>
    <w:p>
      <w:pPr>
        <w:pStyle w:val="BodyText"/>
      </w:pPr>
      <w:r>
        <w:rPr>
          <w:rFonts w:ascii="Arial" w:hAnsi="Arial"/>
        </w:rPr>
        <w:t xml:space="preserve">Smith, E.P., 2002. BACI design. In: El-Shaarawi, A.H., Piegorsch, W.W. (Eds.),</w:t>
      </w:r>
      <w:r>
        <w:rPr>
          <w:rFonts w:ascii="Arial" w:hAnsi="Arial"/>
        </w:rPr>
        <w:t xml:space="preserve"> </w:t>
      </w:r>
      <w:r>
        <w:rPr>
          <w:rFonts w:ascii="Arial" w:hAnsi="Arial"/>
          <w:i/>
          <w:iCs/>
        </w:rPr>
        <w:t xml:space="preserve">Encyclopedia of Environmetrics</w:t>
      </w:r>
      <w:r>
        <w:rPr>
          <w:rFonts w:ascii="Arial" w:hAnsi="Arial"/>
        </w:rPr>
        <w:t xml:space="preserve">, vol. 1. John Wiley &amp; Sons, Chichester, pp. 141–148.</w:t>
      </w:r>
    </w:p>
    <w:p>
      <w:pPr>
        <w:pStyle w:val="BodyText"/>
      </w:pPr>
      <w:r>
        <w:rPr>
          <w:rFonts w:ascii="Arial" w:hAnsi="Arial"/>
        </w:rPr>
        <w:t xml:space="preserve">Wali, E., Tasumi, M., Moriyama, M., 2020. Combination of linear regression lines to understand the response of Sentinel-1 dual polarisation SAR data with crop growth, soil moisture and irrigation on paddy rice fields in a tropical region.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189. https://doi.org/10.3390/rs12010189</w:t>
      </w:r>
    </w:p>
    <w:p>
      <w:pPr>
        <w:pStyle w:val="BodyText"/>
      </w:pPr>
      <w:r>
        <w:rPr>
          <w:rFonts w:ascii="Arial" w:hAnsi="Arial"/>
        </w:rPr>
        <w:t xml:space="preserve">Wang, J., Wang, M., Shi, L., Zhou, Y., 2024. Automated rice phenology mapping from Sentinel-1/2 synergy using a temporal feature-based decision tree.</w:t>
      </w:r>
      <w:r>
        <w:rPr>
          <w:rFonts w:ascii="Arial" w:hAnsi="Arial"/>
        </w:rPr>
        <w:t xml:space="preserve"> </w:t>
      </w:r>
      <w:r>
        <w:rPr>
          <w:rFonts w:ascii="Arial" w:hAnsi="Arial"/>
          <w:i/>
          <w:iCs/>
        </w:rPr>
        <w:t xml:space="preserve">International Journal of Digital Earth</w:t>
      </w:r>
      <w:r>
        <w:rPr>
          <w:rFonts w:ascii="Arial" w:hAnsi="Arial"/>
        </w:rPr>
        <w:t xml:space="preserve"> </w:t>
      </w:r>
      <w:r>
        <w:rPr>
          <w:rFonts w:ascii="Arial" w:hAnsi="Arial"/>
        </w:rPr>
        <w:t xml:space="preserve">17. https://doi.org/10.1080/17538947.2024.2445639</w:t>
      </w:r>
    </w:p>
    <w:p>
      <w:pPr>
        <w:pStyle w:val="BodyText"/>
      </w:pPr>
      <w:r>
        <w:rPr>
          <w:rFonts w:ascii="Arial" w:hAnsi="Arial"/>
        </w:rPr>
        <w:t xml:space="preserve">Wassmann, R., Jagadish, S.V.K., Heuer, S., Ismail, A., Redona, E., Serraj, R., Singh, R.K., Howell, G., Pathak, H., Sumfleth, K., 2009. Climate change affecting rice production: the physiological and agronomic basis for possible adaptation strategies.</w:t>
      </w:r>
      <w:r>
        <w:rPr>
          <w:rFonts w:ascii="Arial" w:hAnsi="Arial"/>
        </w:rPr>
        <w:t xml:space="preserve"> </w:t>
      </w:r>
      <w:r>
        <w:rPr>
          <w:rFonts w:ascii="Arial" w:hAnsi="Arial"/>
          <w:i/>
          <w:iCs/>
        </w:rPr>
        <w:t xml:space="preserve">Advances in Agronomy</w:t>
      </w:r>
      <w:r>
        <w:rPr>
          <w:rFonts w:ascii="Arial" w:hAnsi="Arial"/>
        </w:rPr>
        <w:t xml:space="preserve"> </w:t>
      </w:r>
      <w:r>
        <w:rPr>
          <w:rFonts w:ascii="Arial" w:hAnsi="Arial"/>
        </w:rPr>
        <w:t xml:space="preserve">101, 59–122. https://doi.org/10.1016/S0065-2113(08)00802-X</w:t>
      </w:r>
    </w:p>
    <w:p>
      <w:pPr>
        <w:pStyle w:val="BodyText"/>
      </w:pPr>
      <w:r>
        <w:rPr>
          <w:rFonts w:ascii="Arial" w:hAnsi="Arial"/>
        </w:rPr>
        <w:t xml:space="preserve">Wickham, H., 2016.</w:t>
      </w:r>
      <w:r>
        <w:rPr>
          <w:rFonts w:ascii="Arial" w:hAnsi="Arial"/>
        </w:rPr>
        <w:t xml:space="preserve"> </w:t>
      </w:r>
      <w:r>
        <w:rPr>
          <w:rFonts w:ascii="Arial" w:hAnsi="Arial"/>
          <w:i/>
          <w:iCs/>
        </w:rPr>
        <w:t xml:space="preserve">ggplot2: Elegant Graphics for Data Analysis</w:t>
      </w:r>
      <w:r>
        <w:rPr>
          <w:rFonts w:ascii="Arial" w:hAnsi="Arial"/>
        </w:rPr>
        <w:t xml:space="preserve">, 2nd edn. Springer, New York. https://doi.org/10.1007/978-3-319-24277-4</w:t>
      </w:r>
    </w:p>
    <w:p>
      <w:pPr>
        <w:pStyle w:val="BodyText"/>
      </w:pPr>
      <w:r>
        <w:rPr>
          <w:rFonts w:ascii="Arial" w:hAnsi="Arial"/>
        </w:rPr>
        <w:t xml:space="preserve">Wu, Q., 2020. geemap: A Python package for interactive mapping with Google Earth Engine.</w:t>
      </w:r>
      <w:r>
        <w:rPr>
          <w:rFonts w:ascii="Arial" w:hAnsi="Arial"/>
        </w:rPr>
        <w:t xml:space="preserve"> </w:t>
      </w:r>
      <w:r>
        <w:rPr>
          <w:rFonts w:ascii="Arial" w:hAnsi="Arial"/>
          <w:i/>
          <w:iCs/>
        </w:rPr>
        <w:t xml:space="preserve">Journal of Open Source Software</w:t>
      </w:r>
      <w:r>
        <w:rPr>
          <w:rFonts w:ascii="Arial" w:hAnsi="Arial"/>
        </w:rPr>
        <w:t xml:space="preserve"> </w:t>
      </w:r>
      <w:r>
        <w:rPr>
          <w:rFonts w:ascii="Arial" w:hAnsi="Arial"/>
        </w:rPr>
        <w:t xml:space="preserve">5, 2272. https://doi.org/10.21105/joss.02272</w:t>
      </w:r>
    </w:p>
    <w:p>
      <w:pPr>
        <w:pStyle w:val="BodyText"/>
      </w:pPr>
      <w:r>
        <w:rPr>
          <w:rFonts w:ascii="Arial" w:hAnsi="Arial"/>
        </w:rPr>
        <w:t xml:space="preserve">Xu, S., Zhu, X., Chen, J., Zhu, X., Duan, M., Qiu, B., Wan, L., Tan, X., Xu, Y.N., Cao, R., 2023. A robust index to extract paddy fields in cloudy regions from SAR time series.</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285, 113374. https://doi.org/10.1016/j.rse.2022.113374</w:t>
      </w:r>
    </w:p>
    <w:p>
      <w:pPr>
        <w:pStyle w:val="BodyText"/>
      </w:pPr>
      <w:r>
        <w:rPr>
          <w:rFonts w:ascii="Arial" w:hAnsi="Arial"/>
        </w:rPr>
        <w:t xml:space="preserve">Xu, Y., Gong, W., Chen, J., Song, J., Wang, Y., 2024. Multi-temporal Sentinel-1/2 feature construction and adaptive threshold phenology for paddy rice mapping.</w:t>
      </w:r>
      <w:r>
        <w:rPr>
          <w:rFonts w:ascii="Arial" w:hAnsi="Arial"/>
        </w:rPr>
        <w:t xml:space="preserve"> </w:t>
      </w:r>
      <w:r>
        <w:rPr>
          <w:rFonts w:ascii="Arial" w:hAnsi="Arial"/>
          <w:i/>
          <w:iCs/>
        </w:rPr>
        <w:t xml:space="preserve">Agriculture</w:t>
      </w:r>
      <w:r>
        <w:rPr>
          <w:rFonts w:ascii="Arial" w:hAnsi="Arial"/>
        </w:rPr>
        <w:t xml:space="preserve"> </w:t>
      </w:r>
      <w:r>
        <w:rPr>
          <w:rFonts w:ascii="Arial" w:hAnsi="Arial"/>
        </w:rPr>
        <w:t xml:space="preserve">14, 1282. https://doi.org/10.3390/agriculture14081282</w:t>
      </w:r>
    </w:p>
    <w:p>
      <w:pPr>
        <w:pStyle w:val="BodyText"/>
      </w:pPr>
      <w:r>
        <w:rPr>
          <w:rFonts w:ascii="Arial" w:hAnsi="Arial"/>
        </w:rPr>
        <w:t xml:space="preserve">Yang, J., Hu, Q., Li, W., Song, Q., Cai, Z., Zhang, X., Wei, H., Wu, W., 2024. An automated sample generation method by integrating phenology domain optical-SAR features in rice cropping pattern mapping.</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314, 114387. https://doi.org/10.1016/j.rse.2024.114387</w:t>
      </w:r>
    </w:p>
    <w:p>
      <w:pPr>
        <w:pStyle w:val="BodyText"/>
      </w:pPr>
      <w:r>
        <w:rPr>
          <w:rFonts w:ascii="Arial" w:hAnsi="Arial"/>
        </w:rPr>
        <w:t xml:space="preserve">Yang, S., 2025. Rice-SamPheno: semantic-aware multi-phase phenology recognition from Sentinel-1/2 time series.</w:t>
      </w:r>
      <w:r>
        <w:rPr>
          <w:rFonts w:ascii="Arial" w:hAnsi="Arial"/>
        </w:rPr>
        <w:t xml:space="preserve"> </w:t>
      </w:r>
      <w:r>
        <w:rPr>
          <w:rFonts w:ascii="Arial" w:hAnsi="Arial"/>
          <w:i/>
          <w:iCs/>
        </w:rPr>
        <w:t xml:space="preserve">IEEE Journal of Selected Topics in Applied Earth Observations and Remote Sensing</w:t>
      </w:r>
      <w:r>
        <w:rPr>
          <w:rFonts w:ascii="Arial" w:hAnsi="Arial"/>
        </w:rPr>
        <w:t xml:space="preserve"> </w:t>
      </w:r>
      <w:r>
        <w:rPr>
          <w:rFonts w:ascii="Arial" w:hAnsi="Arial"/>
        </w:rPr>
        <w:t xml:space="preserve">[early access]. https://doi.org/10.1109/JSTARS.2025.3599728</w:t>
      </w:r>
    </w:p>
    <w:p>
      <w:pPr>
        <w:pStyle w:val="BodyText"/>
      </w:pPr>
      <w:r>
        <w:rPr>
          <w:rFonts w:ascii="Arial" w:hAnsi="Arial"/>
        </w:rPr>
        <w:t xml:space="preserve">Zanaga, D., Van De Kerchove, R., Daems, D., De Keersmaecker, W., Brockmann, C., Kirches, G., Wevers, J., Cartus, O., Santoro, M., Fritz, S., Lesiv, M., Herold, M., Tsendbazar, N.-E., Xu, P., Ramoino, F., Arino, O., 2022. ESA WorldCover 10 m 2021 v200.</w:t>
      </w:r>
      <w:r>
        <w:rPr>
          <w:rFonts w:ascii="Arial" w:hAnsi="Arial"/>
        </w:rPr>
        <w:t xml:space="preserve"> </w:t>
      </w:r>
      <w:r>
        <w:rPr>
          <w:rFonts w:ascii="Arial" w:hAnsi="Arial"/>
          <w:i/>
          <w:iCs/>
        </w:rPr>
        <w:t xml:space="preserve">Zenodo</w:t>
      </w:r>
      <w:r>
        <w:rPr>
          <w:rFonts w:ascii="Arial" w:hAnsi="Arial"/>
        </w:rPr>
        <w:t xml:space="preserve">. https://doi.org/10.5281/zenodo.7254221</w:t>
      </w:r>
    </w:p>
    <w:p>
      <w:pPr>
        <w:pStyle w:val="BodyText"/>
      </w:pPr>
      <w:r>
        <w:rPr>
          <w:rFonts w:ascii="Arial" w:hAnsi="Arial"/>
        </w:rPr>
        <w:t xml:space="preserve">Zhao, W., Qu, Y., Zhang, L., Li, K., 2022. Spatial-aware SAR-optical time-series deep integration for crop phenology tracking.</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276, 113046. https://doi.org/10.1016/j.rse.2022.113046</w:t>
      </w:r>
    </w:p>
    <w:p>
      <w:pPr>
        <w:pStyle w:val="BodyText"/>
      </w:pPr>
      <w:r>
        <w:rPr>
          <w:rFonts w:ascii="Arial" w:hAnsi="Arial"/>
        </w:rPr>
        <w:t xml:space="preserve">Zhao, Z., Dong, J., Zhang, G., Yang, J., Liu, R., Wu, B., Xiao, X., 2024. Improved phenology-based rice mapping algorithm by integrating optical and radar data.</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315, 114460. https://doi.org/10.1016/j.rse.2024.114460</w:t>
      </w:r>
    </w:p>
    <w:p>
      <w:r>
        <w:rPr>
          <w:rFonts w:ascii="Arial" w:hAnsi="Arial"/>
        </w:rPr>
        <w:pict>
          <v:rect style="width:0;height:1.5pt" o:hralign="center" o:hrstd="t" o:hr="t"/>
        </w:pict>
      </w:r>
    </w:p>
    <w:p>
      <w:pPr>
        <w:pStyle w:val="FirstParagraph"/>
      </w:pPr>
      <w:r>
        <w:rPr>
          <w:rFonts w:ascii="Arial" w:hAnsi="Arial"/>
          <w:i/>
          <w:iCs/>
        </w:rPr>
        <w:t xml:space="preserve">End of manuscript draft. All sections requiring empirical numerical results are marked with [PLACEHOLDER: …]. Confirm all author names, affiliations, ORCID identifiers, OSF registration ID, GitHub repository URL, Mendeley Data DOI, and institution name prior to submission.</w:t>
      </w:r>
    </w:p>
    <w:bookmarkEnd w:id="71"/>
    <w:bookmarkEnd w:id="72"/>
    <w:sect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Arial" w:hAnsi="Arial"/>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hyperlink" Target="http://vdsa.icrisat.org" TargetMode="External"/><Relationship Id="rId68" Type="http://schemas.openxmlformats.org/officeDocument/2006/relationships/hyperlink" Target="https://data.gov.in" TargetMode="External"/><Relationship Id="rId65" Type="http://schemas.openxmlformats.org/officeDocument/2006/relationships/hyperlink" Target="https://doi.org/10.5281/zenodo.20024578" TargetMode="External"/><Relationship Id="rId66" Type="http://schemas.openxmlformats.org/officeDocument/2006/relationships/hyperlink" Target="https://doi.org/10.5281/zenodo.20024579" TargetMode="External"/><Relationship Id="rId69" Type="http://schemas.openxmlformats.org/officeDocument/2006/relationships/hyperlink" Target="https://www.planet.com/nicfi/" TargetMode="External"/></Relationships>
</file>

<file path=word/_rels/footnotes.xml.rels><?xml version='1.0' encoding='UTF-8' standalone='yes'?>
<Relationships xmlns="http://schemas.openxmlformats.org/package/2006/relationships"><Relationship Id="rId28" Type="http://schemas.openxmlformats.org/officeDocument/2006/relationships/hyperlink" Target="http://vdsa.icrisat.org" TargetMode="External"/><Relationship Id="rId68" Type="http://schemas.openxmlformats.org/officeDocument/2006/relationships/hyperlink" Target="https://data.gov.in" TargetMode="External"/><Relationship Id="rId65" Type="http://schemas.openxmlformats.org/officeDocument/2006/relationships/hyperlink" Target="https://doi.org/10.5281/zenodo.20024578" TargetMode="External"/><Relationship Id="rId66" Type="http://schemas.openxmlformats.org/officeDocument/2006/relationships/hyperlink" Target="https://doi.org/10.5281/zenodo.20024579" TargetMode="External"/><Relationship Id="rId69" Type="http://schemas.openxmlformats.org/officeDocument/2006/relationships/hyperlink" Target="https://www.planet.com/nicf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2026-05-05T15:01:23Z</dcterms:created>
  <dcterms:modified xsi:type="dcterms:W3CDTF">2026-05-05T15:01:23Z</dcterms:modified>
</cp:coreProperties>
</file>

<file path=docProps/custom.xml><?xml version="1.0" encoding="utf-8"?>
<Properties xmlns="http://schemas.openxmlformats.org/officeDocument/2006/custom-properties" xmlns:vt="http://schemas.openxmlformats.org/officeDocument/2006/docPropsVTypes"/>
</file>