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0"/>
        </w:rPr>
        <w:t>Table S8. Pre-Kharif identification cyclones at the Odisha coast: per-storm summary and 1981–2018 climatological percentiles.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</w:tblGrid>
      <w:tr>
        <w:tc>
          <w:tcPr>
            <w:tcW w:type="dxa" w:w="1073"/>
          </w:tcPr>
          <w:p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b/>
                <w:sz w:val="16"/>
              </w:rPr>
              <w:t>Season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b/>
                <w:sz w:val="16"/>
              </w:rPr>
              <w:t>Landfall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b/>
                <w:sz w:val="16"/>
              </w:rPr>
              <w:t>DOY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b/>
                <w:sz w:val="16"/>
              </w:rPr>
              <w:t>IMD cat.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b/>
                <w:sz w:val="16"/>
              </w:rPr>
              <w:t>S–S cat.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b/>
                <w:sz w:val="16"/>
              </w:rPr>
              <w:t>Vmax (kt)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b/>
                <w:sz w:val="16"/>
              </w:rPr>
              <w:t>Pmin (hPa)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b/>
                <w:sz w:val="16"/>
              </w:rPr>
              <w:t>Surge (m)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b/>
                <w:sz w:val="16"/>
              </w:rPr>
              <w:t>Synoptic class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b/>
                <w:sz w:val="16"/>
              </w:rPr>
              <w:t>Vmax %ile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b/>
                <w:sz w:val="16"/>
              </w:rPr>
              <w:t>Pmin %ile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b/>
                <w:sz w:val="16"/>
              </w:rPr>
              <w:t>Surge %ile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b/>
                <w:sz w:val="16"/>
              </w:rPr>
              <w:t>DOY %ile</w:t>
            </w:r>
          </w:p>
        </w:tc>
      </w:tr>
      <w:tr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Fani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2019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2019-05-03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123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ESCS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135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932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1.5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Equatorial trough genesis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97.5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91.5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55.8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26.6</w:t>
            </w:r>
          </w:p>
        </w:tc>
      </w:tr>
      <w:tr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Amphan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2020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2020-05-20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141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SuCS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925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4.6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Monsoon-trough remnant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100.0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95.0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91.5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55.4</w:t>
            </w:r>
          </w:p>
        </w:tc>
      </w:tr>
      <w:tr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Yaas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2021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2021-05-26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146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VSCS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970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2.0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Easterly-wave Bay genesis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81.0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56.2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65.4</w:t>
            </w:r>
          </w:p>
        </w:tc>
        <w:tc>
          <w:tcPr>
            <w:tcW w:type="dxa" w:w="1073"/>
          </w:tcPr>
          <w:p>
            <w:r>
              <w:rPr>
                <w:rFonts w:ascii="Arial" w:hAnsi="Arial"/>
                <w:sz w:val="16"/>
              </w:rPr>
              <w:t>64.3</w:t>
            </w:r>
          </w:p>
        </w:tc>
      </w:tr>
    </w:tbl>
    <w:p>
      <w:r>
        <w:rPr>
          <w:rFonts w:ascii="Arial" w:hAnsi="Arial"/>
          <w:i/>
          <w:sz w:val="18"/>
        </w:rPr>
        <w:br/>
        <w:t>Vmax: peak 1-min sustained wind. Pmin: minimum central pressure. Surge: peak observed storm-surge height (IMD RSMC reports). %ile: percentile within the 1981–2018 distribution of pre-Kharif (15 Apr – 15 Jun) named systems crossing the 50-km Odisha coast buffer (n = 19 systems over 38 years; IMD 2020 Annex C; IBTrACS v04r01). Pmin %ile is computed on the inverted scale so that 100 = strongest. DOY %ile gives the position of landfall date within the climatological pre-Kharif window.</w:t>
      </w:r>
    </w:p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