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Table S9. Canonical Sentinel-1 dual-polarisation backscatter signatures for the three inundation mechanisms exploited by the Module 02 saline-flood classifier.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Mechanism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Onset DOY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Onset rate (d)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VH base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VH min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ΔVH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VV base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VV min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ΔVV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CR base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CR min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ΔCR (dB)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VH recov. (d)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VV recov. (d)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b/>
                <w:sz w:val="16"/>
              </w:rPr>
              <w:t>CR recov. (d)</w:t>
            </w:r>
          </w:p>
        </w:tc>
      </w:tr>
      <w:tr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Transplanting flood (agronomic)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-14.0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-20.5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-6.5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-9.0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-13.5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-4.5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-5.0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-7.0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-2.0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</w:tr>
      <w:tr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Saline storm-surge (cyclonic)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123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-12.0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-22.5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-10.5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-8.5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-15.0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-6.5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-3.5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-7.5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-4.0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</w:tr>
      <w:tr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Freshwater rainfall (Bulbul-class)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313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-13.5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-16.5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-3.0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-8.5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-10.0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-5.0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-6.5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-1.5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002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</w:tr>
    </w:tbl>
    <w:p>
      <w:r>
        <w:rPr>
          <w:rFonts w:ascii="Arial" w:hAnsi="Arial"/>
          <w:i/>
          <w:sz w:val="18"/>
        </w:rPr>
        <w:br/>
        <w:t>VH and VV are calibrated dual-polarisation backscatter in decibels (Sentinel-1 IW GRD). CR = VH − VV (dB) is the cross-ratio. Onset rate is the time from baseline to trough minimum. Recovery is the e-folding time from trough to within 1 dB of baseline. Values are canonical idealisations calibrated against Hoshikawa et al. (2023), Wali et al. (2020), Filipponi (2019), Konkathi et al. (2024), and Lee &amp; Pottier (2009); they specify the feature space exploited by the Module 02 random-forest classifier (§3.3) and are not produced by direct measurement.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