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rFonts w:ascii="Arial" w:hAnsi="Arial"/>
          <w:b/>
          <w:sz w:val="20"/>
        </w:rPr>
        <w:t>Table S2.  Parallel-trends test: regression of phenology metric on year × treat interaction in pre-treatment period (years &lt; 2019). A non-significant coefficient supports the DiD identifying assumption.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rFonts w:ascii="Arial" w:hAnsi="Arial"/>
                <w:b/>
                <w:sz w:val="20"/>
              </w:rPr>
              <w:t>Pipeline</w:t>
            </w:r>
          </w:p>
        </w:tc>
        <w:tc>
          <w:tcPr>
            <w:tcW w:type="dxa" w:w="1234"/>
          </w:tcPr>
          <w:p>
            <w:r>
              <w:rPr>
                <w:rFonts w:ascii="Arial" w:hAnsi="Arial"/>
                <w:b/>
                <w:sz w:val="20"/>
              </w:rPr>
              <w:t>Metric</w:t>
            </w:r>
          </w:p>
        </w:tc>
        <w:tc>
          <w:tcPr>
            <w:tcW w:type="dxa" w:w="1234"/>
          </w:tcPr>
          <w:p>
            <w:r>
              <w:rPr>
                <w:rFonts w:ascii="Arial" w:hAnsi="Arial"/>
                <w:b/>
                <w:sz w:val="20"/>
              </w:rPr>
              <w:t>β (year×treat)</w:t>
            </w:r>
          </w:p>
        </w:tc>
        <w:tc>
          <w:tcPr>
            <w:tcW w:type="dxa" w:w="1234"/>
          </w:tcPr>
          <w:p>
            <w:r>
              <w:rPr>
                <w:rFonts w:ascii="Arial" w:hAnsi="Arial"/>
                <w:b/>
                <w:sz w:val="20"/>
              </w:rPr>
              <w:t>SE</w:t>
            </w:r>
          </w:p>
        </w:tc>
        <w:tc>
          <w:tcPr>
            <w:tcW w:type="dxa" w:w="1234"/>
          </w:tcPr>
          <w:p>
            <w:r>
              <w:rPr>
                <w:rFonts w:ascii="Arial" w:hAnsi="Arial"/>
                <w:b/>
                <w:sz w:val="20"/>
              </w:rPr>
              <w:t>p</w:t>
            </w:r>
          </w:p>
        </w:tc>
        <w:tc>
          <w:tcPr>
            <w:tcW w:type="dxa" w:w="1234"/>
          </w:tcPr>
          <w:p>
            <w:r>
              <w:rPr>
                <w:rFonts w:ascii="Arial" w:hAnsi="Arial"/>
                <w:b/>
                <w:sz w:val="20"/>
              </w:rPr>
              <w:t>N pre</w:t>
            </w:r>
          </w:p>
        </w:tc>
        <w:tc>
          <w:tcPr>
            <w:tcW w:type="dxa" w:w="1234"/>
          </w:tcPr>
          <w:p>
            <w:r>
              <w:rPr>
                <w:rFonts w:ascii="Arial" w:hAnsi="Arial"/>
                <w:b/>
                <w:sz w:val="20"/>
              </w:rPr>
              <w:t>Verdict</w:t>
            </w:r>
          </w:p>
        </w:tc>
      </w:tr>
      <w:tr>
        <w:tc>
          <w:tcPr>
            <w:tcW w:type="dxa" w:w="1234"/>
          </w:tcPr>
          <w:p>
            <w:r>
              <w:rPr>
                <w:rFonts w:ascii="Arial" w:hAnsi="Arial"/>
                <w:sz w:val="20"/>
              </w:rPr>
              <w:t>raw</w:t>
            </w:r>
          </w:p>
        </w:tc>
        <w:tc>
          <w:tcPr>
            <w:tcW w:type="dxa" w:w="1234"/>
          </w:tcPr>
          <w:p>
            <w:r>
              <w:rPr>
                <w:rFonts w:ascii="Arial" w:hAnsi="Arial"/>
                <w:sz w:val="20"/>
              </w:rPr>
              <w:t>SOS</w:t>
            </w:r>
          </w:p>
        </w:tc>
        <w:tc>
          <w:tcPr>
            <w:tcW w:type="dxa" w:w="1234"/>
          </w:tcPr>
          <w:p>
            <w:r>
              <w:rPr>
                <w:rFonts w:ascii="Arial" w:hAnsi="Arial"/>
                <w:sz w:val="20"/>
              </w:rPr>
              <w:t>-63.600</w:t>
            </w:r>
          </w:p>
        </w:tc>
        <w:tc>
          <w:tcPr>
            <w:tcW w:type="dxa" w:w="1234"/>
          </w:tcPr>
          <w:p>
            <w:r>
              <w:rPr>
                <w:rFonts w:ascii="Arial" w:hAnsi="Arial"/>
                <w:sz w:val="20"/>
              </w:rPr>
              <w:t>67.077</w:t>
            </w:r>
          </w:p>
        </w:tc>
        <w:tc>
          <w:tcPr>
            <w:tcW w:type="dxa" w:w="1234"/>
          </w:tcPr>
          <w:p>
            <w:r>
              <w:rPr>
                <w:rFonts w:ascii="Arial" w:hAnsi="Arial"/>
                <w:sz w:val="20"/>
              </w:rPr>
              <w:t>0.3430</w:t>
            </w:r>
          </w:p>
        </w:tc>
        <w:tc>
          <w:tcPr>
            <w:tcW w:type="dxa" w:w="1234"/>
          </w:tcPr>
          <w:p>
            <w:r>
              <w:rPr>
                <w:rFonts w:ascii="Arial" w:hAnsi="Arial"/>
                <w:sz w:val="20"/>
              </w:rPr>
              <w:t>16</w:t>
            </w:r>
          </w:p>
        </w:tc>
        <w:tc>
          <w:tcPr>
            <w:tcW w:type="dxa" w:w="1234"/>
          </w:tcPr>
          <w:p>
            <w:r>
              <w:rPr>
                <w:rFonts w:ascii="Arial" w:hAnsi="Arial"/>
                <w:sz w:val="20"/>
              </w:rPr>
              <w:t>cluster; pre-trend OK</w:t>
            </w:r>
          </w:p>
        </w:tc>
      </w:tr>
      <w:tr>
        <w:tc>
          <w:tcPr>
            <w:tcW w:type="dxa" w:w="1234"/>
          </w:tcPr>
          <w:p>
            <w:r>
              <w:rPr>
                <w:rFonts w:ascii="Arial" w:hAnsi="Arial"/>
                <w:sz w:val="20"/>
              </w:rPr>
              <w:t>raw</w:t>
            </w:r>
          </w:p>
        </w:tc>
        <w:tc>
          <w:tcPr>
            <w:tcW w:type="dxa" w:w="1234"/>
          </w:tcPr>
          <w:p>
            <w:r>
              <w:rPr>
                <w:rFonts w:ascii="Arial" w:hAnsi="Arial"/>
                <w:sz w:val="20"/>
              </w:rPr>
              <w:t>POS</w:t>
            </w:r>
          </w:p>
        </w:tc>
        <w:tc>
          <w:tcPr>
            <w:tcW w:type="dxa" w:w="1234"/>
          </w:tcPr>
          <w:p>
            <w:r>
              <w:rPr>
                <w:rFonts w:ascii="Arial" w:hAnsi="Arial"/>
                <w:sz w:val="20"/>
              </w:rPr>
              <w:t>-2.400</w:t>
            </w:r>
          </w:p>
        </w:tc>
        <w:tc>
          <w:tcPr>
            <w:tcW w:type="dxa" w:w="1234"/>
          </w:tcPr>
          <w:p>
            <w:r>
              <w:rPr>
                <w:rFonts w:ascii="Arial" w:hAnsi="Arial"/>
                <w:sz w:val="20"/>
              </w:rPr>
              <w:t>19.665</w:t>
            </w:r>
          </w:p>
        </w:tc>
        <w:tc>
          <w:tcPr>
            <w:tcW w:type="dxa" w:w="1234"/>
          </w:tcPr>
          <w:p>
            <w:r>
              <w:rPr>
                <w:rFonts w:ascii="Arial" w:hAnsi="Arial"/>
                <w:sz w:val="20"/>
              </w:rPr>
              <w:t>0.9029</w:t>
            </w:r>
          </w:p>
        </w:tc>
        <w:tc>
          <w:tcPr>
            <w:tcW w:type="dxa" w:w="1234"/>
          </w:tcPr>
          <w:p>
            <w:r>
              <w:rPr>
                <w:rFonts w:ascii="Arial" w:hAnsi="Arial"/>
                <w:sz w:val="20"/>
              </w:rPr>
              <w:t>16</w:t>
            </w:r>
          </w:p>
        </w:tc>
        <w:tc>
          <w:tcPr>
            <w:tcW w:type="dxa" w:w="1234"/>
          </w:tcPr>
          <w:p>
            <w:r>
              <w:rPr>
                <w:rFonts w:ascii="Arial" w:hAnsi="Arial"/>
                <w:sz w:val="20"/>
              </w:rPr>
              <w:t>cluster; pre-trend OK</w:t>
            </w:r>
          </w:p>
        </w:tc>
      </w:tr>
      <w:tr>
        <w:tc>
          <w:tcPr>
            <w:tcW w:type="dxa" w:w="1234"/>
          </w:tcPr>
          <w:p>
            <w:r>
              <w:rPr>
                <w:rFonts w:ascii="Arial" w:hAnsi="Arial"/>
                <w:sz w:val="20"/>
              </w:rPr>
              <w:t>raw</w:t>
            </w:r>
          </w:p>
        </w:tc>
        <w:tc>
          <w:tcPr>
            <w:tcW w:type="dxa" w:w="1234"/>
          </w:tcPr>
          <w:p>
            <w:r>
              <w:rPr>
                <w:rFonts w:ascii="Arial" w:hAnsi="Arial"/>
                <w:sz w:val="20"/>
              </w:rPr>
              <w:t>EOS</w:t>
            </w:r>
          </w:p>
        </w:tc>
        <w:tc>
          <w:tcPr>
            <w:tcW w:type="dxa" w:w="1234"/>
          </w:tcPr>
          <w:p>
            <w:r>
              <w:rPr>
                <w:rFonts w:ascii="Arial" w:hAnsi="Arial"/>
                <w:sz w:val="20"/>
              </w:rPr>
              <w:t>+nan</w:t>
            </w:r>
          </w:p>
        </w:tc>
        <w:tc>
          <w:tcPr>
            <w:tcW w:type="dxa" w:w="1234"/>
          </w:tcPr>
          <w:p>
            <w:r>
              <w:rPr>
                <w:rFonts w:ascii="Arial" w:hAnsi="Arial"/>
                <w:sz w:val="20"/>
              </w:rPr>
              <w:t>nan</w:t>
            </w:r>
          </w:p>
        </w:tc>
        <w:tc>
          <w:tcPr>
            <w:tcW w:type="dxa" w:w="1234"/>
          </w:tcPr>
          <w:p>
            <w:r>
              <w:rPr>
                <w:rFonts w:ascii="Arial" w:hAnsi="Arial"/>
                <w:sz w:val="20"/>
              </w:rPr>
              <w:t>nan</w:t>
            </w:r>
          </w:p>
        </w:tc>
        <w:tc>
          <w:tcPr>
            <w:tcW w:type="dxa" w:w="1234"/>
          </w:tcPr>
          <w:p>
            <w:r>
              <w:rPr>
                <w:rFonts w:ascii="Arial" w:hAnsi="Arial"/>
                <w:sz w:val="20"/>
              </w:rPr>
              <w:t>11</w:t>
            </w:r>
          </w:p>
        </w:tc>
        <w:tc>
          <w:tcPr>
            <w:tcW w:type="dxa" w:w="1234"/>
          </w:tcPr>
          <w:p>
            <w:r>
              <w:rPr>
                <w:rFonts w:ascii="Arial" w:hAnsi="Arial"/>
                <w:sz w:val="20"/>
              </w:rPr>
              <w:t>too few pre-period obs for inference (n=11, residual df=0); only 2 pre-cyclone years available</w:t>
            </w:r>
          </w:p>
        </w:tc>
      </w:tr>
      <w:tr>
        <w:tc>
          <w:tcPr>
            <w:tcW w:type="dxa" w:w="1234"/>
          </w:tcPr>
          <w:p>
            <w:r>
              <w:rPr>
                <w:rFonts w:ascii="Arial" w:hAnsi="Arial"/>
                <w:sz w:val="20"/>
              </w:rPr>
              <w:t>corrected</w:t>
            </w:r>
          </w:p>
        </w:tc>
        <w:tc>
          <w:tcPr>
            <w:tcW w:type="dxa" w:w="1234"/>
          </w:tcPr>
          <w:p>
            <w:r>
              <w:rPr>
                <w:rFonts w:ascii="Arial" w:hAnsi="Arial"/>
                <w:sz w:val="20"/>
              </w:rPr>
              <w:t>SOS</w:t>
            </w:r>
          </w:p>
        </w:tc>
        <w:tc>
          <w:tcPr>
            <w:tcW w:type="dxa" w:w="1234"/>
          </w:tcPr>
          <w:p>
            <w:r>
              <w:rPr>
                <w:rFonts w:ascii="Arial" w:hAnsi="Arial"/>
                <w:sz w:val="20"/>
              </w:rPr>
              <w:t>-63.600</w:t>
            </w:r>
          </w:p>
        </w:tc>
        <w:tc>
          <w:tcPr>
            <w:tcW w:type="dxa" w:w="1234"/>
          </w:tcPr>
          <w:p>
            <w:r>
              <w:rPr>
                <w:rFonts w:ascii="Arial" w:hAnsi="Arial"/>
                <w:sz w:val="20"/>
              </w:rPr>
              <w:t>67.077</w:t>
            </w:r>
          </w:p>
        </w:tc>
        <w:tc>
          <w:tcPr>
            <w:tcW w:type="dxa" w:w="1234"/>
          </w:tcPr>
          <w:p>
            <w:r>
              <w:rPr>
                <w:rFonts w:ascii="Arial" w:hAnsi="Arial"/>
                <w:sz w:val="20"/>
              </w:rPr>
              <w:t>0.3430</w:t>
            </w:r>
          </w:p>
        </w:tc>
        <w:tc>
          <w:tcPr>
            <w:tcW w:type="dxa" w:w="1234"/>
          </w:tcPr>
          <w:p>
            <w:r>
              <w:rPr>
                <w:rFonts w:ascii="Arial" w:hAnsi="Arial"/>
                <w:sz w:val="20"/>
              </w:rPr>
              <w:t>16</w:t>
            </w:r>
          </w:p>
        </w:tc>
        <w:tc>
          <w:tcPr>
            <w:tcW w:type="dxa" w:w="1234"/>
          </w:tcPr>
          <w:p>
            <w:r>
              <w:rPr>
                <w:rFonts w:ascii="Arial" w:hAnsi="Arial"/>
                <w:sz w:val="20"/>
              </w:rPr>
              <w:t>cluster; pre-trend OK</w:t>
            </w:r>
          </w:p>
        </w:tc>
      </w:tr>
      <w:tr>
        <w:tc>
          <w:tcPr>
            <w:tcW w:type="dxa" w:w="1234"/>
          </w:tcPr>
          <w:p>
            <w:r>
              <w:rPr>
                <w:rFonts w:ascii="Arial" w:hAnsi="Arial"/>
                <w:sz w:val="20"/>
              </w:rPr>
              <w:t>corrected</w:t>
            </w:r>
          </w:p>
        </w:tc>
        <w:tc>
          <w:tcPr>
            <w:tcW w:type="dxa" w:w="1234"/>
          </w:tcPr>
          <w:p>
            <w:r>
              <w:rPr>
                <w:rFonts w:ascii="Arial" w:hAnsi="Arial"/>
                <w:sz w:val="20"/>
              </w:rPr>
              <w:t>POS</w:t>
            </w:r>
          </w:p>
        </w:tc>
        <w:tc>
          <w:tcPr>
            <w:tcW w:type="dxa" w:w="1234"/>
          </w:tcPr>
          <w:p>
            <w:r>
              <w:rPr>
                <w:rFonts w:ascii="Arial" w:hAnsi="Arial"/>
                <w:sz w:val="20"/>
              </w:rPr>
              <w:t>-2.400</w:t>
            </w:r>
          </w:p>
        </w:tc>
        <w:tc>
          <w:tcPr>
            <w:tcW w:type="dxa" w:w="1234"/>
          </w:tcPr>
          <w:p>
            <w:r>
              <w:rPr>
                <w:rFonts w:ascii="Arial" w:hAnsi="Arial"/>
                <w:sz w:val="20"/>
              </w:rPr>
              <w:t>19.665</w:t>
            </w:r>
          </w:p>
        </w:tc>
        <w:tc>
          <w:tcPr>
            <w:tcW w:type="dxa" w:w="1234"/>
          </w:tcPr>
          <w:p>
            <w:r>
              <w:rPr>
                <w:rFonts w:ascii="Arial" w:hAnsi="Arial"/>
                <w:sz w:val="20"/>
              </w:rPr>
              <w:t>0.9029</w:t>
            </w:r>
          </w:p>
        </w:tc>
        <w:tc>
          <w:tcPr>
            <w:tcW w:type="dxa" w:w="1234"/>
          </w:tcPr>
          <w:p>
            <w:r>
              <w:rPr>
                <w:rFonts w:ascii="Arial" w:hAnsi="Arial"/>
                <w:sz w:val="20"/>
              </w:rPr>
              <w:t>16</w:t>
            </w:r>
          </w:p>
        </w:tc>
        <w:tc>
          <w:tcPr>
            <w:tcW w:type="dxa" w:w="1234"/>
          </w:tcPr>
          <w:p>
            <w:r>
              <w:rPr>
                <w:rFonts w:ascii="Arial" w:hAnsi="Arial"/>
                <w:sz w:val="20"/>
              </w:rPr>
              <w:t>cluster; pre-trend OK</w:t>
            </w:r>
          </w:p>
        </w:tc>
      </w:tr>
      <w:tr>
        <w:tc>
          <w:tcPr>
            <w:tcW w:type="dxa" w:w="1234"/>
          </w:tcPr>
          <w:p>
            <w:r>
              <w:rPr>
                <w:rFonts w:ascii="Arial" w:hAnsi="Arial"/>
                <w:sz w:val="20"/>
              </w:rPr>
              <w:t>corrected</w:t>
            </w:r>
          </w:p>
        </w:tc>
        <w:tc>
          <w:tcPr>
            <w:tcW w:type="dxa" w:w="1234"/>
          </w:tcPr>
          <w:p>
            <w:r>
              <w:rPr>
                <w:rFonts w:ascii="Arial" w:hAnsi="Arial"/>
                <w:sz w:val="20"/>
              </w:rPr>
              <w:t>EOS</w:t>
            </w:r>
          </w:p>
        </w:tc>
        <w:tc>
          <w:tcPr>
            <w:tcW w:type="dxa" w:w="1234"/>
          </w:tcPr>
          <w:p>
            <w:r>
              <w:rPr>
                <w:rFonts w:ascii="Arial" w:hAnsi="Arial"/>
                <w:sz w:val="20"/>
              </w:rPr>
              <w:t>+nan</w:t>
            </w:r>
          </w:p>
        </w:tc>
        <w:tc>
          <w:tcPr>
            <w:tcW w:type="dxa" w:w="1234"/>
          </w:tcPr>
          <w:p>
            <w:r>
              <w:rPr>
                <w:rFonts w:ascii="Arial" w:hAnsi="Arial"/>
                <w:sz w:val="20"/>
              </w:rPr>
              <w:t>nan</w:t>
            </w:r>
          </w:p>
        </w:tc>
        <w:tc>
          <w:tcPr>
            <w:tcW w:type="dxa" w:w="1234"/>
          </w:tcPr>
          <w:p>
            <w:r>
              <w:rPr>
                <w:rFonts w:ascii="Arial" w:hAnsi="Arial"/>
                <w:sz w:val="20"/>
              </w:rPr>
              <w:t>nan</w:t>
            </w:r>
          </w:p>
        </w:tc>
        <w:tc>
          <w:tcPr>
            <w:tcW w:type="dxa" w:w="1234"/>
          </w:tcPr>
          <w:p>
            <w:r>
              <w:rPr>
                <w:rFonts w:ascii="Arial" w:hAnsi="Arial"/>
                <w:sz w:val="20"/>
              </w:rPr>
              <w:t>11</w:t>
            </w:r>
          </w:p>
        </w:tc>
        <w:tc>
          <w:tcPr>
            <w:tcW w:type="dxa" w:w="1234"/>
          </w:tcPr>
          <w:p>
            <w:r>
              <w:rPr>
                <w:rFonts w:ascii="Arial" w:hAnsi="Arial"/>
                <w:sz w:val="20"/>
              </w:rPr>
              <w:t>too few pre-period obs for inference (n=11, residual df=0); only 2 pre-cyclone years available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